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监督索引号53312300471200000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共青团盈江县委2019年预算公开目录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第一部分 共青团盈江县委2019年部门预算编制说明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第二部分  共青团盈江县委2019年部门预算表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共青团盈江县委2019年部门预算编制说明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594"/>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w:t>
      </w:r>
      <w:r>
        <w:rPr>
          <w:rFonts w:ascii="宋体" w:hAnsi="宋体" w:eastAsia="宋体" w:cs="宋体"/>
          <w:i w:val="0"/>
          <w:caps w:val="0"/>
          <w:color w:val="000000"/>
          <w:spacing w:val="0"/>
          <w:kern w:val="0"/>
          <w:sz w:val="24"/>
          <w:szCs w:val="24"/>
          <w:u w:val="single"/>
          <w:shd w:val="clear" w:fill="FBFBFB"/>
          <w:lang w:val="en-US" w:eastAsia="zh-CN" w:bidi="ar"/>
        </w:rPr>
        <w:t> [ 2002 ] 10号</w:t>
      </w:r>
      <w:r>
        <w:rPr>
          <w:rFonts w:ascii="宋体" w:hAnsi="宋体" w:eastAsia="宋体" w:cs="宋体"/>
          <w:i w:val="0"/>
          <w:caps w:val="0"/>
          <w:color w:val="000000"/>
          <w:spacing w:val="0"/>
          <w:kern w:val="0"/>
          <w:sz w:val="24"/>
          <w:szCs w:val="24"/>
          <w:shd w:val="clear" w:fill="FBFBFB"/>
          <w:lang w:val="en-US" w:eastAsia="zh-CN" w:bidi="ar"/>
        </w:rPr>
        <w:t>文件规定，主要职能是：团结、引领、调查、协助的服务工作。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共青团是党的助手和后备军为党的事业教育、团结和带领好青年。引导青年坚定信念，刻苦学习，奋发成才，使广大青年在全面建设小康社会的伟大实践中锻炼成长为有理想、有道德、有文化、有纪律的一代新人。发挥好国家政权的重要社会支柱作用，积极协助政府管理好青年事务。参与社会协商对话、民主管理和民主监督，承担政府委托的有关青年工作事务，指导和帮助青联、学联、少先队等青少年组织开展工作。发挥党和政府联系青年群众的桥梁和纽带作用，依法代表和维护青年的具体利益，反映青年的意愿和呼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共青团盈江县委内设综合办公室、志愿服务和社会服务联络股、学校泊年和维护青少年权益股、青年发展股</w:t>
      </w:r>
      <w:r>
        <w:rPr>
          <w:rFonts w:ascii="宋体" w:hAnsi="宋体" w:eastAsia="宋体" w:cs="宋体"/>
          <w:i w:val="0"/>
          <w:caps w:val="0"/>
          <w:color w:val="000000"/>
          <w:spacing w:val="0"/>
          <w:kern w:val="0"/>
          <w:sz w:val="24"/>
          <w:szCs w:val="24"/>
          <w:u w:val="single"/>
          <w:shd w:val="clear" w:fill="FBFBFB"/>
          <w:lang w:val="en-US" w:eastAsia="zh-CN" w:bidi="ar"/>
        </w:rPr>
        <w:t> 4  </w:t>
      </w:r>
      <w:r>
        <w:rPr>
          <w:rFonts w:ascii="宋体" w:hAnsi="宋体" w:eastAsia="宋体" w:cs="宋体"/>
          <w:i w:val="0"/>
          <w:caps w:val="0"/>
          <w:color w:val="000000"/>
          <w:spacing w:val="0"/>
          <w:kern w:val="0"/>
          <w:sz w:val="24"/>
          <w:szCs w:val="24"/>
          <w:shd w:val="clear" w:fill="FBFBFB"/>
          <w:lang w:val="en-US" w:eastAsia="zh-CN" w:bidi="ar"/>
        </w:rPr>
        <w:t>个职能科室。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FFFFF"/>
        </w:rPr>
        <w:t>（一）坚持围绕中心，服务大局，加强自身建设</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FFFFF"/>
        </w:rPr>
        <w:t>1.结合共青团职能，发挥好党联系群众的桥梁纽带作用。团结动员广大青少年积极投身盈江经济建设、政治建设、文化建设、社会建设、生态文明建设。充分发挥团属资源优势，带领广大团员青年踊跃投身扶贫攻坚实践和提升人居环境 建设宜居城市工作，积极开展志愿扶贫、教育扶贫活动。通过新媒体为广大群众提供政策咨询、人员培训等服务。</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FFFFF"/>
        </w:rPr>
        <w:t>2.加强机关干部作风建设，扎实开展“学系列讲话，做合格团员”，持续深入开展团干部健康成长教育，引领机关干部大部分工作时间到青年中去；全面加强团风廉政建设，严守团的政治纪律、组织纪律、廉洁纪律、群众纪律、工作纪律和生活纪律；建立团干部直接联系青年制度，每名专职、挂职团干部经常性联系100名左右不同领域的团员青年，兼职团干部直接联系10名左右普通青年，努力做到经常有声音、有互动、有话题、有线下活动、有面对面交流。</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FFFFF"/>
        </w:rPr>
        <w:t>（二）坚持创新载体，完善机制，强化品牌服务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00" w:afterAutospacing="0" w:line="60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1.大力实施“网上共青团”工程，以“智慧团建”和“青年之声”为重点，建设工作网、联系网、服务网“三网合一”的“网上共青团”，形成“互联网＋共青团”格局，实现团网深度融合、团青充分互动、线上线下一体运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00" w:afterAutospacing="0" w:line="60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2.进一步抓好“青年就业创业行动”。按照团省委和团州委的要求，积极推进青年的创业就业，认真做好大中专毕业生、农村返乡青年的就业服务工作，鼓励和扶持青年自主创业，以创业带动就业。</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FFFFF"/>
        </w:rPr>
        <w:t>3.继续实施希望工程——圆梦大学行动。一是加大对建档立卡贫困户学生情况进行调查摸底，进一步完善贫困学子信息资料库;二是拓宽助学资金筹集渠道，帮助更多的贫困学生解决实际困难。三是广开筹资门路，多方筹措资金，探索低收入农户青少年关爱行动的长效机制，进一步发挥希望工程的品牌效应。营造全社会关心人才、爱护人才的浓厚氛围。</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FFFFF"/>
        </w:rPr>
        <w:t>（三）坚持重心下移、强化基层，发挥组织优势</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0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FFFFF"/>
        </w:rPr>
        <w:t>1.着力夯实基层基础，改进团员发展和教育管理，严格入团程序，加强团员意识教育，充分发挥团员在青年中的模范作用和对青年的凝聚作用，在经济社会发展各项急难险重任务中当好生力军和突击队；建设“团干部＋社工＋青年志愿者”队伍，充实基层工作力量；加强联系服务引导，把青年社会组织紧密团结起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00" w:afterAutospacing="0" w:line="60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FFFFF"/>
          <w:lang w:val="en-US" w:eastAsia="zh-CN" w:bidi="ar"/>
        </w:rPr>
        <w:t>2.着力做好学校共青团和少先队工作。牢牢把握思想引领的根本任务，通过主题日、班会、主题宣传、形式报告、演讲辩论、参观考察等形式开展思想政治教育活动。大力开展校园文化活动和社会实践活动，提高少先队员、中学生、中专学生的人文科技素质和社会观察力。做好共青团基层组织建设和基层工作学校试点工作，推广试点成功经验，增强学校基层团组织的活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在职人员编制11人，其中：行政编制3人，事业编制8人。在职实有10人，其中：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财政全供养</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11人，财政部分供养0人，非财政供养0人。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离退休人员 0人，其中：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离休</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0人，退休 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车辆编制0辆，实有车辆0辆。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其他人员:志愿者90名。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2019年部门财务总收入 231.77万元，其中：一般公共预算财政拨款231.77万元，政府性基金预算财政拨款0万元，国有资本经营预算财政拨款0万元，事业收入0万元，事业单位经营收入0万元，其他收入0万元，上年结转0万元。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2019年部门财政拨款收入 231.77万元，其中:本年收入231.77万元，上年结转0万元。本年收入中，一般公共预算财政拨款231.77万元（本级财力231.77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 231.77万元。财政拨款安排支出 231.77万元，其中，基本支出231.77万元，项目支出0万元。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2012901行政运行128.29万元，主要用于工资福利支出111.91万元，正常公务运转经费6.6万元，其他交通费9.78万元。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2012999其他群众团体事务支出75万元，主要用于志愿者生活补助75万元。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2080505机关事业单位基本养老保险缴费支出15.35万元，主要用于在职人员养老保险缴费（单位部分）。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2210201住房公积金13.13万元，主要用于在职人员住房公积金缴费（单位部分）。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2012901行政运行128.29万元，基本支出128.29万元，主要用于301工资福利支出111.91万元，302商品和服务支出16.38万元。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2012999其他群众团体事务支出75万元，基本支出75万元，主要用于301工资福利支出的其他工资福利支出志愿者生活补助75万元。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2080505机关事业单位基本养老保险缴费支出15.35万元，基本支出75万元，主要用于301工资福利支出15.35万元。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2210201住房公积金13.13万元，基本支出75万元，主要用于301工资福利支出15.35万元。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本单位无县对下转移支付资金。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根据《中华人民共和国政府采购法》的有关规定，编制了政府采购预算，共涉及采购项目0个，采购预算资金0万元。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2019年“三公”经费预算数为1万元，与上年预算数1万元持平。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拟安排出国（境）经费预算0万元，与上年持平。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拟安排公务接待费预算1万元，主要用于按规定开支的各类公务接待产生的费用，与上年预算数1万元持平。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0万元，其中：购置经费0万元、运行维护费0万元，主要用于保障政府部门、党群部门、其他部门公务工作开展，拟产生的公务用车燃料费、维修费、过路过桥费、保险费等支出，与上年预算数0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（二）预算收入增减变化情况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2019年部门预算收入231.77万元，比上年预算数219.55万元增12.22万元，增5.57%。原因：2018年底调增人员工资。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（三）部门基本支出预算变动的主要原因，对本年与上年同口径数据比对情况分析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2019年基本支出预算231.77万元，较2018年基本支出预算204.55万元增加27.22万元，增13.3%，增加的原因是新增志愿者人员及调资增资。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（四）2019年</w:t>
      </w:r>
      <w:r>
        <w:rPr>
          <w:rFonts w:ascii="宋体" w:hAnsi="宋体" w:eastAsia="宋体" w:cs="宋体"/>
          <w:i w:val="0"/>
          <w:caps w:val="0"/>
          <w:color w:val="000000"/>
          <w:spacing w:val="0"/>
          <w:kern w:val="0"/>
          <w:sz w:val="24"/>
          <w:szCs w:val="24"/>
          <w:shd w:val="clear" w:fill="FBFBFB"/>
          <w:lang w:val="en-US" w:eastAsia="zh-CN" w:bidi="ar"/>
        </w:rPr>
        <w:t>项目支出预算0万元，较2018年项目支出预算15万元减少15万元，减100%，2019年无项目。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1.财政拨款（补助）收入指财政部门当年拨付的资金。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2.基本支出指为保障机构正常运转、完成日常工作任务而发生的人员支出和公用支出。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3.项目支出指在基本支出之外为完成相关行政任务和事业发展目标所发生的支出。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共青团盈江县委2019年部门预算机关运行经费支出16.38万元，主要用于办公费1.6万元、印刷费1万元、差旅费2万元、培训费1万元、公务接待费1万元、其他交通费用9.78万元。与上年比无增减变化。</w:t>
      </w:r>
      <w:r>
        <w:rPr>
          <w:rFonts w:ascii="Tahoma" w:hAnsi="Tahoma" w:eastAsia="Tahoma" w:cs="Tahoma"/>
          <w:i w:val="0"/>
          <w:caps w:val="0"/>
          <w:color w:val="333333"/>
          <w:spacing w:val="0"/>
          <w:kern w:val="0"/>
          <w:sz w:val="20"/>
          <w:szCs w:val="20"/>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2019年单位收入预算231.77万元其中：基本支出231.77万元，主要用于发放人员工资，机关事业单位基本养老保险缴费支出、住房公积金，全县志愿者生活补贴，支付公用经费确保机构正常运转。项目支出0万元。</w:t>
      </w:r>
    </w:p>
    <w:p/>
    <w:p>
      <w:pPr>
        <w:widowControl/>
        <w:ind w:firstLine="600" w:firstLineChars="200"/>
        <w:jc w:val="left"/>
        <w:rPr>
          <w:rFonts w:eastAsia="仿宋_GB2312"/>
          <w:kern w:val="0"/>
          <w:sz w:val="30"/>
          <w:szCs w:val="30"/>
        </w:rPr>
      </w:pPr>
    </w:p>
    <w:p>
      <w:pPr>
        <w:pStyle w:val="6"/>
        <w:shd w:val="clear" w:color="auto" w:fill="FFFFFF"/>
        <w:spacing w:before="0" w:beforeAutospacing="0" w:after="0" w:afterAutospacing="0" w:line="600" w:lineRule="exact"/>
        <w:ind w:firstLine="600" w:firstLineChars="200"/>
        <w:rPr>
          <w:rFonts w:hint="eastAsia" w:ascii="楷体_GB2312" w:eastAsia="楷体_GB2312"/>
          <w:kern w:val="0"/>
          <w:sz w:val="30"/>
          <w:szCs w:val="30"/>
        </w:rPr>
      </w:pPr>
      <w:r>
        <w:rPr>
          <w:rFonts w:hint="eastAsia" w:ascii="楷体_GB2312" w:eastAsia="楷体_GB2312"/>
          <w:kern w:val="0"/>
          <w:sz w:val="30"/>
          <w:szCs w:val="30"/>
        </w:rPr>
        <w:t xml:space="preserve"> </w:t>
      </w:r>
    </w:p>
    <w:p>
      <w:pPr>
        <w:widowControl/>
        <w:ind w:firstLine="600" w:firstLineChars="200"/>
        <w:jc w:val="left"/>
        <w:rPr>
          <w:rFonts w:eastAsia="仿宋_GB2312"/>
          <w:kern w:val="0"/>
          <w:sz w:val="30"/>
          <w:szCs w:val="30"/>
        </w:rPr>
      </w:pPr>
    </w:p>
    <w:p>
      <w:pPr>
        <w:widowControl/>
        <w:ind w:firstLine="600" w:firstLineChars="200"/>
        <w:jc w:val="left"/>
        <w:rPr>
          <w:rFonts w:eastAsia="仿宋_GB2312"/>
          <w:kern w:val="0"/>
          <w:sz w:val="30"/>
          <w:szCs w:val="30"/>
        </w:rPr>
      </w:pPr>
    </w:p>
    <w:p>
      <w:pPr>
        <w:widowControl/>
        <w:ind w:firstLine="600" w:firstLineChars="200"/>
        <w:jc w:val="left"/>
        <w:rPr>
          <w:rFonts w:eastAsia="仿宋_GB2312"/>
          <w:kern w:val="0"/>
          <w:sz w:val="30"/>
          <w:szCs w:val="30"/>
        </w:rPr>
      </w:pPr>
    </w:p>
    <w:p>
      <w:pPr>
        <w:rPr>
          <w:rFonts w:ascii="Arial" w:hAnsi="Arial" w:eastAsia="Arial" w:cs="Arial"/>
          <w:b/>
          <w:sz w:val="36"/>
        </w:rPr>
      </w:pPr>
      <w:bookmarkStart w:id="0" w:name="_GoBack"/>
      <w:bookmarkEnd w:id="0"/>
      <w:r>
        <w:rPr>
          <w:rFonts w:ascii="Arial" w:hAnsi="Arial" w:eastAsia="Arial" w:cs="Arial"/>
          <w:b/>
          <w:sz w:val="36"/>
        </w:rPr>
        <w:t>监督索引号53312300471200111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5AF"/>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0A7E"/>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56660"/>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566402"/>
    <w:rsid w:val="025737A0"/>
    <w:rsid w:val="02CF2501"/>
    <w:rsid w:val="03C15CB1"/>
    <w:rsid w:val="03F0214E"/>
    <w:rsid w:val="06325B44"/>
    <w:rsid w:val="0AB77A2F"/>
    <w:rsid w:val="0F906F53"/>
    <w:rsid w:val="1703590F"/>
    <w:rsid w:val="1A0B3DDD"/>
    <w:rsid w:val="29F816C4"/>
    <w:rsid w:val="2A9B2C4A"/>
    <w:rsid w:val="2C032D89"/>
    <w:rsid w:val="3005281A"/>
    <w:rsid w:val="31747B88"/>
    <w:rsid w:val="385F7AB4"/>
    <w:rsid w:val="39466C4F"/>
    <w:rsid w:val="46945EEB"/>
    <w:rsid w:val="46F026A1"/>
    <w:rsid w:val="520C6E95"/>
    <w:rsid w:val="5C8C572F"/>
    <w:rsid w:val="669D742E"/>
    <w:rsid w:val="6ED84E06"/>
    <w:rsid w:val="724A4A01"/>
    <w:rsid w:val="7B1E5394"/>
    <w:rsid w:val="7BF12AD7"/>
    <w:rsid w:val="7E842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206</Words>
  <Characters>1179</Characters>
  <Lines>9</Lines>
  <Paragraphs>2</Paragraphs>
  <TotalTime>1</TotalTime>
  <ScaleCrop>false</ScaleCrop>
  <LinksUpToDate>false</LinksUpToDate>
  <CharactersWithSpaces>1383</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2019-12-26T03:03:55Z</dcterms:modified>
  <dc:title>年部门预算编制说明</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