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监督索引号53312300420100000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方正小标宋简体" w:hAnsi="方正小标宋简体" w:eastAsia="方正小标宋简体" w:cs="方正小标宋简体"/>
          <w:i w:val="0"/>
          <w:caps w:val="0"/>
          <w:color w:val="333333"/>
          <w:spacing w:val="0"/>
          <w:kern w:val="0"/>
          <w:sz w:val="21"/>
          <w:szCs w:val="21"/>
          <w:shd w:val="clear" w:fill="FBFBFB"/>
          <w:lang w:val="en-US" w:eastAsia="zh-CN" w:bidi="ar"/>
        </w:rPr>
        <w:t>盈江县委办公室</w:t>
      </w:r>
      <w:r>
        <w:rPr>
          <w:rFonts w:ascii="宋体" w:hAnsi="宋体" w:eastAsia="宋体" w:cs="宋体"/>
          <w:i w:val="0"/>
          <w:caps w:val="0"/>
          <w:color w:val="000000"/>
          <w:spacing w:val="0"/>
          <w:kern w:val="0"/>
          <w:sz w:val="24"/>
          <w:szCs w:val="24"/>
          <w:shd w:val="clear" w:fill="FBFBFB"/>
          <w:lang w:val="en-US" w:eastAsia="zh-CN" w:bidi="ar"/>
        </w:rPr>
        <w:t>2019</w:t>
      </w:r>
      <w:r>
        <w:rPr>
          <w:rFonts w:hint="default" w:ascii="方正小标宋简体" w:hAnsi="方正小标宋简体" w:eastAsia="方正小标宋简体" w:cs="方正小标宋简体"/>
          <w:i w:val="0"/>
          <w:caps w:val="0"/>
          <w:color w:val="333333"/>
          <w:spacing w:val="0"/>
          <w:kern w:val="0"/>
          <w:sz w:val="21"/>
          <w:szCs w:val="21"/>
          <w:shd w:val="clear" w:fill="FBFBFB"/>
          <w:lang w:val="en-US" w:eastAsia="zh-CN" w:bidi="ar"/>
        </w:rPr>
        <w:t>年部门预算公开目录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黑体" w:hAnsi="宋体" w:eastAsia="黑体" w:cs="黑体"/>
          <w:i w:val="0"/>
          <w:caps w:val="0"/>
          <w:color w:val="333333"/>
          <w:spacing w:val="0"/>
          <w:kern w:val="0"/>
          <w:sz w:val="21"/>
          <w:szCs w:val="21"/>
          <w:shd w:val="clear" w:fill="FBFBFB"/>
          <w:lang w:val="en-US" w:eastAsia="zh-CN" w:bidi="ar"/>
        </w:rPr>
        <w:t>第一部分盈江县委办公室</w:t>
      </w:r>
      <w:r>
        <w:rPr>
          <w:rFonts w:ascii="宋体" w:hAnsi="宋体" w:eastAsia="宋体" w:cs="宋体"/>
          <w:i w:val="0"/>
          <w:caps w:val="0"/>
          <w:color w:val="000000"/>
          <w:spacing w:val="0"/>
          <w:kern w:val="0"/>
          <w:sz w:val="24"/>
          <w:szCs w:val="24"/>
          <w:shd w:val="clear" w:fill="FBFBFB"/>
          <w:lang w:val="en-US" w:eastAsia="zh-CN" w:bidi="ar"/>
        </w:rPr>
        <w:t>2019</w:t>
      </w:r>
      <w:r>
        <w:rPr>
          <w:rFonts w:hint="eastAsia" w:ascii="黑体" w:hAnsi="宋体" w:eastAsia="黑体" w:cs="黑体"/>
          <w:i w:val="0"/>
          <w:caps w:val="0"/>
          <w:color w:val="333333"/>
          <w:spacing w:val="0"/>
          <w:kern w:val="0"/>
          <w:sz w:val="21"/>
          <w:szCs w:val="21"/>
          <w:shd w:val="clear" w:fill="FBFBFB"/>
          <w:lang w:val="en-US" w:eastAsia="zh-CN" w:bidi="ar"/>
        </w:rPr>
        <w:t>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第二部分盈江县委办公室</w:t>
      </w:r>
      <w:r>
        <w:rPr>
          <w:rFonts w:ascii="宋体" w:hAnsi="宋体" w:eastAsia="宋体" w:cs="宋体"/>
          <w:i w:val="0"/>
          <w:caps w:val="0"/>
          <w:color w:val="000000"/>
          <w:spacing w:val="0"/>
          <w:kern w:val="0"/>
          <w:sz w:val="24"/>
          <w:szCs w:val="24"/>
          <w:shd w:val="clear" w:fill="FBFBFB"/>
          <w:lang w:val="en-US" w:eastAsia="zh-CN" w:bidi="ar"/>
        </w:rPr>
        <w:t>2019</w:t>
      </w:r>
      <w:r>
        <w:rPr>
          <w:rFonts w:hint="eastAsia" w:ascii="黑体" w:hAnsi="宋体" w:eastAsia="黑体" w:cs="黑体"/>
          <w:i w:val="0"/>
          <w:caps w:val="0"/>
          <w:color w:val="333333"/>
          <w:spacing w:val="0"/>
          <w:kern w:val="0"/>
          <w:sz w:val="21"/>
          <w:szCs w:val="21"/>
          <w:shd w:val="clear" w:fill="FBFBFB"/>
          <w:lang w:val="en-US" w:eastAsia="zh-CN" w:bidi="ar"/>
        </w:rPr>
        <w:t>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盈江县委办公室2019年部门预算编制说明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24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盈复[2002]30号文件规定，主要职能是：围绕县委的中心工作，贯彻落实中央、省州和县委的工作部署，按照县委的要求开展工作，负责对党的路线、方针、政策在县执行情况的督促检查，并及时进行调查研究，收集反馈信息，综合重要情况;承担县委、县委办公室文件、文稿的起草、修改、校对和印制；负责承办各乡镇、各部门向县委的请示、报告;负责县委召开的各种会议的会务工作；负责县委领导参加的各种重要活动的安排;负责协调县人大办公室、县政府办公室、县政协办公室、县纪委办公室和各乡（镇）的工作;完成县委和上级党委交办的其它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中共盈江县委办公室内设</w:t>
      </w:r>
      <w:r>
        <w:rPr>
          <w:rFonts w:ascii="宋体" w:hAnsi="宋体" w:eastAsia="宋体" w:cs="宋体"/>
          <w:i w:val="0"/>
          <w:caps w:val="0"/>
          <w:color w:val="000000"/>
          <w:spacing w:val="0"/>
          <w:kern w:val="0"/>
          <w:sz w:val="24"/>
          <w:szCs w:val="24"/>
          <w:u w:val="single"/>
          <w:shd w:val="clear" w:fill="FBFBFB"/>
          <w:lang w:val="en-US" w:eastAsia="zh-CN" w:bidi="ar"/>
        </w:rPr>
        <w:t> 6  </w:t>
      </w:r>
      <w:r>
        <w:rPr>
          <w:rFonts w:ascii="宋体" w:hAnsi="宋体" w:eastAsia="宋体" w:cs="宋体"/>
          <w:i w:val="0"/>
          <w:caps w:val="0"/>
          <w:color w:val="000000"/>
          <w:spacing w:val="0"/>
          <w:kern w:val="0"/>
          <w:sz w:val="24"/>
          <w:szCs w:val="24"/>
          <w:shd w:val="clear" w:fill="FBFBFB"/>
          <w:lang w:val="en-US" w:eastAsia="zh-CN" w:bidi="ar"/>
        </w:rPr>
        <w:t>个职能科室（秘书股、信息股、行政股、督查室、机要局、保密局），下辖县关工委、县妇联等</w:t>
      </w:r>
      <w:r>
        <w:rPr>
          <w:rFonts w:ascii="宋体" w:hAnsi="宋体" w:eastAsia="宋体" w:cs="宋体"/>
          <w:i w:val="0"/>
          <w:caps w:val="0"/>
          <w:color w:val="000000"/>
          <w:spacing w:val="0"/>
          <w:kern w:val="0"/>
          <w:sz w:val="24"/>
          <w:szCs w:val="24"/>
          <w:u w:val="single"/>
          <w:shd w:val="clear" w:fill="FBFBFB"/>
          <w:lang w:val="en-US" w:eastAsia="zh-CN" w:bidi="ar"/>
        </w:rPr>
        <w:t>  2  </w:t>
      </w:r>
      <w:r>
        <w:rPr>
          <w:rFonts w:ascii="宋体" w:hAnsi="宋体" w:eastAsia="宋体" w:cs="宋体"/>
          <w:i w:val="0"/>
          <w:caps w:val="0"/>
          <w:color w:val="000000"/>
          <w:spacing w:val="0"/>
          <w:kern w:val="0"/>
          <w:sz w:val="24"/>
          <w:szCs w:val="24"/>
          <w:shd w:val="clear" w:fill="FBFBFB"/>
          <w:lang w:val="en-US" w:eastAsia="zh-CN" w:bidi="ar"/>
        </w:rPr>
        <w:t>个预算单位。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3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2019年主要工作：紧紧围绕县委的中心工作，认真贯彻落实</w:t>
      </w:r>
      <w:r>
        <w:rPr>
          <w:rFonts w:hint="eastAsia" w:ascii="宋体" w:hAnsi="宋体" w:cs="宋体"/>
          <w:i w:val="0"/>
          <w:caps w:val="0"/>
          <w:color w:val="000000"/>
          <w:spacing w:val="0"/>
          <w:kern w:val="0"/>
          <w:sz w:val="24"/>
          <w:szCs w:val="24"/>
          <w:shd w:val="clear" w:fill="FBFBFB"/>
          <w:lang w:val="en-US" w:eastAsia="zh-CN" w:bidi="ar"/>
        </w:rPr>
        <w:t>党的十九大精神</w:t>
      </w:r>
      <w:r>
        <w:rPr>
          <w:rFonts w:ascii="宋体" w:hAnsi="宋体" w:eastAsia="宋体" w:cs="宋体"/>
          <w:i w:val="0"/>
          <w:caps w:val="0"/>
          <w:color w:val="000000"/>
          <w:spacing w:val="0"/>
          <w:kern w:val="0"/>
          <w:sz w:val="24"/>
          <w:szCs w:val="24"/>
          <w:shd w:val="clear" w:fill="FBFBFB"/>
          <w:lang w:val="en-US" w:eastAsia="zh-CN" w:bidi="ar"/>
        </w:rPr>
        <w:t>和县委十二届七次全会确定的目标任务，严格执行中央八项规定和各项财经纪律，本着少花钱、多办事的原则，充分发挥预算包干经费的作用，保民生、保重点，保运转，为县委办、县关工委和县妇联各项工作目标任务的顺利开展提供有力保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在职人员编制54人，其中：县委办公室行政编制 42人，事业编制2人（县关工委）；县妇联行政编制 7人，事业编制3人。在职实有49人（县委办及关工委40人、县妇联9人），其中</w:t>
      </w:r>
      <w:bookmarkStart w:id="0" w:name="_GoBack"/>
      <w:bookmarkEnd w:id="0"/>
      <w:r>
        <w:rPr>
          <w:rFonts w:ascii="宋体" w:hAnsi="宋体" w:eastAsia="宋体" w:cs="宋体"/>
          <w:i w:val="0"/>
          <w:caps w:val="0"/>
          <w:color w:val="000000"/>
          <w:spacing w:val="0"/>
          <w:kern w:val="0"/>
          <w:sz w:val="24"/>
          <w:szCs w:val="24"/>
          <w:shd w:val="clear" w:fill="FBFBFB"/>
          <w:lang w:val="en-US" w:eastAsia="zh-CN" w:bidi="ar"/>
        </w:rPr>
        <w:t>：财政全供养 49人，财政部分供养0人，非财政供养0人。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离退休人员17人，其中：离休0人，退休 17人（其中：县委办12人、县妇联5人）。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车辆编制4辆，实有车辆4辆。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务总收入942.68万元，其中：一般公共预算财政拨款942.68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政拨款收入942.68万元，其中:本年收入942.68万元，上年结转0万元。本年收入中，一般公共预算财政拨款942.68万元（本级财力942.68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 942.68万元。财政拨款安排支出 942.68万元，其中，基本支出815.18万元，项目支出127.5万元。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2012901行政运行118.48万元，主要用于县妇联在职职工全年工资福利支出，特困妇女救助金及及机构正常运转经费。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2012902一般行政管理事务7万元，主要用于县妇联妇儿工委工作经费。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2013101行政运行567.29万元，主要用于县委办在职职工全年工资，机要密码干部值班补贴及机构正常运转经费。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2013102一般行政管理事务43万元，主要用于县委办统筹协调经费30万元，保密局服务“一带一路”边境经济发展试点工作经费3万元，县委办督查室及重大项目督查经费10万元。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2013199其他党委办公厅（室）及相关机构事务支出66.5万元，主要用于县关工委顾问工作补贴3.5万元、关爱资金5万元、“讲政治、育新人、学科技、奔小康”活动经费10万元、“中华魂”主题教育活动经费5万元、农村留守儿童关爱教育活动经费3万元，各项工作经费40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 归口管理的行政单位离退休1.02万元，主要用于退休人员公用经费。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2080505机关事业单位基本养老保险缴费支出74.67万元，主要用于工资福利支出；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596"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2080506机关事业单位职业年金缴费支出0.91万元，主要用于单位基本养老保险缴费。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 住房公积金63.81万元主要用于职工住房公积金缴费。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经济科目分组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2012901行政运行118.48万元，其中：基本支出113.48万元，主要用于301工资福利支出106.28万元，302商品和服务支出7.2万元。项目支出5万元，主要用于302商品和服务支出5万元。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2012902一般行政管理事务7万元，其中：基本支出0万元，项目支出7万元，主要用于302商品和服务支出7万元。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2013101行政运行567.29万元，其中：基本支出561.29万元，主要用于301工资福利支出480.21万元，302商品和服务支出73万元,303对个人和家庭的补助1.08万元，310资本性支出7万元，项目支出6万元，主要用于302商品和服务支出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2013102一般行政管理事务43万元，其中：基本支出0万元，项目支出43万元，主要用于302商品和服务支出43万元。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2013199其他党委办公厅（室）及相关机构事务支出66.5万元，其中：基本支出0万元，项目支出66.5万元，主要用于302商品和服务支出65.5万元，310资本性支出1万元。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 归口管理的行政单位离退休1.02万元，其中：基本支出1.02万元，主要用于302商品和服务支出1.02万元，项目支出0万元。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2080505机关事业单位基本养老保险缴费支出74.67万元，主要用于工资福利支出；其中：基本支出74.67万元，主要用于301工资福利支出74.67万元，项目支出0万元。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596"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2080506机关事业单位职业年金缴费支出0.91万元，其中：基本支出0.91万元，主要用于301工资福利支出0.91万元，项目支出0万元。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596"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 住房公积金63.81万元，其中：基本支出63.81万元，主要用于301工资福利支出63.81万元，项目支出0万元。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本单位2019年无县对下专项转移支付。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根据《中华人民共和国政府采购法》的有关规定，编制了政府采购预算，共涉及采购项目1个，采购预算资金1.00万元。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2019年一般公共预算三公经费支出预算数为53.6万元，与上年53.6万元相比持平。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拟安排出国（境）经费预算0万元，比上年持平。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2、公务接待费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90" w:lineRule="atLeast"/>
        <w:ind w:left="0" w:right="0" w:firstLine="42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拟安排公务接待费预算18.8万元，主要用于按规定开支的各类公务接待产生的费用，与上年预算数18.8万元持平。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62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用车购置及运行维护费34.8万元，其中：购置经费0万元、运行维护费34.8万元，主要用于保障政府部门、党群部门、其他部门公务工作开展，拟产生的公务用车燃料费、维修费、过路过桥费、保险费等支出，与上年预算数34.8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（二）预算收入增减变化情况及原因说明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2019年部门预算总收入 942.68万元，较2018年部门预算总收入956.65万元，减少13.97万元；减1.46%，主要原因是新增养老保险、调资增资，项目经费减少。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（三）预算支出增减变化情况及原因说明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 942.68万元，其中：基本支出预算815.18万元，较2018年基本支出预算650.68万元，增加164.5万元，增25.28%，增加的主要原因是新增养老保险、调资增资。项目支出预算127.5万元，较2018年项目支出预算305.97万元，减少178.47万元，减58.33%，主要原因是项目减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（一）专业名词解释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225" w:afterAutospacing="0" w:line="360" w:lineRule="atLeast"/>
        <w:ind w:left="0" w:right="0" w:firstLine="75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1.</w:t>
      </w:r>
      <w:r>
        <w:rPr>
          <w:rFonts w:ascii="宋体" w:hAnsi="宋体" w:eastAsia="宋体" w:cs="宋体"/>
          <w:b w:val="0"/>
          <w:i w:val="0"/>
          <w:caps w:val="0"/>
          <w:color w:val="000000"/>
          <w:spacing w:val="0"/>
          <w:sz w:val="24"/>
          <w:szCs w:val="24"/>
          <w:shd w:val="clear" w:fill="FBFBFB"/>
        </w:rPr>
        <w:t>财政拨款（补助）收入</w:t>
      </w:r>
      <w:r>
        <w:rPr>
          <w:rFonts w:ascii="宋体" w:hAnsi="宋体" w:eastAsia="宋体" w:cs="宋体"/>
          <w:i w:val="0"/>
          <w:caps w:val="0"/>
          <w:color w:val="000000"/>
          <w:spacing w:val="0"/>
          <w:sz w:val="24"/>
          <w:szCs w:val="24"/>
          <w:shd w:val="clear" w:fill="FBFBFB"/>
        </w:rPr>
        <w:t>指财政部门当年拨付的资金。</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225" w:afterAutospacing="0" w:line="360" w:lineRule="atLeast"/>
        <w:ind w:left="0" w:right="0" w:firstLine="693"/>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sz w:val="24"/>
          <w:szCs w:val="24"/>
          <w:shd w:val="clear" w:fill="FBFBFB"/>
        </w:rPr>
        <w:t>2.基本支出</w:t>
      </w:r>
      <w:r>
        <w:rPr>
          <w:rFonts w:ascii="宋体" w:hAnsi="宋体" w:eastAsia="宋体" w:cs="宋体"/>
          <w:i w:val="0"/>
          <w:caps w:val="0"/>
          <w:color w:val="000000"/>
          <w:spacing w:val="0"/>
          <w:sz w:val="24"/>
          <w:szCs w:val="24"/>
          <w:shd w:val="clear" w:fill="FBFBFB"/>
        </w:rPr>
        <w:t>指为保障机构正常运转、完成日常工作任务而发生的人员支出和公用支出。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225" w:afterAutospacing="0" w:line="360" w:lineRule="atLeast"/>
        <w:ind w:left="0" w:right="0" w:firstLine="693"/>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sz w:val="24"/>
          <w:szCs w:val="24"/>
          <w:shd w:val="clear" w:fill="FBFBFB"/>
        </w:rPr>
        <w:t>3.项目支出</w:t>
      </w:r>
      <w:r>
        <w:rPr>
          <w:rFonts w:ascii="宋体" w:hAnsi="宋体" w:eastAsia="宋体" w:cs="宋体"/>
          <w:i w:val="0"/>
          <w:caps w:val="0"/>
          <w:color w:val="000000"/>
          <w:spacing w:val="0"/>
          <w:sz w:val="24"/>
          <w:szCs w:val="24"/>
          <w:shd w:val="clear" w:fill="FBFBFB"/>
        </w:rPr>
        <w:t>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7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7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7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7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7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44"/>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315"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i w:val="0"/>
          <w:caps w:val="0"/>
          <w:color w:val="333333"/>
          <w:spacing w:val="0"/>
          <w:kern w:val="0"/>
          <w:sz w:val="24"/>
          <w:szCs w:val="24"/>
          <w:shd w:val="clear" w:fill="FBFBFB"/>
          <w:lang w:val="en-US" w:eastAsia="zh-CN" w:bidi="ar"/>
        </w:rPr>
        <w:t>2019年部门预算机关运行经费81.22万元，主要用于办公费22.82万元、邮电费8万元、差旅费11万元、培训费5.6万元、公务接待费18.8万元、公务用车运行维护费15万元。比2018年90.22万元减少9万元，其中：运转公用经费减少2万元、划出资本性支出7万元。主要原因是人员增减变动和支出科目调变动。</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i w:val="0"/>
          <w:caps w:val="0"/>
          <w:color w:val="000000"/>
          <w:spacing w:val="0"/>
          <w:kern w:val="0"/>
          <w:sz w:val="24"/>
          <w:szCs w:val="24"/>
          <w:shd w:val="clear" w:fill="FBFBFB"/>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00"/>
        <w:jc w:val="left"/>
        <w:rPr>
          <w:rFonts w:hint="default" w:ascii="微软雅黑" w:hAnsi="微软雅黑" w:eastAsia="微软雅黑" w:cs="微软雅黑"/>
          <w:color w:val="333333"/>
          <w:sz w:val="21"/>
          <w:szCs w:val="21"/>
        </w:rPr>
      </w:pPr>
      <w:r>
        <w:rPr>
          <w:rFonts w:ascii="宋体" w:hAnsi="宋体" w:eastAsia="宋体" w:cs="宋体"/>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firstLine="630"/>
        <w:jc w:val="left"/>
        <w:rPr>
          <w:rFonts w:hint="default" w:ascii="微软雅黑" w:hAnsi="微软雅黑" w:eastAsia="微软雅黑" w:cs="微软雅黑"/>
          <w:color w:val="333333"/>
          <w:sz w:val="21"/>
          <w:szCs w:val="21"/>
        </w:rPr>
      </w:pPr>
      <w:r>
        <w:rPr>
          <w:rFonts w:ascii="宋体" w:hAnsi="宋体" w:eastAsia="宋体" w:cs="宋体"/>
          <w:i w:val="0"/>
          <w:caps w:val="0"/>
          <w:color w:val="000000"/>
          <w:spacing w:val="0"/>
          <w:kern w:val="0"/>
          <w:sz w:val="24"/>
          <w:szCs w:val="24"/>
          <w:shd w:val="clear" w:fill="FBFBFB"/>
          <w:lang w:val="en-US" w:eastAsia="zh-CN" w:bidi="ar"/>
        </w:rPr>
        <w:t>2019年部门收入预算942.68万元，财政拨款安排支出  942.68万元其中：基本支出815.18万元，主要用于发放人员工资，住房公积金，基本养老保险缴费，支付公用经费，保障机构正常运转。项目支出127.5万元，主要用于县妇联特困妇女救助金5万元、妇儿工委工作经费7万元，机要密码干部值班补贴6万元，县委办统筹协调经费30万元，服务“一带一路”边境经济发展试点工作经费3万，县委办督查室及重大项目督查经费10万元，县关工委顾问工作补贴3.5万元、关爱资金5万元、“讲政治、育新人、学科技、奔小康”活动经费10万元、“中华魂”主题教育活动经费5万元、农村留守儿童关爱教育活动经费3万元、各项工作经费40万元，认真贯彻落实</w:t>
      </w:r>
      <w:r>
        <w:rPr>
          <w:rFonts w:hint="eastAsia" w:ascii="宋体" w:hAnsi="宋体" w:cs="宋体"/>
          <w:i w:val="0"/>
          <w:caps w:val="0"/>
          <w:color w:val="000000"/>
          <w:spacing w:val="0"/>
          <w:kern w:val="0"/>
          <w:sz w:val="24"/>
          <w:szCs w:val="24"/>
          <w:shd w:val="clear" w:fill="FBFBFB"/>
          <w:lang w:val="en-US" w:eastAsia="zh-CN" w:bidi="ar"/>
        </w:rPr>
        <w:t>党的十九大精神</w:t>
      </w:r>
      <w:r>
        <w:rPr>
          <w:rFonts w:ascii="宋体" w:hAnsi="宋体" w:eastAsia="宋体" w:cs="宋体"/>
          <w:i w:val="0"/>
          <w:caps w:val="0"/>
          <w:color w:val="000000"/>
          <w:spacing w:val="0"/>
          <w:kern w:val="0"/>
          <w:sz w:val="24"/>
          <w:szCs w:val="24"/>
          <w:shd w:val="clear" w:fill="FBFBFB"/>
          <w:lang w:val="en-US" w:eastAsia="zh-CN" w:bidi="ar"/>
        </w:rPr>
        <w:t>和县委十二届七次全会确定的各项目标任务，严格执行中央八项规定和各项财经纪律，本着少花钱、多办事的原则，充分发挥预算经费的作用，保工资、保运转、保民生、保重点，为县委办、县关工委和县妇联各项工作目标任务的顺利开展提供有力保障，促进盈江经济社会持续向前发展。</w:t>
      </w:r>
    </w:p>
    <w:p/>
    <w:p>
      <w:pPr>
        <w:widowControl/>
        <w:jc w:val="left"/>
        <w:rPr>
          <w:rFonts w:ascii="仿宋_GB2312" w:hAnsi="仿宋_GB2312" w:eastAsia="仿宋_GB2312" w:cs="仿宋_GB2312"/>
          <w:kern w:val="0"/>
          <w:sz w:val="30"/>
          <w:szCs w:val="30"/>
        </w:rPr>
      </w:pPr>
    </w:p>
    <w:p>
      <w:pPr>
        <w:rPr>
          <w:rFonts w:ascii="Arial" w:hAnsi="Arial" w:eastAsia="Arial" w:cs="Arial"/>
          <w:b/>
          <w:sz w:val="36"/>
        </w:rPr>
      </w:pPr>
      <w:r>
        <w:rPr>
          <w:rFonts w:ascii="Arial" w:hAnsi="Arial" w:eastAsia="Arial" w:cs="Arial"/>
          <w:b/>
          <w:sz w:val="36"/>
        </w:rPr>
        <w:t>监督索引号53312300420100111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4397E"/>
    <w:rsid w:val="00051505"/>
    <w:rsid w:val="0005317B"/>
    <w:rsid w:val="000543CA"/>
    <w:rsid w:val="00054EA9"/>
    <w:rsid w:val="000559B2"/>
    <w:rsid w:val="00060B5F"/>
    <w:rsid w:val="00063177"/>
    <w:rsid w:val="00063B1B"/>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2AA6"/>
    <w:rsid w:val="000B59B5"/>
    <w:rsid w:val="000B5BAB"/>
    <w:rsid w:val="000B7EA9"/>
    <w:rsid w:val="000C17E6"/>
    <w:rsid w:val="000C3AE5"/>
    <w:rsid w:val="000C5123"/>
    <w:rsid w:val="000D02B4"/>
    <w:rsid w:val="000D4394"/>
    <w:rsid w:val="000E2B18"/>
    <w:rsid w:val="000E530D"/>
    <w:rsid w:val="000F365A"/>
    <w:rsid w:val="000F4AB8"/>
    <w:rsid w:val="000F4C86"/>
    <w:rsid w:val="001046C0"/>
    <w:rsid w:val="00104701"/>
    <w:rsid w:val="00114FB7"/>
    <w:rsid w:val="00122B32"/>
    <w:rsid w:val="00123DF3"/>
    <w:rsid w:val="00126D02"/>
    <w:rsid w:val="00126F40"/>
    <w:rsid w:val="00127A6B"/>
    <w:rsid w:val="00132735"/>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2CF"/>
    <w:rsid w:val="001704E4"/>
    <w:rsid w:val="00175223"/>
    <w:rsid w:val="00175B2E"/>
    <w:rsid w:val="00176F17"/>
    <w:rsid w:val="001804E3"/>
    <w:rsid w:val="00180C9A"/>
    <w:rsid w:val="00182D13"/>
    <w:rsid w:val="00183B42"/>
    <w:rsid w:val="00186C54"/>
    <w:rsid w:val="00192C05"/>
    <w:rsid w:val="00195A30"/>
    <w:rsid w:val="00197CAA"/>
    <w:rsid w:val="00197E5D"/>
    <w:rsid w:val="001A1B3A"/>
    <w:rsid w:val="001A3CEE"/>
    <w:rsid w:val="001A784A"/>
    <w:rsid w:val="001B045D"/>
    <w:rsid w:val="001C1C89"/>
    <w:rsid w:val="001C55D5"/>
    <w:rsid w:val="001D120C"/>
    <w:rsid w:val="001E03BD"/>
    <w:rsid w:val="001E684A"/>
    <w:rsid w:val="001F1147"/>
    <w:rsid w:val="001F6A83"/>
    <w:rsid w:val="00200BD6"/>
    <w:rsid w:val="00213694"/>
    <w:rsid w:val="00216177"/>
    <w:rsid w:val="002230AE"/>
    <w:rsid w:val="002245E6"/>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06A5"/>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36A3E"/>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4C16"/>
    <w:rsid w:val="003A58E0"/>
    <w:rsid w:val="003A73EF"/>
    <w:rsid w:val="003B2514"/>
    <w:rsid w:val="003B503A"/>
    <w:rsid w:val="003B54C2"/>
    <w:rsid w:val="003B5BA8"/>
    <w:rsid w:val="003C0093"/>
    <w:rsid w:val="003C1BE1"/>
    <w:rsid w:val="003C6315"/>
    <w:rsid w:val="003D1204"/>
    <w:rsid w:val="003D160D"/>
    <w:rsid w:val="003D25CC"/>
    <w:rsid w:val="003D35F4"/>
    <w:rsid w:val="003D6601"/>
    <w:rsid w:val="003D6C9A"/>
    <w:rsid w:val="003E2D1F"/>
    <w:rsid w:val="003E2DE1"/>
    <w:rsid w:val="003E435D"/>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5ED6"/>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4F61F2"/>
    <w:rsid w:val="005054B5"/>
    <w:rsid w:val="00505533"/>
    <w:rsid w:val="00506344"/>
    <w:rsid w:val="005148D7"/>
    <w:rsid w:val="00521069"/>
    <w:rsid w:val="005248EA"/>
    <w:rsid w:val="0052572D"/>
    <w:rsid w:val="00535918"/>
    <w:rsid w:val="005431C8"/>
    <w:rsid w:val="00543209"/>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388C"/>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3589"/>
    <w:rsid w:val="006540CB"/>
    <w:rsid w:val="00660B2A"/>
    <w:rsid w:val="00663D84"/>
    <w:rsid w:val="00682553"/>
    <w:rsid w:val="0068515C"/>
    <w:rsid w:val="0068667C"/>
    <w:rsid w:val="006A26A0"/>
    <w:rsid w:val="006A4FDA"/>
    <w:rsid w:val="006B1C07"/>
    <w:rsid w:val="006B3DA5"/>
    <w:rsid w:val="006B5B25"/>
    <w:rsid w:val="006B7827"/>
    <w:rsid w:val="006D0172"/>
    <w:rsid w:val="006D56A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51B2A"/>
    <w:rsid w:val="0076269B"/>
    <w:rsid w:val="00765E00"/>
    <w:rsid w:val="00766131"/>
    <w:rsid w:val="0077005A"/>
    <w:rsid w:val="00772DB4"/>
    <w:rsid w:val="00780AAD"/>
    <w:rsid w:val="0078371A"/>
    <w:rsid w:val="00783A4C"/>
    <w:rsid w:val="0079250C"/>
    <w:rsid w:val="00794375"/>
    <w:rsid w:val="007A05BD"/>
    <w:rsid w:val="007A7078"/>
    <w:rsid w:val="007A725D"/>
    <w:rsid w:val="007B31A0"/>
    <w:rsid w:val="007B4A0F"/>
    <w:rsid w:val="007B61C3"/>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3074"/>
    <w:rsid w:val="00825E03"/>
    <w:rsid w:val="00827ECC"/>
    <w:rsid w:val="0083106D"/>
    <w:rsid w:val="0083313F"/>
    <w:rsid w:val="00834D98"/>
    <w:rsid w:val="00835730"/>
    <w:rsid w:val="00835F23"/>
    <w:rsid w:val="00840F11"/>
    <w:rsid w:val="0084210A"/>
    <w:rsid w:val="00845657"/>
    <w:rsid w:val="00845F2C"/>
    <w:rsid w:val="0084624C"/>
    <w:rsid w:val="00851C1D"/>
    <w:rsid w:val="00864E02"/>
    <w:rsid w:val="008741DF"/>
    <w:rsid w:val="00874702"/>
    <w:rsid w:val="008775B4"/>
    <w:rsid w:val="008808A6"/>
    <w:rsid w:val="00884461"/>
    <w:rsid w:val="00885B69"/>
    <w:rsid w:val="008A005D"/>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15FD1"/>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2E5E"/>
    <w:rsid w:val="0098468C"/>
    <w:rsid w:val="0098667C"/>
    <w:rsid w:val="009907B9"/>
    <w:rsid w:val="00992351"/>
    <w:rsid w:val="009A08B6"/>
    <w:rsid w:val="009A2377"/>
    <w:rsid w:val="009A4D11"/>
    <w:rsid w:val="009B3ED3"/>
    <w:rsid w:val="009B4ADC"/>
    <w:rsid w:val="009C1730"/>
    <w:rsid w:val="009D23F7"/>
    <w:rsid w:val="009D6232"/>
    <w:rsid w:val="009E15D4"/>
    <w:rsid w:val="009E572F"/>
    <w:rsid w:val="009F25BD"/>
    <w:rsid w:val="009F3C7E"/>
    <w:rsid w:val="009F5646"/>
    <w:rsid w:val="009F7873"/>
    <w:rsid w:val="009F7979"/>
    <w:rsid w:val="009F7AE7"/>
    <w:rsid w:val="00A03FA7"/>
    <w:rsid w:val="00A045B8"/>
    <w:rsid w:val="00A06395"/>
    <w:rsid w:val="00A06AEF"/>
    <w:rsid w:val="00A10700"/>
    <w:rsid w:val="00A10912"/>
    <w:rsid w:val="00A14D49"/>
    <w:rsid w:val="00A15184"/>
    <w:rsid w:val="00A1637D"/>
    <w:rsid w:val="00A2566B"/>
    <w:rsid w:val="00A32086"/>
    <w:rsid w:val="00A34E84"/>
    <w:rsid w:val="00A352B0"/>
    <w:rsid w:val="00A37886"/>
    <w:rsid w:val="00A4344A"/>
    <w:rsid w:val="00A472C6"/>
    <w:rsid w:val="00A51E78"/>
    <w:rsid w:val="00A570A1"/>
    <w:rsid w:val="00A60974"/>
    <w:rsid w:val="00A61DCD"/>
    <w:rsid w:val="00A65535"/>
    <w:rsid w:val="00A724CF"/>
    <w:rsid w:val="00A732EA"/>
    <w:rsid w:val="00A7532F"/>
    <w:rsid w:val="00A761CF"/>
    <w:rsid w:val="00A81682"/>
    <w:rsid w:val="00A84D92"/>
    <w:rsid w:val="00A84E65"/>
    <w:rsid w:val="00A95B6C"/>
    <w:rsid w:val="00AA7480"/>
    <w:rsid w:val="00AB1481"/>
    <w:rsid w:val="00AB2ABB"/>
    <w:rsid w:val="00AB41E7"/>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0B3A"/>
    <w:rsid w:val="00B259AC"/>
    <w:rsid w:val="00B268D9"/>
    <w:rsid w:val="00B26EC9"/>
    <w:rsid w:val="00B31B8F"/>
    <w:rsid w:val="00B333B0"/>
    <w:rsid w:val="00B43561"/>
    <w:rsid w:val="00B440DB"/>
    <w:rsid w:val="00B4415D"/>
    <w:rsid w:val="00B45103"/>
    <w:rsid w:val="00B45D24"/>
    <w:rsid w:val="00B4734A"/>
    <w:rsid w:val="00B51A4B"/>
    <w:rsid w:val="00B52992"/>
    <w:rsid w:val="00B538C6"/>
    <w:rsid w:val="00B6130C"/>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CD2"/>
    <w:rsid w:val="00BF3FBF"/>
    <w:rsid w:val="00C01D14"/>
    <w:rsid w:val="00C04DD5"/>
    <w:rsid w:val="00C073D6"/>
    <w:rsid w:val="00C07645"/>
    <w:rsid w:val="00C12785"/>
    <w:rsid w:val="00C14D2D"/>
    <w:rsid w:val="00C15327"/>
    <w:rsid w:val="00C205DD"/>
    <w:rsid w:val="00C242B2"/>
    <w:rsid w:val="00C25F74"/>
    <w:rsid w:val="00C31FE6"/>
    <w:rsid w:val="00C33655"/>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860F0"/>
    <w:rsid w:val="00C90645"/>
    <w:rsid w:val="00C92A41"/>
    <w:rsid w:val="00C95E0F"/>
    <w:rsid w:val="00CA3BAD"/>
    <w:rsid w:val="00CB1858"/>
    <w:rsid w:val="00CC0087"/>
    <w:rsid w:val="00CD0085"/>
    <w:rsid w:val="00CE105B"/>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1FD1"/>
    <w:rsid w:val="00D37964"/>
    <w:rsid w:val="00D40468"/>
    <w:rsid w:val="00D41BD8"/>
    <w:rsid w:val="00D439C2"/>
    <w:rsid w:val="00D45FD5"/>
    <w:rsid w:val="00D501E4"/>
    <w:rsid w:val="00D51F3A"/>
    <w:rsid w:val="00D6213F"/>
    <w:rsid w:val="00D62340"/>
    <w:rsid w:val="00D63F18"/>
    <w:rsid w:val="00D6527D"/>
    <w:rsid w:val="00D6795D"/>
    <w:rsid w:val="00D729EC"/>
    <w:rsid w:val="00D74B92"/>
    <w:rsid w:val="00D83A9A"/>
    <w:rsid w:val="00D841C1"/>
    <w:rsid w:val="00D84915"/>
    <w:rsid w:val="00D93010"/>
    <w:rsid w:val="00D946E9"/>
    <w:rsid w:val="00D9604F"/>
    <w:rsid w:val="00D9737C"/>
    <w:rsid w:val="00DA76AC"/>
    <w:rsid w:val="00DB3D0C"/>
    <w:rsid w:val="00DB4D49"/>
    <w:rsid w:val="00DB767D"/>
    <w:rsid w:val="00DC07E5"/>
    <w:rsid w:val="00DC361E"/>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5DB1"/>
    <w:rsid w:val="00E36ECE"/>
    <w:rsid w:val="00E46B69"/>
    <w:rsid w:val="00E525F9"/>
    <w:rsid w:val="00E573AC"/>
    <w:rsid w:val="00E57B94"/>
    <w:rsid w:val="00E62839"/>
    <w:rsid w:val="00E62E85"/>
    <w:rsid w:val="00E64EE1"/>
    <w:rsid w:val="00E65C1E"/>
    <w:rsid w:val="00E75F13"/>
    <w:rsid w:val="00E76022"/>
    <w:rsid w:val="00E83456"/>
    <w:rsid w:val="00E97D8E"/>
    <w:rsid w:val="00EA1782"/>
    <w:rsid w:val="00EA25E4"/>
    <w:rsid w:val="00EA3E87"/>
    <w:rsid w:val="00EA7A22"/>
    <w:rsid w:val="00EA7DE2"/>
    <w:rsid w:val="00EB004F"/>
    <w:rsid w:val="00EB6AC3"/>
    <w:rsid w:val="00EC6D59"/>
    <w:rsid w:val="00EC703C"/>
    <w:rsid w:val="00EC76C3"/>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3EB5"/>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87533"/>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2AB0"/>
    <w:rsid w:val="00FE5F50"/>
    <w:rsid w:val="00FF1B25"/>
    <w:rsid w:val="00FF1CF6"/>
    <w:rsid w:val="00FF7A85"/>
    <w:rsid w:val="025737A0"/>
    <w:rsid w:val="03F0214E"/>
    <w:rsid w:val="06325B44"/>
    <w:rsid w:val="080E6BE1"/>
    <w:rsid w:val="0AB77A2F"/>
    <w:rsid w:val="18A425E3"/>
    <w:rsid w:val="1A0B3DDD"/>
    <w:rsid w:val="2D7B7E3A"/>
    <w:rsid w:val="2ECB0E1C"/>
    <w:rsid w:val="39466C4F"/>
    <w:rsid w:val="4C4F3F23"/>
    <w:rsid w:val="59831ED5"/>
    <w:rsid w:val="724A4A01"/>
    <w:rsid w:val="75F1074B"/>
    <w:rsid w:val="7B1E539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iPriority w:val="99"/>
    <w:pPr>
      <w:jc w:val="left"/>
    </w:pPr>
  </w:style>
  <w:style w:type="paragraph" w:styleId="3">
    <w:name w:val="Balloon Text"/>
    <w:basedOn w:val="1"/>
    <w:link w:val="14"/>
    <w:semiHidden/>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locked/>
    <w:uiPriority w:val="99"/>
    <w:pPr>
      <w:spacing w:before="100" w:beforeAutospacing="1" w:after="100" w:afterAutospacing="1"/>
      <w:ind w:firstLine="420"/>
      <w:jc w:val="left"/>
    </w:pPr>
    <w:rPr>
      <w:rFonts w:ascii="Calibri" w:hAnsi="Calibri"/>
      <w:kern w:val="0"/>
      <w:sz w:val="24"/>
    </w:rPr>
  </w:style>
  <w:style w:type="paragraph" w:styleId="7">
    <w:name w:val="annotation subject"/>
    <w:basedOn w:val="2"/>
    <w:next w:val="2"/>
    <w:link w:val="13"/>
    <w:semiHidden/>
    <w:qFormat/>
    <w:uiPriority w:val="99"/>
    <w:rPr>
      <w:b/>
      <w:bCs/>
    </w:rPr>
  </w:style>
  <w:style w:type="character" w:styleId="10">
    <w:name w:val="Strong"/>
    <w:basedOn w:val="9"/>
    <w:qFormat/>
    <w:locked/>
    <w:uiPriority w:val="99"/>
    <w:rPr>
      <w:rFonts w:ascii="Times New Roman" w:hAnsi="Times New Roman" w:cs="Times New Roman"/>
      <w:b/>
    </w:rPr>
  </w:style>
  <w:style w:type="character" w:styleId="11">
    <w:name w:val="annotation reference"/>
    <w:basedOn w:val="9"/>
    <w:semiHidden/>
    <w:qFormat/>
    <w:uiPriority w:val="99"/>
    <w:rPr>
      <w:rFonts w:cs="Times New Roman"/>
      <w:sz w:val="21"/>
    </w:rPr>
  </w:style>
  <w:style w:type="character" w:customStyle="1" w:styleId="12">
    <w:name w:val="Comment Text Char"/>
    <w:basedOn w:val="9"/>
    <w:link w:val="2"/>
    <w:semiHidden/>
    <w:qFormat/>
    <w:locked/>
    <w:uiPriority w:val="99"/>
    <w:rPr>
      <w:rFonts w:cs="Times New Roman"/>
      <w:sz w:val="24"/>
      <w:szCs w:val="24"/>
    </w:rPr>
  </w:style>
  <w:style w:type="character" w:customStyle="1" w:styleId="13">
    <w:name w:val="Comment Subject Char"/>
    <w:basedOn w:val="12"/>
    <w:link w:val="7"/>
    <w:semiHidden/>
    <w:qFormat/>
    <w:locked/>
    <w:uiPriority w:val="99"/>
    <w:rPr>
      <w:b/>
      <w:bCs/>
    </w:rPr>
  </w:style>
  <w:style w:type="character" w:customStyle="1" w:styleId="14">
    <w:name w:val="Balloon Text Char"/>
    <w:basedOn w:val="9"/>
    <w:link w:val="3"/>
    <w:semiHidden/>
    <w:qFormat/>
    <w:locked/>
    <w:uiPriority w:val="99"/>
    <w:rPr>
      <w:rFonts w:cs="Times New Roman"/>
      <w:sz w:val="2"/>
    </w:rPr>
  </w:style>
  <w:style w:type="character" w:customStyle="1" w:styleId="15">
    <w:name w:val="Footer Char"/>
    <w:basedOn w:val="9"/>
    <w:link w:val="4"/>
    <w:semiHidden/>
    <w:qFormat/>
    <w:locked/>
    <w:uiPriority w:val="99"/>
    <w:rPr>
      <w:rFonts w:cs="Times New Roman"/>
      <w:sz w:val="18"/>
      <w:szCs w:val="18"/>
    </w:rPr>
  </w:style>
  <w:style w:type="character" w:customStyle="1" w:styleId="16">
    <w:name w:val="Header Char"/>
    <w:basedOn w:val="9"/>
    <w:link w:val="5"/>
    <w:semiHidden/>
    <w:qFormat/>
    <w:locked/>
    <w:uiPriority w:val="99"/>
    <w:rPr>
      <w:rFonts w:cs="Times New Roman"/>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zhlx</Company>
  <Pages>10</Pages>
  <Words>744</Words>
  <Characters>4244</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2024-07-15T01:36:14Z</dcterms:modified>
  <dc:title>年部门预算编制说明</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0D2C8E967A4F4A0D9F567DD148E6AF42</vt:lpwstr>
  </property>
</Properties>
</file>