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监督索引号53312300443500000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盈江县人民政府办公室2019年预算公开目录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盈江县人民政府办公室2019年部门预算编制说明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盈江县人民政府办公室2019年部门预算表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盈江县人民政府办公室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根据盈办发〔2019〕17号文件《中共盈江县委办公室  盈江县人民政府办公室关于印发《盈江县政府办公室职能配置、内设机构和人员编制规定》的通知，主要职能是：（1）负责县人民政府各类会议的组织实施工作；（2）协助县人民政府领导组织起草或审核以县人民政府和县人民政府办公室名义印发的公文。办理党中央、国务院、省委、省政府、州委、州政府、县委及县直各单位发、送县人民政府的公文；（3）受理各乡镇人民政府及县政府各部门请示县人民政府的事项，提出办理意见，报县人民政府领导审批；（4）根据县人民政府领导指示，对政府部门间有争议的事项进行协调并提出处理意见，报县人民政府领导决定；（5）督促检查县政府各部门和各乡镇人民政府对县人民政府公文、会议决定事项及县人民政府领导有关指示的执行落实情况，及时向县人民政府领导报告；（6）协助县人民政府领导做好突发事件的应急处置工作；负责县政府值班工作，及时报告重要情况；协助处理各部门和各乡镇向县人民政府反映的重要问题，处理、接待人民群众来信来访，征集人民群众的建议和意见；（7）对全县经济和社会发展等重大问题以及县政府的各项政策、决策组织调查研究，及时反映情况、提出建议；（8）负责全县政务信息与政务公开工作，指导全县电子政务规划、建设、监督和管理工作；（9）负责组织办理人大代表建议和政协委员提案，承办交由县人民政府和县人民政府办公室办理的人大代表建议和政协委员提案；（10）负责县人民政府政务督查工作；（11）负责办公室机关职工的思想政治工作、人事工作和离退休人员管理服务工作；（12）负责县人民政府、县政府办公室电报、文件、函件、简报等公文的收发、印制、清退、归档、保密、管理；（13）完成县人民政府、县人民政府领导和州人民政府办公室交办的其他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盈江县人民政府办公室设10个内设机构。分别是：综合室、秘书股、办文股、行政股、政府信息与政务公开办公室、信息技术股、政府督查室、信访局、研究室、县政府总值班室。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以邓小平理论、“三个代表”重要思想、科学发展观为指导，全面贯彻落实</w:t>
      </w:r>
      <w:r>
        <w:rPr>
          <w:rFonts w:hint="eastAsia" w:ascii="宋体" w:hAnsi="宋体" w:cs="宋体"/>
          <w:i w:val="0"/>
          <w:caps w:val="0"/>
          <w:color w:val="000000"/>
          <w:spacing w:val="0"/>
          <w:kern w:val="0"/>
          <w:sz w:val="24"/>
          <w:szCs w:val="24"/>
          <w:shd w:val="clear" w:fill="FBFBFB"/>
          <w:lang w:val="en-US" w:eastAsia="zh-CN" w:bidi="ar"/>
        </w:rPr>
        <w:t>党的</w:t>
      </w:r>
      <w:r>
        <w:rPr>
          <w:rFonts w:ascii="宋体" w:hAnsi="宋体" w:eastAsia="宋体" w:cs="宋体"/>
          <w:i w:val="0"/>
          <w:caps w:val="0"/>
          <w:color w:val="000000"/>
          <w:spacing w:val="0"/>
          <w:kern w:val="0"/>
          <w:sz w:val="24"/>
          <w:szCs w:val="24"/>
          <w:shd w:val="clear" w:fill="FBFBFB"/>
          <w:lang w:val="en-US" w:eastAsia="zh-CN" w:bidi="ar"/>
        </w:rPr>
        <w:t>十九大及</w:t>
      </w:r>
      <w:r>
        <w:rPr>
          <w:rFonts w:hint="eastAsia" w:ascii="宋体" w:hAnsi="宋体" w:cs="宋体"/>
          <w:i w:val="0"/>
          <w:caps w:val="0"/>
          <w:color w:val="000000"/>
          <w:spacing w:val="0"/>
          <w:kern w:val="0"/>
          <w:sz w:val="24"/>
          <w:szCs w:val="24"/>
          <w:shd w:val="clear" w:fill="FBFBFB"/>
          <w:lang w:val="en-US" w:eastAsia="zh-CN" w:bidi="ar"/>
        </w:rPr>
        <w:t>习近平总书记</w:t>
      </w:r>
      <w:r>
        <w:rPr>
          <w:rFonts w:ascii="宋体" w:hAnsi="宋体" w:eastAsia="宋体" w:cs="宋体"/>
          <w:i w:val="0"/>
          <w:caps w:val="0"/>
          <w:color w:val="000000"/>
          <w:spacing w:val="0"/>
          <w:kern w:val="0"/>
          <w:sz w:val="24"/>
          <w:szCs w:val="24"/>
          <w:shd w:val="clear" w:fill="FBFBFB"/>
          <w:lang w:val="en-US" w:eastAsia="zh-CN" w:bidi="ar"/>
        </w:rPr>
        <w:t>系列重要讲话精神，紧紧围绕美丽富饶新盈江建设任务，抢抓机遇，</w:t>
      </w:r>
      <w:r>
        <w:rPr>
          <w:rFonts w:hint="eastAsia" w:ascii="宋体" w:hAnsi="宋体" w:cs="宋体"/>
          <w:i w:val="0"/>
          <w:caps w:val="0"/>
          <w:color w:val="000000"/>
          <w:spacing w:val="0"/>
          <w:kern w:val="0"/>
          <w:sz w:val="24"/>
          <w:szCs w:val="24"/>
          <w:shd w:val="clear" w:fill="FBFBFB"/>
          <w:lang w:val="en-US" w:eastAsia="zh-CN" w:bidi="ar"/>
        </w:rPr>
        <w:t>共克时艰</w:t>
      </w:r>
      <w:r>
        <w:rPr>
          <w:rFonts w:ascii="宋体" w:hAnsi="宋体" w:eastAsia="宋体" w:cs="宋体"/>
          <w:i w:val="0"/>
          <w:caps w:val="0"/>
          <w:color w:val="000000"/>
          <w:spacing w:val="0"/>
          <w:kern w:val="0"/>
          <w:sz w:val="24"/>
          <w:szCs w:val="24"/>
          <w:shd w:val="clear" w:fill="FBFBFB"/>
          <w:lang w:val="en-US" w:eastAsia="zh-CN" w:bidi="ar"/>
        </w:rPr>
        <w:t>，积极应对挑战，科学破解难题。通过优结构、打基础、扩开放、稳三农、强产业、兴文化、保民生、促和谐，进一步巩固了经济发展、社会进步、民族团结、边境安宁、民生改善的良好局面。</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盈江县人民政府办公室编制2019年部门预算单位共1个。其中：财政全供给单位1个；部分供给单位0个；</w:t>
      </w:r>
      <w:bookmarkStart w:id="0" w:name="_GoBack"/>
      <w:bookmarkEnd w:id="0"/>
      <w:r>
        <w:rPr>
          <w:rFonts w:ascii="宋体" w:hAnsi="宋体" w:eastAsia="宋体" w:cs="宋体"/>
          <w:i w:val="0"/>
          <w:caps w:val="0"/>
          <w:color w:val="000000"/>
          <w:spacing w:val="0"/>
          <w:kern w:val="0"/>
          <w:sz w:val="24"/>
          <w:szCs w:val="24"/>
          <w:shd w:val="clear" w:fill="FBFBFB"/>
          <w:lang w:val="en-US" w:eastAsia="zh-CN" w:bidi="ar"/>
        </w:rPr>
        <w:t>特殊供给单位0个；自收自支单位0个。财政全供给单位中行政单位0个；参公管理事业单位0个；非参公管理事业单位0个。截止2018年11月统计，部门基本情况如下：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在职人员编制54人，其中：行政编制 51人，事业编制3人。在职实有54人，其中： 财政全供养 54人，财政部分供养0人，非财政供养0人。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19人，其中： 离休 0人，退休 19人。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车辆编制53辆，实有车辆53辆。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3567.84万元，其中：一般公共预算财政拨款3567.84万元，政府性基金预算财政拨款0万元，国有资本经营预算财政拨款0万元，事业收入0万元，事业单位经营收入0万元，其他收入0万元，上年结转0万元。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3567.84万元，其中:本年收入3567.84万元，上年结转0万元。本年收入中，一般公共预算财政拨款3567.84万元（本级财力3567.84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2019年部门预算总支出3567.84万元。财政拨款安排支出 3567.84万元，其中，基本支出920.13万元，项目支出2647.71万元。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2019年部门预算总支出3567.84万元。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1.2010301行政运行预算安排1823.83万元（包含信访局、机关公务用车管理服务平台中心），主要用于基本支出分别是县政府办干部职工工资522.92万元，信访局干部职工工资64.41万元，机关公务用车管理服务平台中心职工工资25.42万元；对个人及家庭补助（临时工及遗嘱补助）3.96万元，商品服务支出（保机构运转）其中：县政府办公用经费135.92万元，信访局10.00万元；项目支出1061.20万元，分别是聘请法制顾问专项经费44.00万元，接待办专项经费180.00万元，县政府办行政中心建设项目资金（盈恒暂付）800.00万元，驻昆招商工作组工作人员补贴7.20万元，政府办综合协调工作经费30.00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2.2010302一般行政管理事务预算安排1569.51万元，主要用于项目支出县政府办行政中心建设项目资金（盈恒暂付）246.00万元，政府督查工作经费10.00万元，县政府办公室2018年打击走私综合治理工作经费（盈恒暂付）200.00万元，政府系统政务信息量化工作经费10.00万元，政府网站群服务费5.50万元，县政府办公室行政中心购买服务费用（盈恒暂付）919.01万元，乡镇视频系统项目经费14.00万元，应急专项经费15.00万元，驻昆招商工作组工作经费150.00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3.2010308信访事务预算安排15.00万元，主要用于信访局开展日常工作经费。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4.2080501款归口管理的行政单位离退休3.14万元，主要用于基本支出归口管理的行政单位退休人员经费1.14万元。其中县政府办退休人员经费1.08万元，信访局退休人员经费0.06万元；项目支出盈江在昆明退休干部活动费2.00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5.2080505机关事业单位基本养老保险缴费85.16万元，主要用于县政府办干部职工基本养老保险缴费。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6.2210201住房公积金预算安排71.20万元，主要用于县政府办干部职工住房公积金缴费61.21万元，信访局干部职工住房公积金缴费7.03万元，机关公务用车管理服务平台中心干部职工住房公积金缴费2.96万元。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2019年部门预算总支出3567.84万元。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1.</w:t>
      </w:r>
      <w:r>
        <w:rPr>
          <w:rFonts w:ascii="宋体" w:hAnsi="宋体" w:eastAsia="宋体" w:cs="宋体"/>
          <w:i w:val="0"/>
          <w:caps w:val="0"/>
          <w:color w:val="000000"/>
          <w:spacing w:val="0"/>
          <w:kern w:val="0"/>
          <w:sz w:val="24"/>
          <w:szCs w:val="24"/>
          <w:shd w:val="clear" w:fill="FBFBFB"/>
          <w:lang w:val="en-US" w:eastAsia="zh-CN" w:bidi="ar"/>
        </w:rPr>
        <w:t>基本支出预算安排920.13万元。主要用于301类工资福利支出769.11万元，支付县政府办、信访局、机关公务用车管理服务平台中心人员基本工资180.10万元、津贴补贴285.06万元、机关事业单位基本养老保险缴费85.16万元、住房公积金71.20万元、年终一次性奖金15.01万元、绩效工资132.58万元等支出；302类商品服务支出147.06万元，保机构运转支出，其中办公费26.14万元、差旅费53.00万元、邮电费5.00万元、公务接待费8.00万元、劳务费6.00万元、公务用车运行维护费5.00万元、其他交通费43.92万元；303类对个人及家庭补助支出3.96万元，支付县政府接待办临时工工资及遗嘱补助款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项目支出预算安排2647.71万元。主要用于302类商品服务支出1584.51万元，支付县政府办下设10个机构开展日常工作所需经费，其中办公费185.00万元、印刷费2.00万元、邮电费22.50万元、差旅费80.00万元、公务接待费188.00万元、劳务费1055.01万元、公务用车运行维护费45.00万元、电费4.00万元、水费3.00万元。303类对个人及家庭补助支出17.20万元。支付政府系统政务信息量化工作经费10.00万元、驻昆招商工作组人员补贴支出7.20万元。310类其他资本性支出1046.00万元。支付县政府办行政中心建设项目资金（盈恒暂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本单位2019年无县对下转移支付项目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根据《中华人民共和国政府采购法》的有关规定，编制了政府采购预算，共涉及采购项目6个，采购预算资金34.00万元。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2019年“三公”经费支出预算数为243万元与上年预算数243万元持平。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拟安排公务接待费预算188.00万元，主要用于按规定开支的各类公务接待产生的费用，与上年预算数188万元持平。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55.00万元，其中：购置经费0万元、运行维护费55.00万元，主要用于保障政府部门开展公务活动工作，拟产生的公务用车燃料费、维修费、过路过桥费、保险费等支出，与上年预算数55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1.2019年收入预算总额</w:t>
      </w:r>
      <w:r>
        <w:rPr>
          <w:rFonts w:ascii="宋体" w:hAnsi="宋体" w:eastAsia="宋体" w:cs="宋体"/>
          <w:i w:val="0"/>
          <w:caps w:val="0"/>
          <w:color w:val="000000"/>
          <w:spacing w:val="0"/>
          <w:kern w:val="0"/>
          <w:sz w:val="24"/>
          <w:szCs w:val="24"/>
          <w:shd w:val="clear" w:fill="FBFBFB"/>
          <w:lang w:val="en-US" w:eastAsia="zh-CN" w:bidi="ar"/>
        </w:rPr>
        <w:t> 3567.84</w:t>
      </w:r>
      <w:r>
        <w:rPr>
          <w:rFonts w:ascii="宋体" w:hAnsi="宋体" w:eastAsia="宋体" w:cs="宋体"/>
          <w:b w:val="0"/>
          <w:i w:val="0"/>
          <w:caps w:val="0"/>
          <w:color w:val="000000"/>
          <w:spacing w:val="0"/>
          <w:kern w:val="0"/>
          <w:sz w:val="24"/>
          <w:szCs w:val="24"/>
          <w:shd w:val="clear" w:fill="FBFBFB"/>
          <w:lang w:val="en-US" w:eastAsia="zh-CN" w:bidi="ar"/>
        </w:rPr>
        <w:t>万元，比2018年收入预算总额1254.31万元，增加2313.53万元，上升率64.84%，主要原因是</w:t>
      </w:r>
      <w:r>
        <w:rPr>
          <w:rFonts w:ascii="宋体" w:hAnsi="宋体" w:eastAsia="宋体" w:cs="宋体"/>
          <w:i w:val="0"/>
          <w:caps w:val="0"/>
          <w:color w:val="000000"/>
          <w:spacing w:val="0"/>
          <w:kern w:val="0"/>
          <w:sz w:val="24"/>
          <w:szCs w:val="24"/>
          <w:shd w:val="clear" w:fill="FBFBFB"/>
          <w:lang w:val="en-US" w:eastAsia="zh-CN" w:bidi="ar"/>
        </w:rPr>
        <w:t>县政府办、信访局、机关公务用车管理服务平台中心人员</w:t>
      </w:r>
      <w:r>
        <w:rPr>
          <w:rFonts w:ascii="宋体" w:hAnsi="宋体" w:eastAsia="宋体" w:cs="宋体"/>
          <w:b w:val="0"/>
          <w:i w:val="0"/>
          <w:caps w:val="0"/>
          <w:color w:val="000000"/>
          <w:spacing w:val="0"/>
          <w:kern w:val="0"/>
          <w:sz w:val="24"/>
          <w:szCs w:val="24"/>
          <w:shd w:val="clear" w:fill="FBFBFB"/>
          <w:lang w:val="en-US" w:eastAsia="zh-CN" w:bidi="ar"/>
        </w:rPr>
        <w:t>变动；2018年财政预拨县政府办公室行政中心建设项目资金（盈恒暂付）、县政府办公室2018年打击走私综合治理工作经费（盈恒暂付）、县政府办公室行政中心购买服务费用（盈恒暂付）等项目资金增加。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2.2019年基本支出预算安排</w:t>
      </w:r>
      <w:r>
        <w:rPr>
          <w:rFonts w:ascii="宋体" w:hAnsi="宋体" w:eastAsia="宋体" w:cs="宋体"/>
          <w:i w:val="0"/>
          <w:caps w:val="0"/>
          <w:color w:val="000000"/>
          <w:spacing w:val="0"/>
          <w:kern w:val="0"/>
          <w:sz w:val="24"/>
          <w:szCs w:val="24"/>
          <w:shd w:val="clear" w:fill="FBFBFB"/>
          <w:lang w:val="en-US" w:eastAsia="zh-CN" w:bidi="ar"/>
        </w:rPr>
        <w:t>920.13</w:t>
      </w:r>
      <w:r>
        <w:rPr>
          <w:rFonts w:ascii="宋体" w:hAnsi="宋体" w:eastAsia="宋体" w:cs="宋体"/>
          <w:b w:val="0"/>
          <w:i w:val="0"/>
          <w:caps w:val="0"/>
          <w:color w:val="000000"/>
          <w:spacing w:val="0"/>
          <w:kern w:val="0"/>
          <w:sz w:val="24"/>
          <w:szCs w:val="24"/>
          <w:shd w:val="clear" w:fill="FBFBFB"/>
          <w:lang w:val="en-US" w:eastAsia="zh-CN" w:bidi="ar"/>
        </w:rPr>
        <w:t>万元，比2018年基本支出预算安排735.61万元，增加184.52万元，上升率20.05%，主要原因是</w:t>
      </w:r>
      <w:r>
        <w:rPr>
          <w:rFonts w:ascii="宋体" w:hAnsi="宋体" w:eastAsia="宋体" w:cs="宋体"/>
          <w:i w:val="0"/>
          <w:caps w:val="0"/>
          <w:color w:val="000000"/>
          <w:spacing w:val="0"/>
          <w:kern w:val="0"/>
          <w:sz w:val="24"/>
          <w:szCs w:val="24"/>
          <w:shd w:val="clear" w:fill="FBFBFB"/>
          <w:lang w:val="en-US" w:eastAsia="zh-CN" w:bidi="ar"/>
        </w:rPr>
        <w:t>县政府办、信访局、机关公务用车管理服务平台中心人员</w:t>
      </w:r>
      <w:r>
        <w:rPr>
          <w:rFonts w:ascii="宋体" w:hAnsi="宋体" w:eastAsia="宋体" w:cs="宋体"/>
          <w:b w:val="0"/>
          <w:i w:val="0"/>
          <w:caps w:val="0"/>
          <w:color w:val="000000"/>
          <w:spacing w:val="0"/>
          <w:kern w:val="0"/>
          <w:sz w:val="24"/>
          <w:szCs w:val="24"/>
          <w:shd w:val="clear" w:fill="FBFBFB"/>
          <w:lang w:val="en-US" w:eastAsia="zh-CN" w:bidi="ar"/>
        </w:rPr>
        <w:t>变动。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3.2019年项目支出预算安排</w:t>
      </w:r>
      <w:r>
        <w:rPr>
          <w:rFonts w:ascii="宋体" w:hAnsi="宋体" w:eastAsia="宋体" w:cs="宋体"/>
          <w:i w:val="0"/>
          <w:caps w:val="0"/>
          <w:color w:val="000000"/>
          <w:spacing w:val="0"/>
          <w:kern w:val="0"/>
          <w:sz w:val="24"/>
          <w:szCs w:val="24"/>
          <w:shd w:val="clear" w:fill="FBFBFB"/>
          <w:lang w:val="en-US" w:eastAsia="zh-CN" w:bidi="ar"/>
        </w:rPr>
        <w:t>2647.71</w:t>
      </w:r>
      <w:r>
        <w:rPr>
          <w:rFonts w:ascii="宋体" w:hAnsi="宋体" w:eastAsia="宋体" w:cs="宋体"/>
          <w:b w:val="0"/>
          <w:i w:val="0"/>
          <w:caps w:val="0"/>
          <w:color w:val="000000"/>
          <w:spacing w:val="0"/>
          <w:kern w:val="0"/>
          <w:sz w:val="24"/>
          <w:szCs w:val="24"/>
          <w:shd w:val="clear" w:fill="FBFBFB"/>
          <w:lang w:val="en-US" w:eastAsia="zh-CN" w:bidi="ar"/>
        </w:rPr>
        <w:t>万元，比2018年项目出预算安排518.70万元，增加2129.01万元，上升率80.41%，主要原因是2018年财政预拨县政府办公室行政中心建设项目资金（盈恒暂付）、县政府办公室2018年打击走私综合治理工作经费（盈恒暂付）、县政府办公室行政中心购买服务费用（盈恒暂付）等项目资金增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1.</w:t>
      </w:r>
      <w:r>
        <w:rPr>
          <w:rFonts w:ascii="宋体" w:hAnsi="宋体" w:eastAsia="宋体" w:cs="宋体"/>
          <w:b w:val="0"/>
          <w:i w:val="0"/>
          <w:caps w:val="0"/>
          <w:color w:val="000000"/>
          <w:spacing w:val="0"/>
          <w:sz w:val="24"/>
          <w:szCs w:val="24"/>
          <w:shd w:val="clear" w:fill="FBFBFB"/>
        </w:rPr>
        <w:t>财政拨款（补助）收入</w:t>
      </w:r>
      <w:r>
        <w:rPr>
          <w:rFonts w:ascii="宋体" w:hAnsi="宋体" w:eastAsia="宋体" w:cs="宋体"/>
          <w:i w:val="0"/>
          <w:caps w:val="0"/>
          <w:color w:val="000000"/>
          <w:spacing w:val="0"/>
          <w:sz w:val="24"/>
          <w:szCs w:val="24"/>
          <w:shd w:val="clear" w:fill="FBFBFB"/>
        </w:rPr>
        <w:t>指财政部门当年拨付的资金。  </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2.</w:t>
      </w:r>
      <w:r>
        <w:rPr>
          <w:rFonts w:ascii="宋体" w:hAnsi="宋体" w:eastAsia="宋体" w:cs="宋体"/>
          <w:b w:val="0"/>
          <w:i w:val="0"/>
          <w:caps w:val="0"/>
          <w:color w:val="000000"/>
          <w:spacing w:val="0"/>
          <w:sz w:val="24"/>
          <w:szCs w:val="24"/>
          <w:shd w:val="clear" w:fill="FBFBFB"/>
        </w:rPr>
        <w:t>基本支出</w:t>
      </w:r>
      <w:r>
        <w:rPr>
          <w:rFonts w:ascii="宋体" w:hAnsi="宋体" w:eastAsia="宋体" w:cs="宋体"/>
          <w:i w:val="0"/>
          <w:caps w:val="0"/>
          <w:color w:val="000000"/>
          <w:spacing w:val="0"/>
          <w:sz w:val="24"/>
          <w:szCs w:val="24"/>
          <w:shd w:val="clear" w:fill="FBFBFB"/>
        </w:rPr>
        <w:t>指为保障机构正常运转、完成日常工作任务而发生的人员支出和公用支出。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3.</w:t>
      </w:r>
      <w:r>
        <w:rPr>
          <w:rFonts w:ascii="宋体" w:hAnsi="宋体" w:eastAsia="宋体" w:cs="宋体"/>
          <w:b w:val="0"/>
          <w:i w:val="0"/>
          <w:caps w:val="0"/>
          <w:color w:val="000000"/>
          <w:spacing w:val="0"/>
          <w:sz w:val="24"/>
          <w:szCs w:val="24"/>
          <w:shd w:val="clear" w:fill="FBFBFB"/>
        </w:rPr>
        <w:t>项目支出</w:t>
      </w:r>
      <w:r>
        <w:rPr>
          <w:rFonts w:ascii="宋体" w:hAnsi="宋体" w:eastAsia="宋体" w:cs="宋体"/>
          <w:i w:val="0"/>
          <w:caps w:val="0"/>
          <w:color w:val="000000"/>
          <w:spacing w:val="0"/>
          <w:sz w:val="24"/>
          <w:szCs w:val="24"/>
          <w:shd w:val="clear" w:fill="FBFBFB"/>
        </w:rPr>
        <w:t>指在基本支出之外为完成相关行政任务和事业发展目标所发生的支出。</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人民政府办公室2019年部门预算机关运行经费支出147.06万元，与上年对比104万元，增加43.06万元，增长41.40%。主要用于办公费26.14万元、邮电费5.00万元、差旅费53.00万元、公务接待费8.00万元、劳务费6.00万元、公务用车运行维护费5.00万元、其他交通费用43.92万元。主要原因为随着盈江县经济社会不断发展，脱贫攻坚、更大项目建设工作全面有序推进，县政府办工作日趋繁重，工作任务更加艰巨，相应的机关运行经费支出增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00" w:lineRule="atLeast"/>
        <w:ind w:left="0" w:right="0" w:firstLine="63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县政府办公室是县人民政府的综合职能部门，承担着联系上下、沟通各方的重要职责，起着桥梁和纽带的重要作用，是县政府服务基层与群众的窗口，长期以来为全县经济社会建设做出了突出贡献。2019年单位预算收入3567.84万元。其中：基本支出920.13万元，主要用于单位职工工资福利支出、单位基本养老保险缴费支出、住房保障支出、商品和服务支出、确保机构正常运转，保证办公室各项工作顺利完成。项目支出2647.71万元。主要用于提升公共服务质量和水平，增强政府公信力和执行力，提高人民满意度。增强办公室参政、辅政能力，带领全县政府部门加强办文办会工作，</w:t>
      </w:r>
      <w:r>
        <w:rPr>
          <w:rFonts w:hint="eastAsia" w:ascii="宋体" w:hAnsi="宋体" w:cs="宋体"/>
          <w:i w:val="0"/>
          <w:caps w:val="0"/>
          <w:color w:val="000000"/>
          <w:spacing w:val="0"/>
          <w:kern w:val="0"/>
          <w:sz w:val="24"/>
          <w:szCs w:val="24"/>
          <w:shd w:val="clear" w:fill="FBFBFB"/>
          <w:lang w:val="en-US" w:eastAsia="zh-CN" w:bidi="ar"/>
        </w:rPr>
        <w:t>更好地为</w:t>
      </w:r>
      <w:r>
        <w:rPr>
          <w:rFonts w:ascii="宋体" w:hAnsi="宋体" w:eastAsia="宋体" w:cs="宋体"/>
          <w:i w:val="0"/>
          <w:caps w:val="0"/>
          <w:color w:val="000000"/>
          <w:spacing w:val="0"/>
          <w:kern w:val="0"/>
          <w:sz w:val="24"/>
          <w:szCs w:val="24"/>
          <w:shd w:val="clear" w:fill="FBFBFB"/>
          <w:lang w:val="en-US" w:eastAsia="zh-CN" w:bidi="ar"/>
        </w:rPr>
        <w:t>全县经济社会发展服务，促进全县经济社会持续增速发展。</w:t>
      </w:r>
    </w:p>
    <w:p/>
    <w:p>
      <w:pPr>
        <w:rPr>
          <w:rFonts w:ascii="Arial" w:hAnsi="Arial" w:eastAsia="Arial" w:cs="Arial"/>
          <w:b/>
          <w:sz w:val="36"/>
        </w:rPr>
      </w:pPr>
      <w:r>
        <w:rPr>
          <w:rFonts w:ascii="Arial" w:hAnsi="Arial" w:eastAsia="Arial" w:cs="Arial"/>
          <w:b/>
          <w:sz w:val="36"/>
        </w:rPr>
        <w:t>监督索引号53312300443500111</w:t>
      </w:r>
    </w:p>
    <w:sectPr>
      <w:headerReference r:id="rId7" w:type="first"/>
      <w:footerReference r:id="rId10" w:type="first"/>
      <w:headerReference r:id="rId5" w:type="default"/>
      <w:footerReference r:id="rId8" w:type="default"/>
      <w:headerReference r:id="rId6" w:type="even"/>
      <w:footerReference r:id="rId9" w:type="even"/>
      <w:pgSz w:w="11850" w:h="16783"/>
      <w:pgMar w:top="1247" w:right="1797" w:bottom="1247" w:left="179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w:t>
                </w:r>
                <w:r>
                  <w:t xml:space="preserve"> 8 -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2740"/>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C5857"/>
    <w:rsid w:val="000D4394"/>
    <w:rsid w:val="000E2B18"/>
    <w:rsid w:val="000E530D"/>
    <w:rsid w:val="000F365A"/>
    <w:rsid w:val="000F4C86"/>
    <w:rsid w:val="001046C0"/>
    <w:rsid w:val="00104701"/>
    <w:rsid w:val="00111118"/>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B2500"/>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1FF1"/>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4533"/>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723"/>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6F62A0"/>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1BCA"/>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E5469"/>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1675D"/>
    <w:rsid w:val="00B259AC"/>
    <w:rsid w:val="00B268D9"/>
    <w:rsid w:val="00B26EC9"/>
    <w:rsid w:val="00B31B8F"/>
    <w:rsid w:val="00B333B0"/>
    <w:rsid w:val="00B34035"/>
    <w:rsid w:val="00B43561"/>
    <w:rsid w:val="00B440DB"/>
    <w:rsid w:val="00B4415D"/>
    <w:rsid w:val="00B45103"/>
    <w:rsid w:val="00B45D24"/>
    <w:rsid w:val="00B52992"/>
    <w:rsid w:val="00B538C6"/>
    <w:rsid w:val="00B62018"/>
    <w:rsid w:val="00B63114"/>
    <w:rsid w:val="00B64A22"/>
    <w:rsid w:val="00B67D14"/>
    <w:rsid w:val="00B700C3"/>
    <w:rsid w:val="00B70346"/>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C0826"/>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83B7A"/>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247C8B"/>
    <w:rsid w:val="01BE4606"/>
    <w:rsid w:val="025737A0"/>
    <w:rsid w:val="03F0214E"/>
    <w:rsid w:val="04AF0219"/>
    <w:rsid w:val="06325B44"/>
    <w:rsid w:val="06FF430F"/>
    <w:rsid w:val="091730FB"/>
    <w:rsid w:val="0AB77A2F"/>
    <w:rsid w:val="0F462663"/>
    <w:rsid w:val="12FE5674"/>
    <w:rsid w:val="15802092"/>
    <w:rsid w:val="17454AD8"/>
    <w:rsid w:val="1A0B3DDD"/>
    <w:rsid w:val="1ED23AE4"/>
    <w:rsid w:val="21BE017C"/>
    <w:rsid w:val="241163D5"/>
    <w:rsid w:val="26DA1910"/>
    <w:rsid w:val="26EF0D8C"/>
    <w:rsid w:val="27661E59"/>
    <w:rsid w:val="27A85FBC"/>
    <w:rsid w:val="2D7B7E3A"/>
    <w:rsid w:val="32946F7C"/>
    <w:rsid w:val="346D7035"/>
    <w:rsid w:val="37906FFB"/>
    <w:rsid w:val="39466C4F"/>
    <w:rsid w:val="49D5251D"/>
    <w:rsid w:val="4DFE1740"/>
    <w:rsid w:val="4ED820D3"/>
    <w:rsid w:val="536D269E"/>
    <w:rsid w:val="53D629D9"/>
    <w:rsid w:val="56143D02"/>
    <w:rsid w:val="57813441"/>
    <w:rsid w:val="5A2E7FA9"/>
    <w:rsid w:val="60B52C1D"/>
    <w:rsid w:val="61535B67"/>
    <w:rsid w:val="64690A67"/>
    <w:rsid w:val="65B72DCB"/>
    <w:rsid w:val="6A427920"/>
    <w:rsid w:val="704C45E9"/>
    <w:rsid w:val="71A36220"/>
    <w:rsid w:val="724A4A01"/>
    <w:rsid w:val="73051A88"/>
    <w:rsid w:val="783169DE"/>
    <w:rsid w:val="7AA529A3"/>
    <w:rsid w:val="7B1E53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99"/>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4"/>
    <w:semiHidden/>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ind w:firstLine="420"/>
      <w:jc w:val="left"/>
    </w:pPr>
    <w:rPr>
      <w:rFonts w:ascii="Calibri" w:hAnsi="Calibri"/>
      <w:kern w:val="0"/>
      <w:sz w:val="24"/>
    </w:rPr>
  </w:style>
  <w:style w:type="paragraph" w:styleId="7">
    <w:name w:val="annotation subject"/>
    <w:basedOn w:val="2"/>
    <w:next w:val="2"/>
    <w:link w:val="13"/>
    <w:semiHidden/>
    <w:qFormat/>
    <w:uiPriority w:val="99"/>
    <w:rPr>
      <w:b/>
      <w:bCs/>
    </w:rPr>
  </w:style>
  <w:style w:type="character" w:styleId="10">
    <w:name w:val="Strong"/>
    <w:basedOn w:val="9"/>
    <w:qFormat/>
    <w:uiPriority w:val="99"/>
    <w:rPr>
      <w:rFonts w:cs="Times New Roman"/>
      <w:b/>
    </w:rPr>
  </w:style>
  <w:style w:type="character" w:styleId="11">
    <w:name w:val="annotation reference"/>
    <w:basedOn w:val="9"/>
    <w:semiHidden/>
    <w:qFormat/>
    <w:uiPriority w:val="99"/>
    <w:rPr>
      <w:rFonts w:cs="Times New Roman"/>
      <w:sz w:val="21"/>
    </w:rPr>
  </w:style>
  <w:style w:type="character" w:customStyle="1" w:styleId="12">
    <w:name w:val="Comment Text Char"/>
    <w:basedOn w:val="9"/>
    <w:link w:val="2"/>
    <w:semiHidden/>
    <w:qFormat/>
    <w:locked/>
    <w:uiPriority w:val="99"/>
    <w:rPr>
      <w:rFonts w:cs="Times New Roman"/>
      <w:sz w:val="24"/>
      <w:szCs w:val="24"/>
    </w:rPr>
  </w:style>
  <w:style w:type="character" w:customStyle="1" w:styleId="13">
    <w:name w:val="Comment Subject Char"/>
    <w:basedOn w:val="12"/>
    <w:link w:val="7"/>
    <w:semiHidden/>
    <w:qFormat/>
    <w:locked/>
    <w:uiPriority w:val="99"/>
    <w:rPr>
      <w:b/>
      <w:bCs/>
    </w:rPr>
  </w:style>
  <w:style w:type="character" w:customStyle="1" w:styleId="14">
    <w:name w:val="Balloon Text Char"/>
    <w:basedOn w:val="9"/>
    <w:link w:val="3"/>
    <w:semiHidden/>
    <w:qFormat/>
    <w:locked/>
    <w:uiPriority w:val="99"/>
    <w:rPr>
      <w:rFonts w:cs="Times New Roman"/>
      <w:sz w:val="2"/>
    </w:rPr>
  </w:style>
  <w:style w:type="character" w:customStyle="1" w:styleId="15">
    <w:name w:val="Footer Char"/>
    <w:basedOn w:val="9"/>
    <w:link w:val="4"/>
    <w:semiHidden/>
    <w:qFormat/>
    <w:locked/>
    <w:uiPriority w:val="99"/>
    <w:rPr>
      <w:rFonts w:cs="Times New Roman"/>
      <w:sz w:val="18"/>
      <w:szCs w:val="18"/>
    </w:rPr>
  </w:style>
  <w:style w:type="character" w:customStyle="1" w:styleId="16">
    <w:name w:val="Header Char"/>
    <w:basedOn w:val="9"/>
    <w:link w:val="5"/>
    <w:semiHidden/>
    <w:qFormat/>
    <w:locked/>
    <w:uiPriority w:val="99"/>
    <w:rPr>
      <w:rFonts w:cs="Times New Roman"/>
      <w:sz w:val="18"/>
      <w:szCs w:val="18"/>
    </w:rPr>
  </w:style>
  <w:style w:type="paragraph" w:customStyle="1" w:styleId="17">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11</Pages>
  <Words>824</Words>
  <Characters>4703</Characters>
  <Lines>0</Lines>
  <Paragraphs>0</Paragraphs>
  <TotalTime>3</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2019-04-24T02:01:00Z</cp:lastPrinted>
  <dcterms:modified xsi:type="dcterms:W3CDTF">2024-07-15T01:48:40Z</dcterms:modified>
  <dc:title>年部门预算编制说明</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8C1A9A98FE0E4C74AA37DA241674B001</vt:lpwstr>
  </property>
</Properties>
</file>