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监督索引号53312300421800000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盈江县委政策研究室2019年部门预算公开目录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第一部分 县委政策研究室2019年部门预算编制说明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第二部分 县委政策研究室2019年部门预算表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盈江县委政策研究室2019年部门预算编制说明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3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3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政研室根据</w:t>
      </w:r>
      <w:r>
        <w:rPr>
          <w:rFonts w:ascii="宋体" w:hAnsi="宋体" w:eastAsia="宋体" w:cs="宋体"/>
          <w:i w:val="0"/>
          <w:caps w:val="0"/>
          <w:color w:val="000000"/>
          <w:spacing w:val="0"/>
          <w:kern w:val="0"/>
          <w:sz w:val="24"/>
          <w:szCs w:val="24"/>
          <w:u w:val="single"/>
          <w:shd w:val="clear" w:fill="FBFBFB"/>
          <w:lang w:val="en-US" w:eastAsia="zh-CN" w:bidi="ar"/>
        </w:rPr>
        <w:t> 盈复【2002】34号、盈机编发【2012】33号   盈机编【2015】64号  </w:t>
      </w:r>
      <w:r>
        <w:rPr>
          <w:rFonts w:ascii="宋体" w:hAnsi="宋体" w:eastAsia="宋体" w:cs="宋体"/>
          <w:i w:val="0"/>
          <w:caps w:val="0"/>
          <w:color w:val="000000"/>
          <w:spacing w:val="0"/>
          <w:kern w:val="0"/>
          <w:sz w:val="24"/>
          <w:szCs w:val="24"/>
          <w:shd w:val="clear" w:fill="FBFBFB"/>
          <w:lang w:val="en-US" w:eastAsia="zh-CN" w:bidi="ar"/>
        </w:rPr>
        <w:t>文件规定，主要职能是：承担和完成县委农村工作领导小组交办的各项任务；对全县农村积极、社会发展、两个文明建设、农村产业结构调整、扶贫攻坚开发进行指导；了解和掌握全县各乡镇、县直各部门贯彻落实党在农村各项方针、政策的执行情况；及时反映农村工作动态；组织或协调有关部门对农村改革和发展中的一些重大问题进行专题或综合性研究，以供县委农村工作领导小组决策参考;承办县委全面深化改革领导小组交办的各项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60" w:beforeAutospacing="0" w:after="260" w:afterAutospacing="0"/>
        <w:ind w:left="0" w:right="0" w:firstLine="315"/>
        <w:rPr>
          <w:rFonts w:hint="default" w:ascii="微软雅黑" w:hAnsi="微软雅黑" w:eastAsia="微软雅黑" w:cs="微软雅黑"/>
          <w:b w:val="0"/>
          <w:i w:val="0"/>
          <w:caps w:val="0"/>
          <w:color w:val="333333"/>
          <w:spacing w:val="0"/>
          <w:sz w:val="21"/>
          <w:szCs w:val="21"/>
        </w:rPr>
      </w:pPr>
      <w:r>
        <w:rPr>
          <w:rFonts w:ascii="宋体" w:hAnsi="宋体" w:eastAsia="宋体" w:cs="宋体"/>
          <w:b/>
          <w:i w:val="0"/>
          <w:caps w:val="0"/>
          <w:color w:val="000000"/>
          <w:spacing w:val="0"/>
          <w:sz w:val="24"/>
          <w:szCs w:val="24"/>
          <w:shd w:val="clear" w:fill="FBFBFB"/>
        </w:rPr>
        <w:t>（二）机构设置情况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60" w:beforeAutospacing="0" w:after="260" w:afterAutospacing="0"/>
        <w:ind w:left="0" w:right="0" w:firstLine="960"/>
        <w:rPr>
          <w:rFonts w:hint="default" w:ascii="微软雅黑" w:hAnsi="微软雅黑" w:eastAsia="微软雅黑" w:cs="微软雅黑"/>
          <w:b w:val="0"/>
          <w:i w:val="0"/>
          <w:caps w:val="0"/>
          <w:color w:val="333333"/>
          <w:spacing w:val="0"/>
          <w:sz w:val="21"/>
          <w:szCs w:val="21"/>
        </w:rPr>
      </w:pPr>
      <w:r>
        <w:rPr>
          <w:rFonts w:ascii="宋体" w:hAnsi="宋体" w:eastAsia="宋体" w:cs="宋体"/>
          <w:b w:val="0"/>
          <w:i w:val="0"/>
          <w:caps w:val="0"/>
          <w:color w:val="000000"/>
          <w:spacing w:val="0"/>
          <w:sz w:val="24"/>
          <w:szCs w:val="24"/>
          <w:shd w:val="clear" w:fill="FBFBFB"/>
        </w:rPr>
        <w:t>县委政策研究室内设两个股室，分别是：秘书股、政策调研股。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13"/>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12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县委政策研究室主要围绕州委农办和县委、县政府的工作安排，积极开展好政策调研、美丽宜居乡村建设、全面深化改革协调联络、驻村扶贫工作队管理服务和农业农村综合统筹协调各项工作，全面参与全县脱贫攻坚战役，按时完成单位挂钩帮扶任务，努力完成年度目标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1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在职人员编制11人，其中：行政编制 11人，事业编制0人。在职实有11人，其中： 财政全供养 11人，财政部分供养0人，非财政供养0人。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11人，其中： 离休 0人，退休 11人。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车辆编制1辆，实有车辆1辆。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190.46万元，其中：一般公共预算财政拨款190.46万元，政府性基金预算财政拨款0万元，国有资本经营预算财政拨款0万元，事业收入0万元，事业单位经营收入0万元，其他收入0万元，上年结转0万元。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190.46万元，其中:本年收入190.46万元，上年结转0万元。本年收入中，一般公共预算财政拨款190.46万元（本级财力190.46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190.46万元。财政拨款安排支出 190.46万元，其中，基本支出190.46万元，项目支出0万元。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2013601行政运行150.92万元，主要用于在职职工全年工资福利支出及机构正常运转经费。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 归口管理的行政单位离退休0.66万元，主要用于退休人员公用经费。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2080505机关事业单位基本养老保险缴费支出19.21万元，主要用于单位基本养老保险缴费。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2080506机关事业单位职业年金缴费支出4万元，主要用于职业年金缴费。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 住房公积金15.67万元，主要用于职工住房公积金缴费。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2013601行政运行150.92万元，其中：基本支出150.92万元，主要用于301工资福利支出143.96万元，302商品和服务支出6.6万元,303对个人和家庭的补助0.36万元，项目支出0万元。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 归口管理的行政单位离退休0.66万元，其中：基本支出0.66万元，主要用于302商品和服务支出0.66万元，项目支出0万元。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2080505机关事业单位基本养老保险缴费支出19.21万元，其中：基本支出19.21万元，主要用于301工资福利支出19.21万元，项目支出0万元。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2080506机关事业单位职业年金缴费支出4万元，其中：基本支出4万元，主要用于301工资福利支出4万元，项目支出0万元。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 住房公积金15.67万元，其中：基本支出15.67万元，主要用于301工资福利支出15.67万元，项目支出0万元。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本单位2019年无政府采购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161"/>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2019年“三公”经费预算数为4.3万元，与上年预算数4.3万元相比持平。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拟安排公务接待费预算1.8万元，主要用于按规定开支的各类公务接待产生的费用，与上年预算数1.8万元持平。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2.5万元，其中：购置经费0万元、运行维护费2.5万元，主要用于保障政府部门、党群部门、其他部门公务工作开展，拟产生的公务用车燃料费、维修费、过路过桥费、保险费等支出，与上年预算数2.5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（二）预算收入增减变化情况及原因说明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部门预算总收入190.46万元，比上年预算数643.85万元，减453.39万元，减70.42%，其中基本收入190.46万元，比上年143.85万元，增46.61万元，增32.4%，增加原因是工资上调；项目收入0万元，比上年预算项目收入500万元，减500万元，减100%，原因：为贯彻落实《中共德宏州委办公室 德宏州人民政府办公室关于印发〈盈江县机构改革方案〉的通知》（德办发〔2019〕9号）精神，经报县委批准，将县委农村工作领导小组办公室的职责、县委新农村建设工作领导小组办公室的职责调整为县农业农村局承担。县委农村工作领导小组办公室设在县农业农村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（三）预算支出增减变化情况及原因说明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部门预算总支出190.46万元，比上年预算数643.85万元，减453.39万元，减70.42%，其中基本支出190.46万元，比上年143.85万元，增46.61万元，增32.4%，增加原因是工资上调；项目支出0万元，比上年预算项目支出500万元，减500万元，减100%，原因：为贯彻落实《中共德宏州委办公室 德宏州人民政府办公室关于印发〈盈江县机构改革方案〉的通知》（德办发〔2019〕9号）精神，经报县委批准，将县委农村工作领导小组办公室的职责、县委新农村建设工作领导小组办公室的职责调整为县农业农村局承担。县委农村工作领导小组办公室设在县农业农村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八、其他公开信息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321"/>
        <w:jc w:val="both"/>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sz w:val="24"/>
          <w:szCs w:val="24"/>
          <w:shd w:val="clear" w:fill="FBFBFB"/>
        </w:rPr>
        <w:t>（一）专业名词解释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32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1.</w:t>
      </w:r>
      <w:r>
        <w:rPr>
          <w:rFonts w:ascii="宋体" w:hAnsi="宋体" w:eastAsia="宋体" w:cs="宋体"/>
          <w:b w:val="0"/>
          <w:i w:val="0"/>
          <w:caps w:val="0"/>
          <w:color w:val="000000"/>
          <w:spacing w:val="0"/>
          <w:sz w:val="24"/>
          <w:szCs w:val="24"/>
          <w:shd w:val="clear" w:fill="FBFBFB"/>
        </w:rPr>
        <w:t>财政拨款（补助）收入</w:t>
      </w:r>
      <w:r>
        <w:rPr>
          <w:rFonts w:ascii="宋体" w:hAnsi="宋体" w:eastAsia="宋体" w:cs="宋体"/>
          <w:i w:val="0"/>
          <w:caps w:val="0"/>
          <w:color w:val="000000"/>
          <w:spacing w:val="0"/>
          <w:sz w:val="24"/>
          <w:szCs w:val="24"/>
          <w:shd w:val="clear" w:fill="FBFBFB"/>
        </w:rPr>
        <w:t>指财政部门当年拨付的资金。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2.基本支出</w:t>
      </w:r>
      <w:r>
        <w:rPr>
          <w:rFonts w:ascii="宋体" w:hAnsi="宋体" w:eastAsia="宋体" w:cs="宋体"/>
          <w:i w:val="0"/>
          <w:caps w:val="0"/>
          <w:color w:val="000000"/>
          <w:spacing w:val="0"/>
          <w:sz w:val="24"/>
          <w:szCs w:val="24"/>
          <w:shd w:val="clear" w:fill="FBFBFB"/>
        </w:rPr>
        <w:t>指为保障机构正常运转、完成日常工作任务而发生的人员支出和公用支出。</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3.项目支出</w:t>
      </w:r>
      <w:r>
        <w:rPr>
          <w:rFonts w:ascii="宋体" w:hAnsi="宋体" w:eastAsia="宋体" w:cs="宋体"/>
          <w:i w:val="0"/>
          <w:caps w:val="0"/>
          <w:color w:val="000000"/>
          <w:spacing w:val="0"/>
          <w:sz w:val="24"/>
          <w:szCs w:val="24"/>
          <w:shd w:val="clear" w:fill="FBFBFB"/>
        </w:rPr>
        <w:t>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11.政府采购是指各级国家机关、事业单位和团体组织，使用财政性资金采购依法制定的集中采购目录以内的或者采购限额标准以上的货物、工程和服务的行为。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315" w:lineRule="atLeast"/>
        <w:ind w:left="0" w:right="0" w:firstLine="640"/>
        <w:jc w:val="left"/>
        <w:rPr>
          <w:rFonts w:hint="default" w:ascii="微软雅黑" w:hAnsi="微软雅黑" w:eastAsia="微软雅黑" w:cs="微软雅黑"/>
          <w:color w:val="333333"/>
          <w:sz w:val="21"/>
          <w:szCs w:val="21"/>
        </w:rPr>
      </w:pPr>
      <w:r>
        <w:rPr>
          <w:rFonts w:ascii="宋体" w:hAnsi="宋体" w:eastAsia="宋体" w:cs="宋体"/>
          <w:i w:val="0"/>
          <w:caps w:val="0"/>
          <w:color w:val="000000"/>
          <w:spacing w:val="0"/>
          <w:kern w:val="0"/>
          <w:sz w:val="24"/>
          <w:szCs w:val="24"/>
          <w:shd w:val="clear" w:fill="FBFBFB"/>
          <w:lang w:val="en-US" w:eastAsia="zh-CN" w:bidi="ar"/>
        </w:rPr>
        <w:t>县委政策研究室2019年部门预算机关运行经费支出安排7.26万元，跟上年预算数安排7.26万元持平；主要用于办公费2.16万元、跟上年2.16万元持平；差旅费0.5万元、跟上年0.5万元持平；公务接待费1.8万元、跟上年1.8万元持平；劳务费0.3万元、跟上年0.3万元持平；公务用车运行维护费2.5万元、跟上年2.5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2019年部门收入预算190.46万元。财政拨款安排支出  190.46万元，其中：基本支出190.46万元，主要用于发放人员工资，住房公积金，基本养老保险缴费，支付公用经费及协管员、宗教界困难人士生活补助等，确保机构正常运转。</w:t>
      </w:r>
    </w:p>
    <w:p/>
    <w:p>
      <w:pPr>
        <w:widowControl/>
        <w:ind w:firstLine="640" w:firstLineChars="200"/>
        <w:jc w:val="left"/>
        <w:rPr>
          <w:rFonts w:hint="eastAsia" w:ascii="仿宋_GB2312" w:hAnsi="仿宋_GB2312" w:eastAsia="仿宋_GB2312" w:cs="仿宋_GB2312"/>
          <w:kern w:val="0"/>
          <w:sz w:val="32"/>
          <w:szCs w:val="32"/>
        </w:rPr>
      </w:pPr>
      <w:bookmarkStart w:id="0" w:name="_GoBack"/>
      <w:bookmarkEnd w:id="0"/>
      <w:r>
        <w:rPr>
          <w:rFonts w:hint="eastAsia" w:ascii="仿宋_GB2312" w:hAnsi="仿宋_GB2312" w:eastAsia="仿宋_GB2312" w:cs="仿宋_GB2312"/>
          <w:kern w:val="0"/>
          <w:sz w:val="32"/>
          <w:szCs w:val="32"/>
        </w:rPr>
        <w:t xml:space="preserve">    </w:t>
      </w:r>
    </w:p>
    <w:p>
      <w:pPr>
        <w:rPr>
          <w:rFonts w:ascii="Arial" w:hAnsi="Arial" w:eastAsia="Arial" w:cs="Arial"/>
          <w:b/>
          <w:sz w:val="36"/>
        </w:rPr>
      </w:pPr>
      <w:r>
        <w:rPr>
          <w:rFonts w:ascii="Arial" w:hAnsi="Arial" w:eastAsia="Arial" w:cs="Arial"/>
          <w:b/>
          <w:sz w:val="36"/>
        </w:rPr>
        <w:t>监督索引号53312300421800111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5F21696"/>
    <w:rsid w:val="06325B44"/>
    <w:rsid w:val="0AB77A2F"/>
    <w:rsid w:val="0F687AF0"/>
    <w:rsid w:val="0FE01CE8"/>
    <w:rsid w:val="11745FCC"/>
    <w:rsid w:val="132E6028"/>
    <w:rsid w:val="1A0B3DDD"/>
    <w:rsid w:val="20E87B8C"/>
    <w:rsid w:val="23210152"/>
    <w:rsid w:val="23290BA7"/>
    <w:rsid w:val="24EB5582"/>
    <w:rsid w:val="2ADE6678"/>
    <w:rsid w:val="2AF60C27"/>
    <w:rsid w:val="2AFE3AB5"/>
    <w:rsid w:val="2D7B7E3A"/>
    <w:rsid w:val="2DFA7A4E"/>
    <w:rsid w:val="30F2312B"/>
    <w:rsid w:val="322C417C"/>
    <w:rsid w:val="34220DB4"/>
    <w:rsid w:val="39466C4F"/>
    <w:rsid w:val="3A88175D"/>
    <w:rsid w:val="3FC85EC2"/>
    <w:rsid w:val="44ED5140"/>
    <w:rsid w:val="4A0B6DB0"/>
    <w:rsid w:val="4A1B02C0"/>
    <w:rsid w:val="58727146"/>
    <w:rsid w:val="592A0AF3"/>
    <w:rsid w:val="5A8A0E3A"/>
    <w:rsid w:val="5CD12EF3"/>
    <w:rsid w:val="60F0352C"/>
    <w:rsid w:val="677F1C11"/>
    <w:rsid w:val="68B104C3"/>
    <w:rsid w:val="6A127E92"/>
    <w:rsid w:val="6AC22641"/>
    <w:rsid w:val="6D8C007B"/>
    <w:rsid w:val="724A4A01"/>
    <w:rsid w:val="739A6D25"/>
    <w:rsid w:val="75AF7FC4"/>
    <w:rsid w:val="772706DA"/>
    <w:rsid w:val="792A1174"/>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100" w:beforeAutospacing="1" w:after="100" w:afterAutospacing="1"/>
      <w:ind w:firstLine="420"/>
      <w:jc w:val="left"/>
    </w:pPr>
    <w:rPr>
      <w:rFonts w:ascii="Calibri" w:hAnsi="Calibri"/>
      <w:kern w:val="0"/>
      <w:sz w:val="24"/>
    </w:rPr>
  </w:style>
  <w:style w:type="paragraph" w:styleId="8">
    <w:name w:val="annotation subject"/>
    <w:basedOn w:val="3"/>
    <w:next w:val="3"/>
    <w:semiHidden/>
    <w:qFormat/>
    <w:uiPriority w:val="0"/>
    <w:rPr>
      <w:b/>
      <w:bCs/>
    </w:rPr>
  </w:style>
  <w:style w:type="character" w:styleId="11">
    <w:name w:val="Strong"/>
    <w:basedOn w:val="10"/>
    <w:qFormat/>
    <w:uiPriority w:val="0"/>
    <w:rPr>
      <w:rFonts w:ascii="Times New Roman" w:hAnsi="Times New Roman" w:cs="Times New Roman"/>
      <w:b/>
    </w:rPr>
  </w:style>
  <w:style w:type="character" w:styleId="12">
    <w:name w:val="annotation reference"/>
    <w:semiHidden/>
    <w:qFormat/>
    <w:uiPriority w:val="0"/>
    <w:rPr>
      <w:sz w:val="21"/>
      <w:szCs w:val="21"/>
    </w:rPr>
  </w:style>
  <w:style w:type="paragraph" w:customStyle="1" w:styleId="13">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2019-12-26T03:17:49Z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