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adjustRightInd/>
        <w:snapToGrid/>
        <w:spacing w:after="0" w:line="560" w:lineRule="exact"/>
        <w:ind w:left="0" w:leftChars="0" w:right="0" w:rightChars="0"/>
        <w:jc w:val="right"/>
        <w:textAlignment w:val="auto"/>
        <w:outlineLvl w:val="9"/>
        <w:rPr>
          <w:rFonts w:ascii="Arial" w:hAnsi="Arial" w:eastAsia="Arial" w:cs="Arial"/>
          <w:b/>
          <w:sz w:val="36"/>
        </w:rPr>
      </w:pPr>
      <w:r>
        <w:rPr>
          <w:rFonts w:ascii="Arial" w:hAnsi="Arial" w:eastAsia="Arial" w:cs="Arial"/>
          <w:b/>
          <w:sz w:val="36"/>
        </w:rPr>
        <w:t>监督索引号53312300433300000</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480"/>
        <w:jc w:val="center"/>
        <w:textAlignment w:val="auto"/>
        <w:outlineLvl w:val="9"/>
        <w:rPr>
          <w:rFonts w:ascii="宋体" w:hAnsi="宋体" w:eastAsia="宋体" w:cs="宋体"/>
          <w:color w:val="333333"/>
          <w:kern w:val="0"/>
          <w:sz w:val="24"/>
          <w:szCs w:val="24"/>
        </w:rPr>
      </w:pPr>
      <w:r>
        <w:rPr>
          <w:rFonts w:hint="eastAsia" w:ascii="方正小标宋简体" w:hAnsi="微软雅黑" w:eastAsia="方正小标宋简体" w:cs="宋体"/>
          <w:b/>
          <w:bCs/>
          <w:color w:val="333333"/>
          <w:kern w:val="0"/>
          <w:sz w:val="36"/>
          <w:szCs w:val="36"/>
        </w:rPr>
        <w:t>盈江县住房和城乡建设局2019年部门预算公开</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480"/>
        <w:jc w:val="center"/>
        <w:textAlignment w:val="auto"/>
        <w:outlineLvl w:val="9"/>
        <w:rPr>
          <w:rFonts w:hint="eastAsia" w:ascii="宋体" w:hAnsi="宋体" w:eastAsia="宋体" w:cs="宋体"/>
          <w:color w:val="333333"/>
          <w:kern w:val="0"/>
          <w:sz w:val="24"/>
          <w:szCs w:val="24"/>
        </w:rPr>
      </w:pPr>
      <w:r>
        <w:rPr>
          <w:rFonts w:hint="eastAsia" w:ascii="方正小标宋简体" w:hAnsi="宋体" w:eastAsia="方正小标宋简体" w:cs="宋体"/>
          <w:color w:val="333333"/>
          <w:kern w:val="0"/>
          <w:sz w:val="36"/>
          <w:szCs w:val="36"/>
        </w:rPr>
        <w:t>目录</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480"/>
        <w:jc w:val="center"/>
        <w:textAlignment w:val="auto"/>
        <w:outlineLvl w:val="9"/>
        <w:rPr>
          <w:rFonts w:hint="eastAsia" w:ascii="宋体" w:hAnsi="宋体" w:eastAsia="宋体" w:cs="宋体"/>
          <w:color w:val="333333"/>
          <w:kern w:val="0"/>
          <w:sz w:val="24"/>
          <w:szCs w:val="24"/>
        </w:rPr>
      </w:pP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第一部分盈江县住房和城乡建设局2019年部门预算编制说明</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第二部分盈江县住房和城乡建设局2019年部门预算表</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一、部门财务收支总体情况表</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二、部门收入总体情况表</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三、部门支出总体情况表</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四、部门财政拨款收支总体情况表</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五、部门一般公共预算本级财力安排支出情况表</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六、部门基本支出情况表</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七、部门政府性基金预算支出情况表</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八、财政拨款支出明细表（按经济科目分类）</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九、部门一般公共预算“三公”经费支出情况表</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十、县本级项目支出绩效目标表（本次下达）</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十一、县本级项目支出绩效目标表（另文下达）</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十二、县对下转移支付绩效目标表</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十三、部门政府采购情况表</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盈江县住房和城乡建设局2019年部门预算编制说明</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一、基本职能及主要工作</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（一）部门主要职责</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根据中共盈江县委办公室 盈江县人民政府办公室</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关于印发《〈盈江县住房和城乡建设局职能配置内设机构和人员编制规定〉的通知》（盈办发〔2019〕23号）精神主要职责：</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1、贯彻执行国家法律、法规及方针、政策，承担规范全县住房和城乡建设管理秩序的责任。</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2、承担城镇住房建设，保障城镇低收入家庭住房，推进城镇住房制度改革，规范全县房地产市场秩序，监督管理房地产市场的责任。</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 3、承担建筑市场监督管理，规范建筑市场各方主体行为的责任。</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4、承担城市公用设施建设和管理的责任，负责城市市政公用设施（城市道路、桥梁、排水、城市地下综合管廊、海绵城市及污水处理、垃圾收集及处理、城市照明等）和园林绿化的建设、安全运营；负责市政公用基础设施应急处置工作。</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5、承担村镇建设责任。 指导乡、镇和村庄的规划编制、农村住房建设、农村民居抗震安全及危房改造；指导小城镇和村庄环境治理、污水和垃圾处理设施建设；负责农村民居通用设计图的推广；指导重点小城镇建设和旅游小镇建设；指导和组织震后恢复重建工作</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6、承担建筑工程质量安全监管的责任。组织或参与工程重大质量、安全事故的应急救援、调查处理。推进建筑节能、减排工作。会同有关部门拟订建筑节能和减排的规划、措施并监督实施，组织实施重大节能项目。</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7、贯彻执行国家、省、州关于人民防空工作的方针、政策和法律，制定本行政区的实施细则、办法和规章，对执行情况实施监督检查；研究制定全县人民防空建设的发展战略及战时防空袭的对策方案，监督检查防空袭方案和各项保障方案的落实。</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8、负责管理本级人民防空国有资产和人民防空经费，编制人民防空经费预算，组织人防应急和战备物资储备，对全县人民防空建设经费和物资使用情况进行监督检查。</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9、承办县委、县政府和上级机关交办的其他事项。</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（二）机构设置情况</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根据上述职责，</w:t>
      </w:r>
      <w:r>
        <w:rPr>
          <w:rFonts w:hint="eastAsia" w:ascii="仿宋_GB2312" w:hAnsi="宋体" w:eastAsia="仿宋_GB2312" w:cs="宋体"/>
          <w:color w:val="000000"/>
          <w:kern w:val="0"/>
          <w:sz w:val="32"/>
          <w:szCs w:val="32"/>
        </w:rPr>
        <w:t>盈江县住房和城乡建设局设5个内设机构</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1、办公室。负责局内行政事务、文书、档案、信访、文件收发处理；负责局机关会议的组织与协调、起草重要文稿，组织办理建议、议案、提案；协调局内各股室工作；负责管理机关工作人员考核和直属事业单位技术人员职称管理工作；负责局内安全、保密、户口、车辆管理和环境卫生工作；负责局党组织日常事务、纪律检查、工会、共青团、妇女、老干、计划生育等工作；负责局机关和直属单位的思想政治工作和干部职工教育培训；负责机关国有资产管理和日常财务工作；负责编报本局年度财务计划和年终报表；负责内部财务审计工作，参与制定行业财务、会计规章制度。</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2、住房保障和房地产管理股。指导城镇住房和保障性住房建设工作，拟订城镇住房建设、住房保障的相关措施、发展规划及年度计划；会同有关部门申报保障性住房、棚户区改造等项目并组织实施，负责保障性住房的分配、管理及住房补贴发放审查工作；拟定房地产行业发展规划，负责房地产业市场的监督，管理规范房地产市场秩序；负责房地产开发企业、房地产中介、物业服务企业的管理；负责房地产市场的分析、监测、预警和调控工作；指导并监督住房专项维修资金的归集、管理和使用；负责房屋产权管理、危房鉴定工作；拟订房地产开发、房屋权属管理、房屋租赁、房屋交易管理、房屋拆迁、房地产估价与经纪机构及从业人员资格审查等制度并监督执行。</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3、城市建设管理股。拟订城市建设的发展战略、中长期规划并指导实施；负责城市市政基础设施建设重大项目的申报、实施和管理工作；负责城市市政公用设施的规划、建设、运营安全工作；指导和监督城市供（排）水、城市防洪、计划用水和规划区地下水的开发利用与保护工作；负责城市供水、供气企业的经营许可管理；负责市政工程勘察设计、施工、监理企业资质认证审查；负责城市市政公用设备、设施运营安全监督和燃气器具检测认证管理。负责市政公用设施建设项目的预（决）算审核和竣工验收工作。</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4、工程质量安全监督管理股。贯彻执行建筑市场管理、建设工程质量监督的法律、法规及政策；拟订建筑业的发展规划，拟订房屋建筑和市政工程项目招标投标、施工许可、建设监理、合同管理、工程风险管理的规章制度并监督执行；拟订工程建设、建筑业的行业发展、建筑施工机械备案管理的规章制度并监督执行；负责建筑施工企业、建筑安装企业、建筑装饰装修企业、商品混凝土、建筑制品企业、建设监理单位、项目管理企业、工程建设招标代理机构、建设工程检测机构的资质认证、审查和申报；管理建筑业从业人员执业资格，对州外、省外入县从事建筑活动的企业进行审查、注册登记和管理；对建筑工程的安全生产、建筑节能进行行业监督管理；依照法律法规和工程建设强制性标准，对工程实体质量和工程建设、勘察、设计、施工、监理等责任主体单位及质量检测单位的工程质量行为实施监督；组织或参与工程重大质量、安全事故的应急救援、调查处理；监督管理各类工程建设标准、定额的实施和工程造价计价；组织建设工程投资主体和有关部门审查建设工程竣工结算；负责建设工程项目的竣工验收和备案；负责建设工程造价纠纷的技术鉴定和行政调解。承担全县范围内建设工程质量监督和鉴定的责任；负责建材质量检测和监管工作。</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000000"/>
          <w:kern w:val="0"/>
          <w:sz w:val="32"/>
          <w:szCs w:val="32"/>
        </w:rPr>
        <w:t>5、人民防空综合办公室。贯彻执行国家及上级部门颁布的有关人防工程的法律、法规和政策；制定全县人民防空工程管理规定和人民防空工程建设中长期规划和年度计划；负责县域内人防工程质量监督和管理工作；受理人防工程建设项目报监手续；组织建设人民防空指挥工程；负责全县人民防空结建工程建设项目的计划管理、技术管理、施工质量和定额管理工作；审查人民防空结建工程项目可行性研究和设计文件，组织实施人民防空结建工程的竣工验收；负责人民防空工程的综合统计和技术档案管理；负责编制人民防空工程开发利用规划，检查指导全县人民防空工程平战结合工作，组织人民防空结建工程法律法规的执法监督；审核、上报人防工程报建、拆除、报废手续；开展在城市规划区范围内依法组织征收防空地下室易地建设费，并按城市防空需要组织建设防空地下室。负责全县人民防空组织指挥业务、宣传教育工作；拟订并适时修订城市防空袭方案及保障措施；制定人民防空专业队伍组织训练计划及初级中学人防教育计划并组织实施；制定疏散基地建设计划并组织实施；组织对重要经济目标进行防护，提出重要经济目标防护原则、标准和要求；承担国防潜力调查工作，组织群众及专业队伍防空袭演练；制定人防应急及战备物资储备计划并实施管理；负责人民防空知识的普及教育。</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（三）重点工作概述</w:t>
      </w:r>
    </w:p>
    <w:p>
      <w:pPr>
        <w:keepNext w:val="0"/>
        <w:keepLines w:val="0"/>
        <w:pageBreakBefore w:val="0"/>
        <w:widowControl/>
        <w:shd w:val="clear" w:color="auto" w:fill="FFFFFF"/>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1、在县委、县政府的坚强领导下，深入贯彻落实习近平新时代中国特色社会主义思想和党的十九大精神，坚决执行中央、省委、州委、县委决策部署，忠诚担当、激情工作。</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shd w:val="clear" w:color="auto" w:fill="FFFFFF"/>
        </w:rPr>
        <w:t>2、做好城乡规划及城市勘测、城市景观、城市测量和城市雕塑的审查报批和监督实施；</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shd w:val="clear" w:color="auto" w:fill="FFFFFF"/>
        </w:rPr>
        <w:t>3、承担城镇住房建设，监督管理房地产市场的责任；</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shd w:val="clear" w:color="auto" w:fill="FFFFFF"/>
        </w:rPr>
        <w:t>4加强城市市政公用设施建设、安全运营和应急管理；5、承担规范村镇建设的责任；</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shd w:val="clear" w:color="auto" w:fill="FFFFFF"/>
        </w:rPr>
        <w:t>6、承担推进建筑节能、城镇减排的责任；</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shd w:val="clear" w:color="auto" w:fill="FFFFFF"/>
        </w:rPr>
        <w:t>7、做好园林绿化工作；</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shd w:val="clear" w:color="auto" w:fill="FFFFFF"/>
        </w:rPr>
        <w:t>8、承担城市环境卫生监督管理责任；</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shd w:val="clear" w:color="auto" w:fill="FFFFFF"/>
        </w:rPr>
        <w:t>9制定城市防空袭方案，组织指挥城市人口疏散和隐蔽。1</w:t>
      </w:r>
      <w:r>
        <w:rPr>
          <w:rFonts w:hint="eastAsia" w:ascii="仿宋_GB2312" w:hAnsi="宋体" w:eastAsia="仿宋_GB2312" w:cs="宋体"/>
          <w:color w:val="333333"/>
          <w:kern w:val="0"/>
          <w:sz w:val="32"/>
          <w:szCs w:val="32"/>
        </w:rPr>
        <w:t>0、加强机关效能建设。进一步落实局机关各项管理制度，加强检查督促，抓好各项工作落实，加强职工作风建设，不断提高工作效率。</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二、预算单位基本情况</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在职人员编制81人，其中：行政编制 14人，事业编制67人。在职实有90人，其中：财政全供养 90人，财政部分供养0人，非财政供养0人。</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离退休人员 41人，其中：离休 1人，退休 40人。</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车辆编制2辆，实有车辆2辆。</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三、预算单位收入情况</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（一）部门财务收入情况</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2019年部门财务总收入 33148.67万元，其中：一般公共预算财政拨款33148.67万元，政府性基金预算财政拨款0万元，国有资本经营预算财政拨款0万元，事业收入0万元，事业单位经营收入0万元，其他收入0万元，上年结转0万元。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（二） 财政拨款收入情况</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2019年部门财政拨款收入 33148.67万元，其中:本年收入33148.67万元，上年结转0万元。本年收入中，一般公共预算财政拨款33148.67万元（本级财力33148.67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四、预算单位支出情况</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2019年部门预算总支出33148.67万元。财政拨款安排支出33148.67万元，其中，基本支出1740.5万元，项目支出31408.17万元。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（一）财政拨款安排支出按功能科目分类情况</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功能科目分组</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2019999  其他一般公共服务支出500万元，主要用于在下帮瓦、枣塘寨等20个省级规划建设示范村。</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 </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 </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2080501归口管理的行政单位离退休2.57万元，主要用于退休职工体检费。</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2080505 机关事业单位基本养老保险缴费支出128.7万元，主要用于基本养老保险缴费。</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2080506  机关事业单位职业年金缴费支出1.65万元，主要用于职业年金缴费。</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2120101  行政运行894.38万元，主要用于在职职工全年工资福利支出及机构正常运转经费。</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2120201  城乡社区规划和管理15.58万元，主要用于城乡规划管理一般经费。</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2120399其他城乡社区公共设施支出19570万元，主要用于南部新区绿化项目（盈恒暂付）400万元，违法违规建筑户自行拆除经费（盈恒暂付）1500万元，允燕大道南侧路网建设资金（盈恒暂付）10000万元，  工程进度款（盈恒暂付）3000万元，市政基础设施建设项目（盈恒暂付）3000万元，盈江县芒胆路延长线建设工程（盈恒暂付）300万元，允燕大道二期等五个重大绿化项目（盈恒暂付），工程款1370万元。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2120501  城乡社区环境卫生支出1043万元，主要用于环境卫生监督站环卫工人工资，和工程项目专项资金（盈恒暂付）。</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2210103  棚户区改造10895.17万元，主要用于住建局2016年棚户区改造（盈恒暂付）。</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2210201  住房公积金97.62万元，主要用于住房公积金。</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（二）财政拨款安排支出按经济科目分类情况</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按部门预算支出经济分类</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经济科目分组</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2019999  其他一般公共服务支出500万元（其中：基本支出0万元，项目支出500万元），主要用310资本性支出中的基础设施建设500万元。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2080501归口管理的行政单位离退休2.57万元其中：基本支出2.57万元，主要用于302商品和服务支出2.57万元，项目支出0万元。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2080505 机关事业单位基本养老保险缴费支出128.7万元其中：基本支出128.7万元，主要用于301工资福利支出中的单位基本养老保险缴费支出128.7万元，项目支出0万元。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2080506  机关事业单位职业年金缴费支出1.65万元其中：基本支出1.65万元，主要用于301工资福利支出中的职业年金缴费支出1.65万元，项目支出0万元。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 2120101  行政运行894.38万元其中：基本支出894.38万元，主要用于301工资福利支出821.39万元，302商品和服务支出71.84万元，303对个人和家庭的补助1.15万元，项目支出0万元。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2120201  城乡社区规划和管理15.58万元其中：基本支出15.58万元，主要用于301工资福利支出14.58万元，302商品和服务支出1万元，项目支出0万元。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 </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2120399其他城乡社区公共设施支出19570万元其中：基本支出0万元，项目支出19570万元，主要用于309资本性支出（基本建设）1800万元，310资本性支出中的基础设施建设17770万元。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2120501  城乡社区环境卫生支出1043万元其中：基本支出600万元，主要用于301工资福利支出,600万元，项目支出443万元，主要用于310资本性支出443万元。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2210103  棚户区改造10895.17万元其中：基本支出0万元，项目支出10895.17万元，主要用于310资本性支出中的基础设施建设10895.17万元。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2210201  住房公积金97.62万元其中：基本支出97.62万元，主要用于301工资福利支出中的住房公积金97.62万元，项目支出0万元。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五、</w:t>
      </w:r>
      <w:r>
        <w:rPr>
          <w:rFonts w:hint="eastAsia" w:ascii="仿宋_GB2312" w:hAnsi="微软雅黑" w:eastAsia="仿宋_GB2312" w:cs="宋体"/>
          <w:b/>
          <w:bCs/>
          <w:color w:val="333333"/>
          <w:kern w:val="0"/>
          <w:sz w:val="32"/>
          <w:szCs w:val="32"/>
        </w:rPr>
        <w:t>县对下专项转移支付情况</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    本单位2019年无县对下专项转移支付项目</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六、</w:t>
      </w:r>
      <w:r>
        <w:rPr>
          <w:rFonts w:hint="eastAsia" w:ascii="微软雅黑" w:hAnsi="微软雅黑" w:eastAsia="微软雅黑" w:cs="宋体"/>
          <w:b/>
          <w:bCs/>
          <w:color w:val="333333"/>
          <w:kern w:val="0"/>
          <w:sz w:val="32"/>
          <w:szCs w:val="32"/>
        </w:rPr>
        <w:t>政府采购预算情况</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无</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七</w:t>
      </w:r>
      <w:r>
        <w:rPr>
          <w:rFonts w:hint="eastAsia" w:ascii="仿宋_GB2312" w:hAnsi="宋体" w:eastAsia="仿宋_GB2312" w:cs="宋体"/>
          <w:color w:val="333333"/>
          <w:kern w:val="0"/>
          <w:sz w:val="32"/>
          <w:szCs w:val="32"/>
        </w:rPr>
        <w:t>、</w:t>
      </w:r>
      <w:r>
        <w:rPr>
          <w:rFonts w:hint="eastAsia" w:ascii="微软雅黑" w:hAnsi="微软雅黑" w:eastAsia="微软雅黑" w:cs="宋体"/>
          <w:b/>
          <w:bCs/>
          <w:color w:val="333333"/>
          <w:kern w:val="0"/>
          <w:sz w:val="32"/>
          <w:szCs w:val="32"/>
        </w:rPr>
        <w:t>预算收支增减变化情况说明</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（一）部门“三公”经费增减变化情况及原因说</w:t>
      </w:r>
      <w:r>
        <w:rPr>
          <w:rFonts w:hint="eastAsia" w:ascii="仿宋_GB2312" w:hAnsi="宋体" w:eastAsia="仿宋_GB2312" w:cs="宋体"/>
          <w:color w:val="333333"/>
          <w:kern w:val="0"/>
          <w:sz w:val="32"/>
          <w:szCs w:val="32"/>
        </w:rPr>
        <w:t>明</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2019年“三公”经费预算数为37.3万元，与上年预算数37.3万元相比持平。</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1、因公出国（境）经费</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拟安排出国（境）经费预算0万元，比上年持平。</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2、公务接待费</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  拟安排公务接待费预算11.5万元，主要用于按规定开支的各类公务接待产生的费用，与上年预算数11.5万元持平。</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3、公务用车购置及运行维护费</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拟安排公务用车购置及运行维护费25.8万元，其中：购置经费0万元、运行维护费25.8万元，主要用于保障政府部门、党群部门、其他部门公务工作开展，拟产生的公务用车燃料费、维修费、过路过桥费、保险费等支出，与上年预算数25.8万元持平。</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（二）预算收入增减变化情况及原因说明</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2019部门预算总收入33147.95万元，比上年预算数2260.05 万元增30887.9万元，增1366.69%，其中基本收入1740.2万元，比上年1494.19万元增加246.01万元增幅为16.46%，主要是在职职工调增基本工资标准和津贴补贴。项目收入31408.17万元，比上年预算项目收入765.86万元增30642.31万元，增4001.03%，原因为：主要是2019年增加了2016年棚户区改造款10895.17万元（盈恒暂付）,  南部新区绿化项目款400万元（盈恒暂付）, 工程项目专项资金443万元（盈恒暂付）, 违法违规建筑户自行拆除经费1500万元（盈恒暂付）, 下帮瓦、澡堂寨等20个省级规划建设示范村500万元（盈恒暂付）, 允燕大道南侧路网建设资金10000万元（盈恒暂付）, 工程进度款3000万元（盈恒暂付）, 市政基础设</w:t>
      </w:r>
      <w:bookmarkStart w:id="0" w:name="_GoBack"/>
      <w:bookmarkEnd w:id="0"/>
      <w:r>
        <w:rPr>
          <w:rFonts w:hint="eastAsia" w:ascii="仿宋_GB2312" w:hAnsi="宋体" w:eastAsia="仿宋_GB2312" w:cs="宋体"/>
          <w:color w:val="333333"/>
          <w:kern w:val="0"/>
          <w:sz w:val="32"/>
          <w:szCs w:val="32"/>
        </w:rPr>
        <w:t>施建设项目资金3000万元（盈恒暂付）,  盈江县芒胆路延长线建设工程资金300万元（盈恒暂付）, 允燕大道二期等五个重大绿化项目款1370万元（盈恒暂付）10个项目与盈恒公司暂付工程项目款列入了预算，所以本年预算比上年增加。</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(三)预算支出增减变化情况及原因说明</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2019部门预算总支出33147.95万元，比上年预算数2260.05 万元增30887.9万元，增1366.69%，其中基本支出1740.2万元，比上年1494.19万元增加246.01万元增幅为16.46%，主要是在职职工调增基本工资标准和津贴补贴。项目收入31408.17万元，比上年预算项目支出765.86万元增30642.31万元，增4001.03%，原因为：主要是2019年增加了2016年棚户区改造款10895.17万元（盈恒暂付）,  南部新区绿化项目款400万元（盈恒暂付）, 工程项目专项资金443万元（盈恒暂付）, 违法违规建筑户自行拆除经费1500万元（盈恒暂付）, 下帮瓦、澡堂寨等20个省级规划建设示范村500万元（盈恒暂付）, 允燕大道南侧路网建设资金10000万元（盈恒暂付）, 工程进度款3000万元（盈恒暂付）, 市政基础设施建设项目资金3000万元（盈恒暂付）,  盈江县芒胆路延长线建设工程资金300万元（盈恒暂付）, 允燕大道二期等五个重大绿化项目款1370万元（盈恒暂付）10个项目与盈恒公司暂付工程项目款列入了预算，所以本年预算比上年增加。</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八、其他公开信息</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（一）专业名词解释</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1.财政拨款（补助）收入指财政部门当年拨付的资金。</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2.事业收入指事业单位开展业务活动取得的收入。</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3.事业单位经营收入指事业单位在业务活动之外开展非独立核算经营活动取得的收入。</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4.其他收入指预算单位在“财政拨款收入”、“事业收入”、“经营收入”之外取得的收入。</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5.基本支出指为保障机构正常运转、完成日常工作任务而发生的人员支出和公用支出。</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6.项目支出指在基本支出之外为完成相关行政任务和事业发展目标所发生的支出。</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9.一般公共预算是对以税收为主体的财政收入，安排用于保障和改善民生、推动经济社会发展、维护国家安全、维护国家机构正常运转等方面的收支预算。</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10.非税收入是各级政府及其所属部门和单位依法利用行政权力、政府信誉、国家资源、国有资产或提供特定公共服务征收、收取、提取、募集的除税收和政府债务收入以外的财政收入。</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11.工资福利支出反映单位开支的在职职工和编制外长期聘用人员的各类劳动报酬，以及为上述人员缴纳的各项社会保险费等。</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12.商品和服务支出反映单位购买商品和服务的支出（不包括用于购置固定资产的支出、战略性和应急储备支出）。</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13.对个人和家庭的补助反映政府用于对个人和家庭的补助支出。</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（二）机关运行经费安排</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机关运行经费共安排75.41万元与2018年35.51万元对比，增长39.9万元，增加112.36%，增加原因是2019年公务交通补贴列入日常公用经费，2018年公务交通补贴未列入日常公用经费，退休人员增加每年人均600元。2019年机关运行经费主要用于办公费47.57万元、 其他交通费用27.84万元。</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微软雅黑" w:eastAsia="仿宋_GB2312" w:cs="宋体"/>
          <w:b/>
          <w:bCs/>
          <w:color w:val="333333"/>
          <w:kern w:val="0"/>
          <w:sz w:val="32"/>
          <w:szCs w:val="32"/>
        </w:rPr>
        <w:t>（三）国有资产占用情况</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  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（四）</w:t>
      </w:r>
      <w:r>
        <w:rPr>
          <w:rFonts w:hint="eastAsia" w:ascii="仿宋_GB2312" w:hAnsi="微软雅黑" w:eastAsia="仿宋_GB2312" w:cs="宋体"/>
          <w:b/>
          <w:bCs/>
          <w:color w:val="333333"/>
          <w:kern w:val="0"/>
          <w:sz w:val="32"/>
          <w:szCs w:val="32"/>
        </w:rPr>
        <w:t>本部门预算绩效情况说明</w:t>
      </w: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宋体" w:hAnsi="宋体" w:eastAsia="宋体" w:cs="宋体"/>
          <w:color w:val="333333"/>
          <w:kern w:val="0"/>
          <w:sz w:val="24"/>
          <w:szCs w:val="24"/>
        </w:rPr>
      </w:pPr>
      <w:r>
        <w:rPr>
          <w:rFonts w:hint="eastAsia" w:ascii="仿宋_GB2312" w:hAnsi="宋体" w:eastAsia="仿宋_GB2312" w:cs="宋体"/>
          <w:color w:val="333333"/>
          <w:kern w:val="0"/>
          <w:sz w:val="32"/>
          <w:szCs w:val="32"/>
        </w:rPr>
        <w:t>2019年部门收入预算33148.67万元，财政拨款安排支出  33148.67万元其中：基本支出1740.5万元，主要用于发放职工工资，归口管理的行政单位离退休、基本养老保险缴费，住房公积金，支付公用经费,确保机构正常运转。项目支出31408.17万元，主要用于全县2016年棚户区改造款,  南部新区绿化项目，  违法违规建筑户自行拆除 , 下帮瓦、澡堂寨等20个省级规划建设示范村 , 允燕大道南侧路网建设 , 住建各项工程进度 ，市政基础设施建设项目，盈江县芒胆路延长线建设工程， 允燕大道二期等五个重大绿化等项目。及时维护城乡公共设备，有效保障人民群众生命财产安全，通过结合本县的的风土人情、历史文化和自然特点，建立省级示范村，在保护本县特色文化的基础上，吸引游客，促进旅游业发展，提高全县经济。绿化建设可以改善全县气候条件和自然环境，净化空气质量，增加了城市绿化率，以优美的绿化环境作为“卖点”吸引消费者，提升了全县居民生活环境水平，能有效保持水土，防止水土流失，净化空气，减少空气中的浮尘和各种有毒有害物质，保障人民的生命健康。</w:t>
      </w:r>
    </w:p>
    <w:p>
      <w:pPr>
        <w:keepNext w:val="0"/>
        <w:keepLines w:val="0"/>
        <w:pageBreakBefore w:val="0"/>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pPr>
    </w:p>
    <w:p>
      <w:pPr>
        <w:keepNext w:val="0"/>
        <w:keepLines w:val="0"/>
        <w:pageBreakBefore w:val="0"/>
        <w:widowControl/>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hint="eastAsia" w:ascii="仿宋_GB2312" w:hAnsi="仿宋_GB2312" w:eastAsia="仿宋_GB2312" w:cs="仿宋_GB2312"/>
          <w:kern w:val="0"/>
          <w:sz w:val="32"/>
          <w:szCs w:val="32"/>
        </w:rPr>
      </w:pPr>
    </w:p>
    <w:p>
      <w:pPr>
        <w:keepNext w:val="0"/>
        <w:keepLines w:val="0"/>
        <w:pageBreakBefore w:val="0"/>
        <w:kinsoku/>
        <w:wordWrap/>
        <w:overflowPunct/>
        <w:topLinePunct w:val="0"/>
        <w:autoSpaceDE/>
        <w:autoSpaceDN/>
        <w:bidi/>
        <w:adjustRightInd/>
        <w:snapToGrid/>
        <w:spacing w:after="0" w:line="560" w:lineRule="exact"/>
        <w:ind w:left="0" w:leftChars="0" w:right="0" w:rightChars="0" w:firstLine="640" w:firstLineChars="200"/>
        <w:jc w:val="right"/>
        <w:textAlignment w:val="auto"/>
        <w:outlineLvl w:val="9"/>
        <w:rPr>
          <w:rFonts w:ascii="Arial" w:hAnsi="Arial" w:eastAsia="Arial" w:cs="Arial"/>
          <w:b/>
          <w:sz w:val="36"/>
        </w:rPr>
      </w:pPr>
      <w:r>
        <w:rPr>
          <w:rFonts w:ascii="Arial" w:hAnsi="Arial" w:eastAsia="Arial" w:cs="Arial"/>
          <w:b/>
          <w:sz w:val="36"/>
        </w:rPr>
        <w:t>监督索引号53312300433300111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中等线简体">
    <w:panose1 w:val="02010601030101010101"/>
    <w:charset w:val="86"/>
    <w:family w:val="auto"/>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准圆简体">
    <w:panose1 w:val="02010601030101010101"/>
    <w:charset w:val="86"/>
    <w:family w:val="auto"/>
    <w:pitch w:val="default"/>
    <w:sig w:usb0="00000001" w:usb1="080E0000" w:usb2="00000000" w:usb3="00000000" w:csb0="00040000" w:csb1="00000000"/>
  </w:font>
  <w:font w:name="方正大黑简体">
    <w:panose1 w:val="02010601030101010101"/>
    <w:charset w:val="86"/>
    <w:family w:val="auto"/>
    <w:pitch w:val="default"/>
    <w:sig w:usb0="00000001" w:usb1="080E0000" w:usb2="00000000" w:usb3="00000000" w:csb0="00040000" w:csb1="00000000"/>
  </w:font>
  <w:font w:name="方正姚体简体">
    <w:panose1 w:val="02010601030101010101"/>
    <w:charset w:val="86"/>
    <w:family w:val="auto"/>
    <w:pitch w:val="default"/>
    <w:sig w:usb0="00000001" w:usb1="080E0000" w:usb2="00000000" w:usb3="00000000" w:csb0="00040000" w:csb1="00000000"/>
  </w:font>
  <w:font w:name="方正宋三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Calibri Light">
    <w:altName w:val="Calibri"/>
    <w:panose1 w:val="00000000000000000000"/>
    <w:charset w:val="00"/>
    <w:family w:val="auto"/>
    <w:pitch w:val="default"/>
    <w:sig w:usb0="00000000" w:usb1="00000000" w:usb2="00000000" w:usb3="00000000" w:csb0="00000000" w:csb1="00000000"/>
  </w:font>
  <w:font w:name="+中文正文">
    <w:altName w:val="Segoe Print"/>
    <w:panose1 w:val="00000000000000000000"/>
    <w:charset w:val="00"/>
    <w:family w:val="auto"/>
    <w:pitch w:val="default"/>
    <w:sig w:usb0="00000000" w:usb1="00000000" w:usb2="00000000" w:usb3="00000000" w:csb0="00000000"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auto"/>
    <w:pitch w:val="default"/>
    <w:sig w:usb0="00000000" w:usb1="00000000"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178B0"/>
    <w:rsid w:val="000237AB"/>
    <w:rsid w:val="00031C9F"/>
    <w:rsid w:val="0003248D"/>
    <w:rsid w:val="00034005"/>
    <w:rsid w:val="0005317B"/>
    <w:rsid w:val="000543CA"/>
    <w:rsid w:val="00054EA9"/>
    <w:rsid w:val="000559B2"/>
    <w:rsid w:val="00060B5F"/>
    <w:rsid w:val="00063177"/>
    <w:rsid w:val="00064C37"/>
    <w:rsid w:val="00070204"/>
    <w:rsid w:val="000721B3"/>
    <w:rsid w:val="00073344"/>
    <w:rsid w:val="00074721"/>
    <w:rsid w:val="000807D5"/>
    <w:rsid w:val="00081157"/>
    <w:rsid w:val="00083CB1"/>
    <w:rsid w:val="00085843"/>
    <w:rsid w:val="000860FB"/>
    <w:rsid w:val="00090B50"/>
    <w:rsid w:val="000952C1"/>
    <w:rsid w:val="00096A53"/>
    <w:rsid w:val="000A03E5"/>
    <w:rsid w:val="000A07EA"/>
    <w:rsid w:val="000A1122"/>
    <w:rsid w:val="000A1D87"/>
    <w:rsid w:val="000A3EF2"/>
    <w:rsid w:val="000A6A4C"/>
    <w:rsid w:val="000A74AF"/>
    <w:rsid w:val="000A7B19"/>
    <w:rsid w:val="000B0125"/>
    <w:rsid w:val="000B509A"/>
    <w:rsid w:val="000B59B5"/>
    <w:rsid w:val="000B5BAB"/>
    <w:rsid w:val="000B7EA9"/>
    <w:rsid w:val="000C3AE5"/>
    <w:rsid w:val="000C5123"/>
    <w:rsid w:val="000D4394"/>
    <w:rsid w:val="000D4B48"/>
    <w:rsid w:val="000E2B18"/>
    <w:rsid w:val="000E530D"/>
    <w:rsid w:val="000F365A"/>
    <w:rsid w:val="000F4C86"/>
    <w:rsid w:val="001046C0"/>
    <w:rsid w:val="00104701"/>
    <w:rsid w:val="00107DD6"/>
    <w:rsid w:val="00114FB7"/>
    <w:rsid w:val="00122B32"/>
    <w:rsid w:val="00123DF3"/>
    <w:rsid w:val="00126D02"/>
    <w:rsid w:val="00126F40"/>
    <w:rsid w:val="00127A6B"/>
    <w:rsid w:val="00127D29"/>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61D10"/>
    <w:rsid w:val="001704E4"/>
    <w:rsid w:val="00175223"/>
    <w:rsid w:val="00175B2E"/>
    <w:rsid w:val="00176F17"/>
    <w:rsid w:val="001804E3"/>
    <w:rsid w:val="00180C9A"/>
    <w:rsid w:val="00182D13"/>
    <w:rsid w:val="00183B42"/>
    <w:rsid w:val="00186C54"/>
    <w:rsid w:val="00187C8B"/>
    <w:rsid w:val="00192C05"/>
    <w:rsid w:val="00194417"/>
    <w:rsid w:val="001970F4"/>
    <w:rsid w:val="00197C06"/>
    <w:rsid w:val="00197CAA"/>
    <w:rsid w:val="00197E5D"/>
    <w:rsid w:val="001A1B3A"/>
    <w:rsid w:val="001A3CEE"/>
    <w:rsid w:val="001A784A"/>
    <w:rsid w:val="001B045D"/>
    <w:rsid w:val="001C1C89"/>
    <w:rsid w:val="001C4FE6"/>
    <w:rsid w:val="001C55D5"/>
    <w:rsid w:val="001D120C"/>
    <w:rsid w:val="001D1788"/>
    <w:rsid w:val="001E03BD"/>
    <w:rsid w:val="001E043A"/>
    <w:rsid w:val="001E684A"/>
    <w:rsid w:val="00200BD6"/>
    <w:rsid w:val="00211B35"/>
    <w:rsid w:val="00213694"/>
    <w:rsid w:val="0021527F"/>
    <w:rsid w:val="00216177"/>
    <w:rsid w:val="002230AE"/>
    <w:rsid w:val="002247D0"/>
    <w:rsid w:val="00224F80"/>
    <w:rsid w:val="0022507C"/>
    <w:rsid w:val="00226979"/>
    <w:rsid w:val="002406F5"/>
    <w:rsid w:val="00242E76"/>
    <w:rsid w:val="00243464"/>
    <w:rsid w:val="002462A8"/>
    <w:rsid w:val="00247731"/>
    <w:rsid w:val="00253C74"/>
    <w:rsid w:val="002573B9"/>
    <w:rsid w:val="00262274"/>
    <w:rsid w:val="00262BAD"/>
    <w:rsid w:val="00267F40"/>
    <w:rsid w:val="002726B1"/>
    <w:rsid w:val="002727D0"/>
    <w:rsid w:val="002749C8"/>
    <w:rsid w:val="00275325"/>
    <w:rsid w:val="00281C06"/>
    <w:rsid w:val="00283B1F"/>
    <w:rsid w:val="00285DC4"/>
    <w:rsid w:val="00294AE7"/>
    <w:rsid w:val="00295786"/>
    <w:rsid w:val="0029757A"/>
    <w:rsid w:val="002A7263"/>
    <w:rsid w:val="002A7BAE"/>
    <w:rsid w:val="002A7F0F"/>
    <w:rsid w:val="002B11FA"/>
    <w:rsid w:val="002B2CA6"/>
    <w:rsid w:val="002B34ED"/>
    <w:rsid w:val="002B37A7"/>
    <w:rsid w:val="002B4342"/>
    <w:rsid w:val="002B56EB"/>
    <w:rsid w:val="002B6D47"/>
    <w:rsid w:val="002C2555"/>
    <w:rsid w:val="002C4D0B"/>
    <w:rsid w:val="002C7D21"/>
    <w:rsid w:val="002D27CD"/>
    <w:rsid w:val="002D3EC0"/>
    <w:rsid w:val="002D729F"/>
    <w:rsid w:val="002E0E3C"/>
    <w:rsid w:val="002E1812"/>
    <w:rsid w:val="002E2F7F"/>
    <w:rsid w:val="002E42D9"/>
    <w:rsid w:val="002E4B20"/>
    <w:rsid w:val="002E5FC6"/>
    <w:rsid w:val="002E6D7D"/>
    <w:rsid w:val="002F2C1E"/>
    <w:rsid w:val="002F6E99"/>
    <w:rsid w:val="00300C47"/>
    <w:rsid w:val="003014F1"/>
    <w:rsid w:val="003050B6"/>
    <w:rsid w:val="0030726B"/>
    <w:rsid w:val="0031118B"/>
    <w:rsid w:val="0031122F"/>
    <w:rsid w:val="00315EFA"/>
    <w:rsid w:val="00316408"/>
    <w:rsid w:val="003179FB"/>
    <w:rsid w:val="00323A51"/>
    <w:rsid w:val="003244C9"/>
    <w:rsid w:val="0032468B"/>
    <w:rsid w:val="00327119"/>
    <w:rsid w:val="00327EFE"/>
    <w:rsid w:val="003333E4"/>
    <w:rsid w:val="00336580"/>
    <w:rsid w:val="0034184B"/>
    <w:rsid w:val="00351626"/>
    <w:rsid w:val="003535EB"/>
    <w:rsid w:val="00354D29"/>
    <w:rsid w:val="00356356"/>
    <w:rsid w:val="00360593"/>
    <w:rsid w:val="00360EF7"/>
    <w:rsid w:val="00361A07"/>
    <w:rsid w:val="00364EEC"/>
    <w:rsid w:val="00366B62"/>
    <w:rsid w:val="003710A2"/>
    <w:rsid w:val="00371FE2"/>
    <w:rsid w:val="00372470"/>
    <w:rsid w:val="00376707"/>
    <w:rsid w:val="0037788A"/>
    <w:rsid w:val="0038029B"/>
    <w:rsid w:val="00383096"/>
    <w:rsid w:val="00392AA8"/>
    <w:rsid w:val="003931E6"/>
    <w:rsid w:val="003A324A"/>
    <w:rsid w:val="003A73EF"/>
    <w:rsid w:val="003B2514"/>
    <w:rsid w:val="003B54C2"/>
    <w:rsid w:val="003B5BA8"/>
    <w:rsid w:val="003B7746"/>
    <w:rsid w:val="003C0093"/>
    <w:rsid w:val="003C01DF"/>
    <w:rsid w:val="003C1BE1"/>
    <w:rsid w:val="003C6315"/>
    <w:rsid w:val="003D1204"/>
    <w:rsid w:val="003D160D"/>
    <w:rsid w:val="003D250A"/>
    <w:rsid w:val="003D35F4"/>
    <w:rsid w:val="003D6601"/>
    <w:rsid w:val="003D6C9A"/>
    <w:rsid w:val="003E2D1F"/>
    <w:rsid w:val="003E2DE1"/>
    <w:rsid w:val="003E4778"/>
    <w:rsid w:val="003E48D6"/>
    <w:rsid w:val="003E5754"/>
    <w:rsid w:val="003F171F"/>
    <w:rsid w:val="003F201E"/>
    <w:rsid w:val="003F3C0C"/>
    <w:rsid w:val="003F7F93"/>
    <w:rsid w:val="0040002C"/>
    <w:rsid w:val="00400C3B"/>
    <w:rsid w:val="00402B1E"/>
    <w:rsid w:val="00403507"/>
    <w:rsid w:val="00403546"/>
    <w:rsid w:val="00404DA0"/>
    <w:rsid w:val="004113F9"/>
    <w:rsid w:val="004158B8"/>
    <w:rsid w:val="00416B98"/>
    <w:rsid w:val="00421A99"/>
    <w:rsid w:val="0042780C"/>
    <w:rsid w:val="004318AA"/>
    <w:rsid w:val="0043232E"/>
    <w:rsid w:val="00432BAC"/>
    <w:rsid w:val="00445161"/>
    <w:rsid w:val="004457F4"/>
    <w:rsid w:val="004472BF"/>
    <w:rsid w:val="00447C85"/>
    <w:rsid w:val="004544A9"/>
    <w:rsid w:val="00455E38"/>
    <w:rsid w:val="00456CDD"/>
    <w:rsid w:val="004605B3"/>
    <w:rsid w:val="00462C6C"/>
    <w:rsid w:val="00467CD2"/>
    <w:rsid w:val="004718A9"/>
    <w:rsid w:val="00474547"/>
    <w:rsid w:val="00476EC1"/>
    <w:rsid w:val="0047723F"/>
    <w:rsid w:val="00480582"/>
    <w:rsid w:val="0048694C"/>
    <w:rsid w:val="004911B1"/>
    <w:rsid w:val="00495E43"/>
    <w:rsid w:val="004A362F"/>
    <w:rsid w:val="004A742B"/>
    <w:rsid w:val="004B29ED"/>
    <w:rsid w:val="004B345C"/>
    <w:rsid w:val="004B50FC"/>
    <w:rsid w:val="004B5BE1"/>
    <w:rsid w:val="004C064B"/>
    <w:rsid w:val="004C1CDF"/>
    <w:rsid w:val="004D26D3"/>
    <w:rsid w:val="004D3093"/>
    <w:rsid w:val="004D394A"/>
    <w:rsid w:val="004D3A59"/>
    <w:rsid w:val="004D6E1D"/>
    <w:rsid w:val="004E4C26"/>
    <w:rsid w:val="004E7B2C"/>
    <w:rsid w:val="004F1A56"/>
    <w:rsid w:val="004F2C44"/>
    <w:rsid w:val="004F4F9F"/>
    <w:rsid w:val="004F53C4"/>
    <w:rsid w:val="004F5C1B"/>
    <w:rsid w:val="00501B61"/>
    <w:rsid w:val="005054B5"/>
    <w:rsid w:val="00505533"/>
    <w:rsid w:val="00506344"/>
    <w:rsid w:val="00510393"/>
    <w:rsid w:val="00510C10"/>
    <w:rsid w:val="005148D7"/>
    <w:rsid w:val="00515B28"/>
    <w:rsid w:val="00520242"/>
    <w:rsid w:val="00521069"/>
    <w:rsid w:val="005248EA"/>
    <w:rsid w:val="0052572D"/>
    <w:rsid w:val="005431C8"/>
    <w:rsid w:val="005463F4"/>
    <w:rsid w:val="0055173F"/>
    <w:rsid w:val="00552BA8"/>
    <w:rsid w:val="0055409A"/>
    <w:rsid w:val="00556258"/>
    <w:rsid w:val="00563EEF"/>
    <w:rsid w:val="005653A2"/>
    <w:rsid w:val="00572E90"/>
    <w:rsid w:val="00575EDA"/>
    <w:rsid w:val="005864CC"/>
    <w:rsid w:val="00591B91"/>
    <w:rsid w:val="005952DC"/>
    <w:rsid w:val="005A00B7"/>
    <w:rsid w:val="005A1F0D"/>
    <w:rsid w:val="005A51EE"/>
    <w:rsid w:val="005B00A0"/>
    <w:rsid w:val="005B0445"/>
    <w:rsid w:val="005B0A4A"/>
    <w:rsid w:val="005B3C65"/>
    <w:rsid w:val="005B5412"/>
    <w:rsid w:val="005B679B"/>
    <w:rsid w:val="005B77D3"/>
    <w:rsid w:val="005C1C10"/>
    <w:rsid w:val="005C470B"/>
    <w:rsid w:val="005C66D3"/>
    <w:rsid w:val="005D245F"/>
    <w:rsid w:val="005D3061"/>
    <w:rsid w:val="005D6260"/>
    <w:rsid w:val="005D6D58"/>
    <w:rsid w:val="005E6A58"/>
    <w:rsid w:val="005F310F"/>
    <w:rsid w:val="006000A9"/>
    <w:rsid w:val="00602B8A"/>
    <w:rsid w:val="0060314C"/>
    <w:rsid w:val="00610CF7"/>
    <w:rsid w:val="00612D63"/>
    <w:rsid w:val="0061307F"/>
    <w:rsid w:val="00614B12"/>
    <w:rsid w:val="006150EC"/>
    <w:rsid w:val="006164DB"/>
    <w:rsid w:val="0061679D"/>
    <w:rsid w:val="0062121B"/>
    <w:rsid w:val="00622C3A"/>
    <w:rsid w:val="006253D8"/>
    <w:rsid w:val="00626153"/>
    <w:rsid w:val="00630F93"/>
    <w:rsid w:val="006374A1"/>
    <w:rsid w:val="00651B6C"/>
    <w:rsid w:val="00653654"/>
    <w:rsid w:val="006540CB"/>
    <w:rsid w:val="0065750C"/>
    <w:rsid w:val="00660B2A"/>
    <w:rsid w:val="00663D84"/>
    <w:rsid w:val="006742AC"/>
    <w:rsid w:val="00682553"/>
    <w:rsid w:val="0068515C"/>
    <w:rsid w:val="0068667C"/>
    <w:rsid w:val="00690A6A"/>
    <w:rsid w:val="006A26A0"/>
    <w:rsid w:val="006A4FDA"/>
    <w:rsid w:val="006B1C07"/>
    <w:rsid w:val="006B3DA5"/>
    <w:rsid w:val="006B5B25"/>
    <w:rsid w:val="006B7827"/>
    <w:rsid w:val="006C059F"/>
    <w:rsid w:val="006D0172"/>
    <w:rsid w:val="006E123A"/>
    <w:rsid w:val="006E1A3A"/>
    <w:rsid w:val="006E2230"/>
    <w:rsid w:val="006E2B9C"/>
    <w:rsid w:val="006E5A92"/>
    <w:rsid w:val="006E7E16"/>
    <w:rsid w:val="006E7E4C"/>
    <w:rsid w:val="006F02E3"/>
    <w:rsid w:val="006F1C64"/>
    <w:rsid w:val="006F3C19"/>
    <w:rsid w:val="00700438"/>
    <w:rsid w:val="007013C6"/>
    <w:rsid w:val="00715660"/>
    <w:rsid w:val="007328B9"/>
    <w:rsid w:val="007336B0"/>
    <w:rsid w:val="0073563C"/>
    <w:rsid w:val="00735ADA"/>
    <w:rsid w:val="00735D71"/>
    <w:rsid w:val="00736386"/>
    <w:rsid w:val="0074061F"/>
    <w:rsid w:val="0074138A"/>
    <w:rsid w:val="00750940"/>
    <w:rsid w:val="00751AB4"/>
    <w:rsid w:val="00751D1A"/>
    <w:rsid w:val="0076269B"/>
    <w:rsid w:val="00765E00"/>
    <w:rsid w:val="00766131"/>
    <w:rsid w:val="0077005A"/>
    <w:rsid w:val="00772DB4"/>
    <w:rsid w:val="00780AAD"/>
    <w:rsid w:val="0078371A"/>
    <w:rsid w:val="00783A4C"/>
    <w:rsid w:val="0078565D"/>
    <w:rsid w:val="0079250C"/>
    <w:rsid w:val="00794375"/>
    <w:rsid w:val="007A05BD"/>
    <w:rsid w:val="007A7078"/>
    <w:rsid w:val="007A725D"/>
    <w:rsid w:val="007B3BAE"/>
    <w:rsid w:val="007B4728"/>
    <w:rsid w:val="007B4A0F"/>
    <w:rsid w:val="007B57C0"/>
    <w:rsid w:val="007C05CB"/>
    <w:rsid w:val="007C1922"/>
    <w:rsid w:val="007C3153"/>
    <w:rsid w:val="007C5592"/>
    <w:rsid w:val="007C7656"/>
    <w:rsid w:val="007D066F"/>
    <w:rsid w:val="007D1AE5"/>
    <w:rsid w:val="007D4168"/>
    <w:rsid w:val="007D5A91"/>
    <w:rsid w:val="007E3441"/>
    <w:rsid w:val="007E460F"/>
    <w:rsid w:val="007E68C9"/>
    <w:rsid w:val="007E76F1"/>
    <w:rsid w:val="007F1DA0"/>
    <w:rsid w:val="00803F6B"/>
    <w:rsid w:val="00805901"/>
    <w:rsid w:val="00807250"/>
    <w:rsid w:val="00811B53"/>
    <w:rsid w:val="00816BAB"/>
    <w:rsid w:val="00817514"/>
    <w:rsid w:val="00825E03"/>
    <w:rsid w:val="00827ECC"/>
    <w:rsid w:val="0083106D"/>
    <w:rsid w:val="0083313F"/>
    <w:rsid w:val="00834D98"/>
    <w:rsid w:val="00835730"/>
    <w:rsid w:val="00835F23"/>
    <w:rsid w:val="00841235"/>
    <w:rsid w:val="0084210A"/>
    <w:rsid w:val="00845657"/>
    <w:rsid w:val="0084624C"/>
    <w:rsid w:val="00851C1D"/>
    <w:rsid w:val="00853AAE"/>
    <w:rsid w:val="00861FDC"/>
    <w:rsid w:val="00862518"/>
    <w:rsid w:val="00864E02"/>
    <w:rsid w:val="0086517B"/>
    <w:rsid w:val="00870B2A"/>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41CF"/>
    <w:rsid w:val="00904319"/>
    <w:rsid w:val="00905BB4"/>
    <w:rsid w:val="00906400"/>
    <w:rsid w:val="00907813"/>
    <w:rsid w:val="00911B9D"/>
    <w:rsid w:val="009142F4"/>
    <w:rsid w:val="00921C07"/>
    <w:rsid w:val="00930A10"/>
    <w:rsid w:val="0093199F"/>
    <w:rsid w:val="00932958"/>
    <w:rsid w:val="0094784F"/>
    <w:rsid w:val="00947CC7"/>
    <w:rsid w:val="00951519"/>
    <w:rsid w:val="00951C5E"/>
    <w:rsid w:val="009535AF"/>
    <w:rsid w:val="009573FD"/>
    <w:rsid w:val="0096301A"/>
    <w:rsid w:val="00964D6C"/>
    <w:rsid w:val="00965133"/>
    <w:rsid w:val="00965E0F"/>
    <w:rsid w:val="00971AD3"/>
    <w:rsid w:val="00972526"/>
    <w:rsid w:val="009734D9"/>
    <w:rsid w:val="00976F14"/>
    <w:rsid w:val="00980F62"/>
    <w:rsid w:val="00981123"/>
    <w:rsid w:val="00982629"/>
    <w:rsid w:val="0098468C"/>
    <w:rsid w:val="0098667C"/>
    <w:rsid w:val="009866FD"/>
    <w:rsid w:val="00987649"/>
    <w:rsid w:val="009907B9"/>
    <w:rsid w:val="00992351"/>
    <w:rsid w:val="009963FB"/>
    <w:rsid w:val="009A08B6"/>
    <w:rsid w:val="009A2377"/>
    <w:rsid w:val="009A4D11"/>
    <w:rsid w:val="009B3ED3"/>
    <w:rsid w:val="009B4ADC"/>
    <w:rsid w:val="009C1730"/>
    <w:rsid w:val="009D258A"/>
    <w:rsid w:val="009D4542"/>
    <w:rsid w:val="009D6232"/>
    <w:rsid w:val="009E15D4"/>
    <w:rsid w:val="009F088F"/>
    <w:rsid w:val="009F1B54"/>
    <w:rsid w:val="009F25BD"/>
    <w:rsid w:val="009F3C7E"/>
    <w:rsid w:val="009F5646"/>
    <w:rsid w:val="009F7873"/>
    <w:rsid w:val="009F7979"/>
    <w:rsid w:val="009F7AE7"/>
    <w:rsid w:val="00A02F72"/>
    <w:rsid w:val="00A03FA7"/>
    <w:rsid w:val="00A04D46"/>
    <w:rsid w:val="00A06395"/>
    <w:rsid w:val="00A06AEF"/>
    <w:rsid w:val="00A10700"/>
    <w:rsid w:val="00A14D49"/>
    <w:rsid w:val="00A15184"/>
    <w:rsid w:val="00A1637D"/>
    <w:rsid w:val="00A22B48"/>
    <w:rsid w:val="00A2566B"/>
    <w:rsid w:val="00A32086"/>
    <w:rsid w:val="00A34E84"/>
    <w:rsid w:val="00A352B0"/>
    <w:rsid w:val="00A37886"/>
    <w:rsid w:val="00A37EDD"/>
    <w:rsid w:val="00A472C6"/>
    <w:rsid w:val="00A51B42"/>
    <w:rsid w:val="00A51E75"/>
    <w:rsid w:val="00A51E78"/>
    <w:rsid w:val="00A52491"/>
    <w:rsid w:val="00A570A1"/>
    <w:rsid w:val="00A60974"/>
    <w:rsid w:val="00A61DCD"/>
    <w:rsid w:val="00A65535"/>
    <w:rsid w:val="00A724CF"/>
    <w:rsid w:val="00A7532F"/>
    <w:rsid w:val="00A761CF"/>
    <w:rsid w:val="00A81682"/>
    <w:rsid w:val="00A84D92"/>
    <w:rsid w:val="00A84E65"/>
    <w:rsid w:val="00A86229"/>
    <w:rsid w:val="00A95B6C"/>
    <w:rsid w:val="00AA6DD8"/>
    <w:rsid w:val="00AA7480"/>
    <w:rsid w:val="00AB1481"/>
    <w:rsid w:val="00AB16EB"/>
    <w:rsid w:val="00AB1A9E"/>
    <w:rsid w:val="00AB2ABB"/>
    <w:rsid w:val="00AB5C67"/>
    <w:rsid w:val="00AB7C98"/>
    <w:rsid w:val="00AC47D9"/>
    <w:rsid w:val="00AD0DA1"/>
    <w:rsid w:val="00AD18BB"/>
    <w:rsid w:val="00AE0209"/>
    <w:rsid w:val="00AE2095"/>
    <w:rsid w:val="00AE5322"/>
    <w:rsid w:val="00AE5FEF"/>
    <w:rsid w:val="00AE73E2"/>
    <w:rsid w:val="00AF1CF9"/>
    <w:rsid w:val="00AF2AE3"/>
    <w:rsid w:val="00AF520B"/>
    <w:rsid w:val="00AF7B4F"/>
    <w:rsid w:val="00AF7C58"/>
    <w:rsid w:val="00B02D5B"/>
    <w:rsid w:val="00B05787"/>
    <w:rsid w:val="00B10153"/>
    <w:rsid w:val="00B15323"/>
    <w:rsid w:val="00B1714B"/>
    <w:rsid w:val="00B259AC"/>
    <w:rsid w:val="00B268D9"/>
    <w:rsid w:val="00B26EC9"/>
    <w:rsid w:val="00B31B8F"/>
    <w:rsid w:val="00B333B0"/>
    <w:rsid w:val="00B363FB"/>
    <w:rsid w:val="00B413A0"/>
    <w:rsid w:val="00B43561"/>
    <w:rsid w:val="00B440DB"/>
    <w:rsid w:val="00B4415D"/>
    <w:rsid w:val="00B45103"/>
    <w:rsid w:val="00B45D24"/>
    <w:rsid w:val="00B52992"/>
    <w:rsid w:val="00B538C6"/>
    <w:rsid w:val="00B62018"/>
    <w:rsid w:val="00B63114"/>
    <w:rsid w:val="00B64A22"/>
    <w:rsid w:val="00B66293"/>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B5F45"/>
    <w:rsid w:val="00BC1BA9"/>
    <w:rsid w:val="00BC41E1"/>
    <w:rsid w:val="00BD2FC7"/>
    <w:rsid w:val="00BD6EC1"/>
    <w:rsid w:val="00BE25AF"/>
    <w:rsid w:val="00BE3811"/>
    <w:rsid w:val="00BE3F11"/>
    <w:rsid w:val="00BF2793"/>
    <w:rsid w:val="00BF3FBF"/>
    <w:rsid w:val="00BF5FFA"/>
    <w:rsid w:val="00BF65E1"/>
    <w:rsid w:val="00C002E5"/>
    <w:rsid w:val="00C01D14"/>
    <w:rsid w:val="00C0414E"/>
    <w:rsid w:val="00C04DD5"/>
    <w:rsid w:val="00C073D6"/>
    <w:rsid w:val="00C07645"/>
    <w:rsid w:val="00C12785"/>
    <w:rsid w:val="00C14D2D"/>
    <w:rsid w:val="00C15327"/>
    <w:rsid w:val="00C205DD"/>
    <w:rsid w:val="00C242B2"/>
    <w:rsid w:val="00C25F74"/>
    <w:rsid w:val="00C26ABA"/>
    <w:rsid w:val="00C31FE6"/>
    <w:rsid w:val="00C34A4F"/>
    <w:rsid w:val="00C35546"/>
    <w:rsid w:val="00C36B23"/>
    <w:rsid w:val="00C4092D"/>
    <w:rsid w:val="00C4278B"/>
    <w:rsid w:val="00C43BD2"/>
    <w:rsid w:val="00C44F90"/>
    <w:rsid w:val="00C47E9C"/>
    <w:rsid w:val="00C52FD7"/>
    <w:rsid w:val="00C57277"/>
    <w:rsid w:val="00C616E4"/>
    <w:rsid w:val="00C648E2"/>
    <w:rsid w:val="00C6603B"/>
    <w:rsid w:val="00C71E3F"/>
    <w:rsid w:val="00C75A4D"/>
    <w:rsid w:val="00C75CE4"/>
    <w:rsid w:val="00C82BF0"/>
    <w:rsid w:val="00C8367C"/>
    <w:rsid w:val="00C83EC8"/>
    <w:rsid w:val="00C84EC9"/>
    <w:rsid w:val="00C90645"/>
    <w:rsid w:val="00C92A41"/>
    <w:rsid w:val="00C95E0F"/>
    <w:rsid w:val="00CA3BAD"/>
    <w:rsid w:val="00CB1858"/>
    <w:rsid w:val="00CC0087"/>
    <w:rsid w:val="00CC7A87"/>
    <w:rsid w:val="00CD0085"/>
    <w:rsid w:val="00CD727D"/>
    <w:rsid w:val="00CE1BDC"/>
    <w:rsid w:val="00CF3E52"/>
    <w:rsid w:val="00D00043"/>
    <w:rsid w:val="00D003BE"/>
    <w:rsid w:val="00D0163D"/>
    <w:rsid w:val="00D0309B"/>
    <w:rsid w:val="00D03468"/>
    <w:rsid w:val="00D03E18"/>
    <w:rsid w:val="00D06094"/>
    <w:rsid w:val="00D110CC"/>
    <w:rsid w:val="00D1310A"/>
    <w:rsid w:val="00D13D32"/>
    <w:rsid w:val="00D148D8"/>
    <w:rsid w:val="00D155A6"/>
    <w:rsid w:val="00D165B0"/>
    <w:rsid w:val="00D2036D"/>
    <w:rsid w:val="00D249EC"/>
    <w:rsid w:val="00D30CFE"/>
    <w:rsid w:val="00D314BC"/>
    <w:rsid w:val="00D319FC"/>
    <w:rsid w:val="00D37964"/>
    <w:rsid w:val="00D40468"/>
    <w:rsid w:val="00D41BD8"/>
    <w:rsid w:val="00D450B6"/>
    <w:rsid w:val="00D45FD5"/>
    <w:rsid w:val="00D501E4"/>
    <w:rsid w:val="00D51F3A"/>
    <w:rsid w:val="00D61134"/>
    <w:rsid w:val="00D6213F"/>
    <w:rsid w:val="00D62340"/>
    <w:rsid w:val="00D63F18"/>
    <w:rsid w:val="00D641F9"/>
    <w:rsid w:val="00D6527D"/>
    <w:rsid w:val="00D6795D"/>
    <w:rsid w:val="00D729EC"/>
    <w:rsid w:val="00D74B92"/>
    <w:rsid w:val="00D77EE5"/>
    <w:rsid w:val="00D81D2F"/>
    <w:rsid w:val="00D83A9A"/>
    <w:rsid w:val="00D841C1"/>
    <w:rsid w:val="00D93010"/>
    <w:rsid w:val="00D946E9"/>
    <w:rsid w:val="00D9604F"/>
    <w:rsid w:val="00D9737C"/>
    <w:rsid w:val="00DA3255"/>
    <w:rsid w:val="00DA66BE"/>
    <w:rsid w:val="00DA76AC"/>
    <w:rsid w:val="00DB3D0C"/>
    <w:rsid w:val="00DB4D49"/>
    <w:rsid w:val="00DB5D66"/>
    <w:rsid w:val="00DB767D"/>
    <w:rsid w:val="00DC07E5"/>
    <w:rsid w:val="00DC395D"/>
    <w:rsid w:val="00DC634D"/>
    <w:rsid w:val="00DD0FFA"/>
    <w:rsid w:val="00DD202C"/>
    <w:rsid w:val="00DD268D"/>
    <w:rsid w:val="00DD3863"/>
    <w:rsid w:val="00DD739A"/>
    <w:rsid w:val="00DE3C32"/>
    <w:rsid w:val="00DE5376"/>
    <w:rsid w:val="00DE60D1"/>
    <w:rsid w:val="00DF050A"/>
    <w:rsid w:val="00DF2896"/>
    <w:rsid w:val="00DF59BD"/>
    <w:rsid w:val="00DF6A21"/>
    <w:rsid w:val="00DF6FC3"/>
    <w:rsid w:val="00DF751A"/>
    <w:rsid w:val="00DF7A31"/>
    <w:rsid w:val="00E01827"/>
    <w:rsid w:val="00E05A1C"/>
    <w:rsid w:val="00E07333"/>
    <w:rsid w:val="00E129EE"/>
    <w:rsid w:val="00E12BAD"/>
    <w:rsid w:val="00E13411"/>
    <w:rsid w:val="00E14AC6"/>
    <w:rsid w:val="00E22E97"/>
    <w:rsid w:val="00E2358C"/>
    <w:rsid w:val="00E269CD"/>
    <w:rsid w:val="00E30F62"/>
    <w:rsid w:val="00E36ECE"/>
    <w:rsid w:val="00E46B69"/>
    <w:rsid w:val="00E573AC"/>
    <w:rsid w:val="00E57B94"/>
    <w:rsid w:val="00E57C98"/>
    <w:rsid w:val="00E62839"/>
    <w:rsid w:val="00E62E85"/>
    <w:rsid w:val="00E6467D"/>
    <w:rsid w:val="00E64EE1"/>
    <w:rsid w:val="00E65C1E"/>
    <w:rsid w:val="00E70820"/>
    <w:rsid w:val="00E75F13"/>
    <w:rsid w:val="00E76022"/>
    <w:rsid w:val="00E83456"/>
    <w:rsid w:val="00E97D8E"/>
    <w:rsid w:val="00EA25E4"/>
    <w:rsid w:val="00EA3E87"/>
    <w:rsid w:val="00EA7A22"/>
    <w:rsid w:val="00EA7DE2"/>
    <w:rsid w:val="00EB004F"/>
    <w:rsid w:val="00EB39B5"/>
    <w:rsid w:val="00EB4F1D"/>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1A4E"/>
    <w:rsid w:val="00F03838"/>
    <w:rsid w:val="00F03945"/>
    <w:rsid w:val="00F04C86"/>
    <w:rsid w:val="00F0598E"/>
    <w:rsid w:val="00F11D4E"/>
    <w:rsid w:val="00F12CC8"/>
    <w:rsid w:val="00F155C1"/>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0717"/>
    <w:rsid w:val="00F617FD"/>
    <w:rsid w:val="00F626DB"/>
    <w:rsid w:val="00F642E5"/>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C7CEC"/>
    <w:rsid w:val="00FD06A0"/>
    <w:rsid w:val="00FD13FB"/>
    <w:rsid w:val="00FD193F"/>
    <w:rsid w:val="00FD228E"/>
    <w:rsid w:val="00FD408C"/>
    <w:rsid w:val="00FD4E9B"/>
    <w:rsid w:val="00FD7D5F"/>
    <w:rsid w:val="00FE1A2F"/>
    <w:rsid w:val="00FE5F50"/>
    <w:rsid w:val="00FE743F"/>
    <w:rsid w:val="00FF1B25"/>
    <w:rsid w:val="00FF6C77"/>
    <w:rsid w:val="00FF7A85"/>
    <w:rsid w:val="025737A0"/>
    <w:rsid w:val="03F0214E"/>
    <w:rsid w:val="06325B44"/>
    <w:rsid w:val="0AB77A2F"/>
    <w:rsid w:val="0E00320A"/>
    <w:rsid w:val="14E01271"/>
    <w:rsid w:val="1A0B3DDD"/>
    <w:rsid w:val="2B82231D"/>
    <w:rsid w:val="2D7B7E3A"/>
    <w:rsid w:val="36631E9B"/>
    <w:rsid w:val="37AA0331"/>
    <w:rsid w:val="39466C4F"/>
    <w:rsid w:val="4B2411C2"/>
    <w:rsid w:val="4D3A3690"/>
    <w:rsid w:val="59922A51"/>
    <w:rsid w:val="724A4A01"/>
    <w:rsid w:val="7B1E539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widowControl/>
      <w:jc w:val="left"/>
    </w:pPr>
    <w:rPr>
      <w:rFonts w:ascii="宋体" w:hAnsi="宋体" w:cs="宋体"/>
      <w:kern w:val="0"/>
      <w:sz w:val="24"/>
    </w:rPr>
  </w:style>
  <w:style w:type="character" w:styleId="9">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 w:type="paragraph" w:customStyle="1"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15</Pages>
  <Words>1187</Words>
  <Characters>6767</Characters>
  <Lines>56</Lines>
  <Paragraphs>15</Paragraphs>
  <ScaleCrop>false</ScaleCrop>
  <LinksUpToDate>false</LinksUpToDate>
  <CharactersWithSpaces>7939</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2019-04-19T08:13:00Z</dcterms:created>
  <dc:creator>lx</dc:creator>
  <dc:description>ZHGenApp().GetProperty("Certification")</dc:description>
  <cp:lastModifiedBy>盈江金融办</cp:lastModifiedBy>
  <cp:lastPrinted>2019-04-22T02:24:00Z</cp:lastPrinted>
  <dcterms:modified xsi:type="dcterms:W3CDTF">2019-12-26T09:30:49Z</dcterms:modified>
  <dc:title>年部门预算编制说明</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