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Fonts w:ascii="Arial" w:hAnsi="Arial" w:eastAsia="Arial" w:cs="Arial"/>
          <w:b/>
          <w:sz w:val="36"/>
        </w:rPr>
      </w:pPr>
      <w:r>
        <w:rPr>
          <w:rFonts w:ascii="Arial" w:hAnsi="Arial" w:eastAsia="Arial" w:cs="Arial"/>
          <w:b/>
          <w:sz w:val="36"/>
        </w:rPr>
        <w:t>监督索引号53312300430300000</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right="0" w:rightChars="0"/>
        <w:jc w:val="center"/>
        <w:textAlignment w:val="auto"/>
        <w:outlineLvl w:val="9"/>
        <w:rPr>
          <w:rFonts w:ascii="宋体" w:hAnsi="宋体" w:cs="宋体"/>
          <w:color w:val="333333"/>
        </w:rPr>
      </w:pPr>
      <w:r>
        <w:rPr>
          <w:rFonts w:ascii="方正小标宋简体" w:hAnsi="方正小标宋简体" w:eastAsia="方正小标宋简体" w:cs="方正小标宋简体"/>
          <w:color w:val="333333"/>
        </w:rPr>
        <w:t>盈江县发展和改革局2019年预算公开</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right="0" w:rightChars="0"/>
        <w:jc w:val="center"/>
        <w:textAlignment w:val="auto"/>
        <w:outlineLvl w:val="9"/>
        <w:rPr>
          <w:rFonts w:ascii="宋体" w:hAnsi="宋体" w:cs="宋体"/>
          <w:color w:val="333333"/>
        </w:rPr>
      </w:pPr>
      <w:r>
        <w:rPr>
          <w:rFonts w:ascii="方正小标宋简体" w:hAnsi="方正小标宋简体" w:eastAsia="方正小标宋简体" w:cs="方正小标宋简体"/>
          <w:color w:val="333333"/>
        </w:rPr>
        <w:t>目录</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第一部分盈江县发展和改革局2019年部门预算编制说明</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第二部分盈江县发展和改革局2019年部门预算表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一、部门财务收支总体情况表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二、部门收入总体情况表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三、部门支出总体情况表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四、部门财政拨款收支总体情况表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五、部门一般公共预算本级财力安排支出情况表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六、部门基本支出情况表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七、部门政府性基金预算支出情况表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八、财政拨款支出明细表（按经济科目分类）</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九、部门一般公共预算“三公”经费支出情况表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十、县本级项目支出绩效目标表（本次下达）</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十一、县本级项目支出绩效目标表（另文下达）</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十二、县对下转移支付绩效目标表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十三、部门政府采购情况表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 </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right"/>
        <w:textAlignment w:val="auto"/>
        <w:outlineLvl w:val="9"/>
        <w:rPr>
          <w:rFonts w:hint="eastAsia"/>
          <w:sz w:val="28"/>
          <w:szCs w:val="36"/>
        </w:rPr>
      </w:pP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right"/>
        <w:textAlignment w:val="auto"/>
        <w:outlineLvl w:val="9"/>
        <w:rPr>
          <w:rFonts w:hint="eastAsia"/>
          <w:sz w:val="28"/>
          <w:szCs w:val="36"/>
        </w:rPr>
      </w:pP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right"/>
        <w:textAlignment w:val="auto"/>
        <w:outlineLvl w:val="9"/>
        <w:rPr>
          <w:rFonts w:hint="eastAsia"/>
          <w:sz w:val="28"/>
          <w:szCs w:val="36"/>
        </w:rPr>
      </w:pP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right"/>
        <w:textAlignment w:val="auto"/>
        <w:outlineLvl w:val="9"/>
        <w:rPr>
          <w:rFonts w:hint="eastAsia"/>
          <w:sz w:val="28"/>
          <w:szCs w:val="36"/>
        </w:rPr>
      </w:pP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right"/>
        <w:textAlignment w:val="auto"/>
        <w:outlineLvl w:val="9"/>
        <w:rPr>
          <w:rFonts w:hint="eastAsia"/>
          <w:sz w:val="28"/>
          <w:szCs w:val="36"/>
        </w:rPr>
      </w:pP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right"/>
        <w:textAlignment w:val="auto"/>
        <w:outlineLvl w:val="9"/>
        <w:rPr>
          <w:rFonts w:hint="eastAsia"/>
          <w:sz w:val="28"/>
          <w:szCs w:val="36"/>
        </w:rPr>
      </w:pP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left"/>
        <w:textAlignment w:val="auto"/>
        <w:outlineLvl w:val="9"/>
        <w:rPr>
          <w:sz w:val="28"/>
          <w:szCs w:val="36"/>
        </w:rPr>
      </w:pPr>
      <w:r>
        <w:rPr>
          <w:rFonts w:hint="eastAsia"/>
          <w:sz w:val="28"/>
          <w:szCs w:val="36"/>
        </w:rPr>
        <w:t>盈江县发展和改革局2019年部门预算编制说明</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rFonts w:hint="eastAsia"/>
          <w:sz w:val="28"/>
          <w:szCs w:val="36"/>
        </w:rPr>
      </w:pPr>
      <w:r>
        <w:rPr>
          <w:rFonts w:hint="eastAsia"/>
          <w:sz w:val="28"/>
          <w:szCs w:val="36"/>
        </w:rPr>
        <w:t> </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一、基本职能及主要工作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（一）部门主要职责</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1、拟定并组织实施全县国民经济和社会发展战略、中长期规划和年度计划；提出国民经济发展和优化经济结构的目标和产业政策；提出运用各种手段和政策促进全县经济社会发展的建议。</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2、研究分析全县经济形势和发展情况，定期进行宏观经济的预测、预警；研究全县国民经济和社会发展的重大问题，提出宏观调控政策建议综合协调经济社会发展。</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3、根据全县国民经济和社会发展中长期规划，综合提出全县固定资产投资方向和重点，研究投资体制改革措施和生产力合理布局；引导民间资金投向；上报、下达国家、省、州安排的建设项目实施计划；协调重大招商引资项目及基本建设项目储备库；负责对全县重在基本建设项目和国债资金项目进行检查指导和督查。</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4、研究全县经济体制改革的重大问题，组织拟定综合性体制改革方案，协调有关专项经济体制改革方案；提出改革开放和发展的建议，指导和推进盈江总体经济体制改革。</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5、研究制定全县利用外资和地区经济合作及优化结构的目标，加强对重大项目的服务，协调利用国际金融机构贷款项目，编制贷款计划，跟踪检查实施进度及效果。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6、研究提出全县国民经济重要产业的发展战略、规划和政策，研究、协调和衔接农村专项规划及政策；指导工业发展，加强技术进步和产业现代化的宏观指导。</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7、研究分析区域经济和城局化发展情况，提出区域经济协调发展和实施西部大开发战略的规划，指导全县区域经济和县域经济发展规划工作。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8、研究分析国内外市场状况，提出引导和调节市场的政策措施；运用经济手段，培育市场体系，规范市场主体行为。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9、做好人口计划生育、科学技术、教育、文化、卫生、体育等社会事业与国民经济发展的衔接平衡；参与促进就业调入分配、完善社会保障体制，促进经济与社会协调发展的政策研究，协调社会事业发展的重大问题。</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10、综合指导全县粮食供需总量平衡和粮食宏观调控工作，抓好全县粮食工作。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11、贯彻执行国家的价格政策、法规，规范市场价格秩序，依法对价格活动进行监督检查，对价格违法行为依法实施行政处罚，确保市场价格总水平的基本稳定。</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12、承办</w:t>
      </w:r>
      <w:r>
        <w:rPr>
          <w:rFonts w:hint="eastAsia"/>
          <w:sz w:val="28"/>
          <w:szCs w:val="36"/>
          <w:lang w:eastAsia="zh-CN"/>
        </w:rPr>
        <w:t>县委、县政府</w:t>
      </w:r>
      <w:r>
        <w:rPr>
          <w:rFonts w:hint="eastAsia"/>
          <w:sz w:val="28"/>
          <w:szCs w:val="36"/>
        </w:rPr>
        <w:t>和上级机关交办的其它事项。</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（二）机构设置情况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根据上述职能，盈江县发展和改革局设13个职能股室，即：办公室、综合计划股、经济体制综合改革股、投资管理股（西开办）、基础产业股（经济贸易股）、能源股（资环股）、社会股（医疗卫生体制改革办公室）、农村经济发展股（地区股）、财政金融股、项目稽查股、价格管理股（价格认证中心）、价格和粮食监督检查股、储备军供股。</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（三）重点工作概述</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1、编制完成“十三五”规划纲要中期评估；</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2、编制完成《盈江县抵边自然村规划 2018-2022》；</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3、启动乡村振兴战略规划编制，预计年底完成《盈江县乡村振兴战略规划（2018-2022）（初稿）》编制；</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4、做好全县经济运行监测、预警工作;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5、抓好固定资产投资工作；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6、抓好项目争取、储备、管理工作；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7、大力推进招商引资工作，完成招商引资开发数10个（盈江县弄璋镇芒缅村落洞山大理石矿建设项目、盈江县白马山铅锌矿开采项目、东方伊甸园建设项目、盈江县三亚进口汽车修理厂、云南诗密农业科技开发有限公司大米加工厂）等，预计全年完成目标任务7.5亿元，完成率100%；</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8、做好在建水电站管理服务工作；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9、做好价格管理工作；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10、做好粮食管理工作；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11、扎实推进“德宏大盈江万塔小镇”建设工作，目前已明确了征地红线1000亩范围、土地调规红线800亩范围、一期供地红线500亩范围，完成征收土地711.72亩，并于10月19日开工建设，全年预计完成新增投资2000万元；</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12、大力抓好脱贫攻坚工作。</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二、预算单位基本情况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在职人员编制30人，其中：行政编制 30人，事业编制0人。在职实有30人，其中： 财政全供养 30人，财政部分供养0人，非财政供养0人。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离退休人员 46人，其中： 离休 0人，退休 46人。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车辆编制1辆，实有车辆1辆。</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三、预算单位收入情况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（一）部门财务收入情况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2019年部门财务总收入 853.98万元，其中：一般公共预算财政拨款853.98万元，政府性基金预算财政拨款0万元，国有资本经营预算财政拨款0万元，事业收入0万元，事业单位经营收入0万元，其他收入0万元，上年结转0万元。</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（二）财政拨款收入情况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2019年部门财政拨款收入853.98万元，其中:本年收入853.98万元，上年结转0万元。本年收入中，一般公共预算财政拨款853.98万元（本级财力853.98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rFonts w:hint="eastAsia"/>
          <w:sz w:val="28"/>
          <w:szCs w:val="36"/>
        </w:rPr>
      </w:pPr>
      <w:r>
        <w:rPr>
          <w:rFonts w:hint="eastAsia"/>
          <w:sz w:val="28"/>
          <w:szCs w:val="36"/>
        </w:rPr>
        <w:t xml:space="preserve"> 四、预算单位支出情况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2019年部门预算总支出 853.98万元。财政拨款安排支出 853.98万元，其中，基本支出590.98万元，项目支出263万元。</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（一）财政拨款安排支出按功能科目分类情况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2010401行政运行支出375万元，主要用于发改局在职人员工资福利支出、遗属补助、公用经费支出。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2010499其他发展与改革事务支出50万元，主要用于户勐购销点原址拆除重建150公斤仓容项目建设平方仓为12米跨散装平房仓（3间），一层，总建筑面积556.75平方米。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2080501归口管理的行政单位离退休支出129.01万元， 主要用于粮食局退休人员（财政补差人员）养老金支出和退休公用经费支出。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2080505机关事业单位基本养老保险缴费支出46.81万元，主要用于职工基本养老保险单位缴费支出。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2080506机关事业单位职业年金缴费支出1.33万元，主要用于职工职业年金缴费支出。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2210201住房公积金支出38.83万元，主要用于职工住房公积金单位缴存支出。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2220115粮油物资储备支出213万元，主要用于粮食风险基金县级配套支出。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（二）财政拨款安排支出按经济科目分类情况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2019年部门预算总支出853.98万元。其中基本支出590.98万元，主要用于301类工资福利支出445.53万元，支付职工基本工资、津贴补贴、奖金、住房公积金、养老保险缴费支出。302类商品和服务支出13.76万元，支付办公费、邮电费、差旅费、公务接待费、公务用车运行维护费、退休人员公用经费等支出。303类对个人和家庭的补助支出131.69万元，支付粮食局退休人员（财政补差人员）养老金、遗属生活补助支出。项目支出263万元，主要用于310类资本性支出263万元，支付粮食风险基金县级配套资金支出,户勐购销点原址拆除重建150公斤仓容项目建设平方仓为12米跨散装平房仓（3间），一层，总建筑面积556.75平方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五、县对下专项转移支付情况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本单位2019年无县对下专项转移支付项目。</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六、政府采购预算情况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根据《中华人民共和国政府采购法》的有关规定，编制了政府采购预算，共涉及采购项目0个，采购预算资金0万元。</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七、预算收支增减变化情况说明</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（一）部门“三公”经费增减变化情况及原因说明</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2019年“三公”经费支出预算数为4万元与上年预算数4万元持平。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 1、因公出国（境）经费</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拟安排出国（境）经费预算0万元。与上年预算数0万元持平。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2、公务接待费</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拟安排公务接待费预算2万元，主要用于按规定开支的各类公务接待产生的费用。与上年预算数2万元持平。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3、公务用车购置及运行维护费</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拟安排公务用车购置及运行维护费2万元，其中：购置经费0万元、运行维护费2万元，主要用于保障政府部门、党群部门、其他部门公务工作开展，拟产生的公务用车燃料费、维修费、过路过桥费、保险费等支出。与上年预算数2万元持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（二）预算收支增减变化情况说明</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本年预算收入853.98万元，其中：基本支出收入预算590.98万元，比上年的448.74万元增加142.24万元，增加31.7％，主要原因是增加两名在职人员，相应工资、公用经费、养老保险费等就增加及2018年12月调整工资标准，人员经费增加；项目支出收入预算263万元，比上年的213万元增加50万元，增加原因是：增加户勐购销点原址拆除重建150公斤仓容项目，建设平方仓为12米跨散装平房仓（3间），一层，总建筑面积556.75平方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（三）部门基本支出预算变动的主要原因，对本年与上年同口径数据比对情况分析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2019年部门基本支出支出预算590.98万元，比上年的448.74万元增加142.24万元，增加31.7％，主要原因是增加两名在职人员，相应工资、公用经费、养老保险费等就增加及2018年12月调整工资标准，人员经费增加。</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rFonts w:hint="eastAsia"/>
          <w:sz w:val="28"/>
          <w:szCs w:val="36"/>
        </w:rPr>
      </w:pPr>
      <w:r>
        <w:rPr>
          <w:rFonts w:hint="eastAsia"/>
          <w:sz w:val="28"/>
          <w:szCs w:val="36"/>
        </w:rPr>
        <w:t>（四）部门项目支出预算变动的主要原因，对本年与上年同口径数据比对情况分析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2019年部门项目支出预算263万元，比上年的213万元增加50万元，增23.47%，增加原因是：增加户勐购销点原址拆除重建150公斤仓容项目，建设平方仓为12米跨散装平房仓（3间），一层，总建筑面积556.75平方米。</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八、其他公开信息</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（一）专业名词解释</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1.财政拨款（补助）收入指财政部门当年拨付的资金。</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2.基本支出指为保障机构正常运转、完成日常工作任务而发生的人员支出和公用支出。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3.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4.“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5.一般公共预算是对以税收为主体的财政收入，安排用于保障和改善民生、推动经济社会发展、维护国家安全、维护国家机构正常运转等方面的收支预算。</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6.工资福利支出反映单位开支的在职职工和编制外长期聘用人员的各类劳动报酬，以及为上述人员缴纳的各项社会保险费等。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7.商品和服务支出反映单位购买商品和服务的支出（不包括用于购置固定资产的支出、战略性和应急储备支出）。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8.对个人和家庭的补助反映政府用于对个人和家庭的补助支出。</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（二）机关运行经费安排</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sz w:val="28"/>
          <w:szCs w:val="36"/>
        </w:rPr>
        <w:t>盈江县发改局2019年部门预算机关运行经费安排13.76万元，比上年的16.88万元减少3.12万元，减少18.48%，减少主要原因为：2019年退休人员去世，退休公用经费减少0.12万元，2019年将一般公用经费调至对个人和家庭的补助3万元，用于支付临时人员生活补助。2019年部门预算机关运行经费安排13.76万元主要用于办公费7.76万元、差旅费0.5万元、公务接待费2万元、公务用车运行维护费2万元、其他商品和服务支出1.5万元。</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（三）国有资产占用情况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sz w:val="28"/>
          <w:szCs w:val="36"/>
        </w:rPr>
      </w:pPr>
      <w:r>
        <w:rPr>
          <w:rFonts w:hint="eastAsia"/>
          <w:sz w:val="28"/>
          <w:szCs w:val="36"/>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rFonts w:hint="eastAsia"/>
          <w:sz w:val="28"/>
          <w:szCs w:val="36"/>
        </w:rPr>
      </w:pPr>
      <w:r>
        <w:rPr>
          <w:rFonts w:hint="eastAsia"/>
          <w:sz w:val="28"/>
          <w:szCs w:val="36"/>
        </w:rPr>
        <w:t>（四）本部门预算绩效情况说明</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560" w:firstLineChars="200"/>
        <w:jc w:val="both"/>
        <w:textAlignment w:val="auto"/>
        <w:outlineLvl w:val="9"/>
        <w:rPr>
          <w:rFonts w:ascii="宋体" w:hAnsi="宋体" w:cs="宋体"/>
          <w:color w:val="333333"/>
          <w:sz w:val="28"/>
          <w:szCs w:val="36"/>
        </w:rPr>
      </w:pPr>
      <w:r>
        <w:rPr>
          <w:rFonts w:hint="eastAsia"/>
          <w:sz w:val="28"/>
          <w:szCs w:val="36"/>
        </w:rPr>
        <w:t>2019年部门收入预算853.98万元。财政拨款安排支出 853.98万元，其中：基本支出590.98万元，主要用于发放人员工资、住房公积金、基本养老保险缴费、退休人员（财政补差人员）养老金、公用经费等支出，确保机构正常运转。项目支出263万元，主要用于建设平方仓为12米跨散装平房仓（3间），一层，总建筑面积556.75平方米，支付粮食财务挂账本金消化及利息补贴；县级储备粮利费补贴有效解决购销点仓储设备和设施不配套、功能不全的问题，提升粮库的功能和储粮水平，保证粮食供求平衡和安全稳定。</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pP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Fonts w:ascii="Arial" w:hAnsi="Arial" w:eastAsia="Arial" w:cs="Arial"/>
          <w:b/>
          <w:sz w:val="36"/>
        </w:rPr>
      </w:pPr>
      <w:r>
        <w:rPr>
          <w:rFonts w:ascii="Arial" w:hAnsi="Arial" w:eastAsia="Arial" w:cs="Arial"/>
          <w:b/>
          <w:sz w:val="36"/>
        </w:rPr>
        <w:t>监督索引号53312300430300111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0AEB"/>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5857"/>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2AFF"/>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0F58"/>
    <w:rsid w:val="002726B1"/>
    <w:rsid w:val="002727D0"/>
    <w:rsid w:val="002749C8"/>
    <w:rsid w:val="00275325"/>
    <w:rsid w:val="00275D99"/>
    <w:rsid w:val="00281C06"/>
    <w:rsid w:val="00285DC4"/>
    <w:rsid w:val="00294AE7"/>
    <w:rsid w:val="002A7BAE"/>
    <w:rsid w:val="002B11FA"/>
    <w:rsid w:val="002B2CA6"/>
    <w:rsid w:val="002B34ED"/>
    <w:rsid w:val="002B37A7"/>
    <w:rsid w:val="002B4342"/>
    <w:rsid w:val="002B4C06"/>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377A4"/>
    <w:rsid w:val="0034184B"/>
    <w:rsid w:val="003535EB"/>
    <w:rsid w:val="00354D29"/>
    <w:rsid w:val="00356356"/>
    <w:rsid w:val="00360593"/>
    <w:rsid w:val="00360EF7"/>
    <w:rsid w:val="00361A07"/>
    <w:rsid w:val="00362E2C"/>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D7EEB"/>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0770"/>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D7DCA"/>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2BB4"/>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19AF"/>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4D0"/>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C2B66"/>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E3458"/>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6D4"/>
    <w:rsid w:val="00AB5C67"/>
    <w:rsid w:val="00AB7C98"/>
    <w:rsid w:val="00AC47D9"/>
    <w:rsid w:val="00AD0DA1"/>
    <w:rsid w:val="00AE0209"/>
    <w:rsid w:val="00AE2095"/>
    <w:rsid w:val="00AE5322"/>
    <w:rsid w:val="00AE5FEF"/>
    <w:rsid w:val="00AE73E2"/>
    <w:rsid w:val="00AF1CF9"/>
    <w:rsid w:val="00AF2AE3"/>
    <w:rsid w:val="00AF7B4F"/>
    <w:rsid w:val="00AF7C58"/>
    <w:rsid w:val="00B03CF9"/>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3636"/>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0602"/>
    <w:rsid w:val="00F95BCB"/>
    <w:rsid w:val="00F96634"/>
    <w:rsid w:val="00F96A5C"/>
    <w:rsid w:val="00FA1FBC"/>
    <w:rsid w:val="00FA2C97"/>
    <w:rsid w:val="00FA2FC5"/>
    <w:rsid w:val="00FB15C3"/>
    <w:rsid w:val="00FB35BE"/>
    <w:rsid w:val="00FB5C8C"/>
    <w:rsid w:val="00FC43B8"/>
    <w:rsid w:val="00FC4E58"/>
    <w:rsid w:val="00FC51C4"/>
    <w:rsid w:val="00FC7004"/>
    <w:rsid w:val="00FD06A0"/>
    <w:rsid w:val="00FD13FB"/>
    <w:rsid w:val="00FD228E"/>
    <w:rsid w:val="00FD4E9B"/>
    <w:rsid w:val="00FD7D5F"/>
    <w:rsid w:val="00FE1A2F"/>
    <w:rsid w:val="00FE5F50"/>
    <w:rsid w:val="00FF1B25"/>
    <w:rsid w:val="00FF53B1"/>
    <w:rsid w:val="00FF7A85"/>
    <w:rsid w:val="025737A0"/>
    <w:rsid w:val="02DE506B"/>
    <w:rsid w:val="030D48B4"/>
    <w:rsid w:val="034E38B3"/>
    <w:rsid w:val="03F0214E"/>
    <w:rsid w:val="04DE347C"/>
    <w:rsid w:val="06325B44"/>
    <w:rsid w:val="08B354F8"/>
    <w:rsid w:val="0A9831AB"/>
    <w:rsid w:val="0AB77A2F"/>
    <w:rsid w:val="0D6E1634"/>
    <w:rsid w:val="0DE66C61"/>
    <w:rsid w:val="0F535619"/>
    <w:rsid w:val="0F872A0C"/>
    <w:rsid w:val="10985C0E"/>
    <w:rsid w:val="13C502DD"/>
    <w:rsid w:val="143430B5"/>
    <w:rsid w:val="14C47235"/>
    <w:rsid w:val="15F30EDB"/>
    <w:rsid w:val="16DA5F52"/>
    <w:rsid w:val="1929669B"/>
    <w:rsid w:val="1A0B3DDD"/>
    <w:rsid w:val="1ACF6AA5"/>
    <w:rsid w:val="1C1C7AED"/>
    <w:rsid w:val="1D460ADA"/>
    <w:rsid w:val="1E6B1E39"/>
    <w:rsid w:val="1F224891"/>
    <w:rsid w:val="20C53F20"/>
    <w:rsid w:val="20EA2C2D"/>
    <w:rsid w:val="227040C8"/>
    <w:rsid w:val="2280035C"/>
    <w:rsid w:val="24476230"/>
    <w:rsid w:val="249B44CC"/>
    <w:rsid w:val="298D2453"/>
    <w:rsid w:val="2A4E63A3"/>
    <w:rsid w:val="2D7B7E3A"/>
    <w:rsid w:val="30BF07C3"/>
    <w:rsid w:val="31082867"/>
    <w:rsid w:val="315F0F3D"/>
    <w:rsid w:val="31BA4FF6"/>
    <w:rsid w:val="365042EB"/>
    <w:rsid w:val="36863FA5"/>
    <w:rsid w:val="38A07ACC"/>
    <w:rsid w:val="39466C4F"/>
    <w:rsid w:val="39CE73BB"/>
    <w:rsid w:val="3E8A4CF4"/>
    <w:rsid w:val="3F340383"/>
    <w:rsid w:val="41DB64A8"/>
    <w:rsid w:val="422079EC"/>
    <w:rsid w:val="4462515D"/>
    <w:rsid w:val="46267297"/>
    <w:rsid w:val="4A04751B"/>
    <w:rsid w:val="4BC3149A"/>
    <w:rsid w:val="4E377869"/>
    <w:rsid w:val="51092239"/>
    <w:rsid w:val="51870C32"/>
    <w:rsid w:val="51C7187E"/>
    <w:rsid w:val="52910101"/>
    <w:rsid w:val="53A96ACB"/>
    <w:rsid w:val="54283842"/>
    <w:rsid w:val="546F6508"/>
    <w:rsid w:val="54C504F6"/>
    <w:rsid w:val="54DB4968"/>
    <w:rsid w:val="563B6D93"/>
    <w:rsid w:val="56962450"/>
    <w:rsid w:val="59BF4781"/>
    <w:rsid w:val="5AE75608"/>
    <w:rsid w:val="5BCD6441"/>
    <w:rsid w:val="5BF419EB"/>
    <w:rsid w:val="5EA95820"/>
    <w:rsid w:val="5FEA30DE"/>
    <w:rsid w:val="62327CC9"/>
    <w:rsid w:val="6252102A"/>
    <w:rsid w:val="62CD1696"/>
    <w:rsid w:val="65077E1D"/>
    <w:rsid w:val="673C4C3E"/>
    <w:rsid w:val="675459A3"/>
    <w:rsid w:val="6B4E01C4"/>
    <w:rsid w:val="6D284E51"/>
    <w:rsid w:val="6DA61281"/>
    <w:rsid w:val="6E1E4282"/>
    <w:rsid w:val="7038000D"/>
    <w:rsid w:val="70492942"/>
    <w:rsid w:val="713B5BA1"/>
    <w:rsid w:val="724A4A01"/>
    <w:rsid w:val="72A71E98"/>
    <w:rsid w:val="73C52E57"/>
    <w:rsid w:val="74D04D96"/>
    <w:rsid w:val="75867E8B"/>
    <w:rsid w:val="772F6C6C"/>
    <w:rsid w:val="78195E9A"/>
    <w:rsid w:val="7AC611A2"/>
    <w:rsid w:val="7B1E53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ind w:firstLine="420"/>
      <w:jc w:val="left"/>
    </w:pPr>
    <w:rPr>
      <w:rFonts w:ascii="Calibri" w:hAnsi="Calibri"/>
      <w:kern w:val="0"/>
      <w:sz w:val="24"/>
    </w:rPr>
  </w:style>
  <w:style w:type="paragraph" w:styleId="7">
    <w:name w:val="annotation subject"/>
    <w:basedOn w:val="2"/>
    <w:next w:val="2"/>
    <w:link w:val="16"/>
    <w:semiHidden/>
    <w:qFormat/>
    <w:uiPriority w:val="99"/>
    <w:rPr>
      <w:b/>
      <w:bCs/>
    </w:rPr>
  </w:style>
  <w:style w:type="character" w:styleId="10">
    <w:name w:val="Strong"/>
    <w:basedOn w:val="9"/>
    <w:qFormat/>
    <w:locked/>
    <w:uiPriority w:val="99"/>
    <w:rPr>
      <w:rFonts w:ascii="Times New Roman" w:hAnsi="Times New Roman" w:cs="Times New Roman"/>
      <w:b/>
    </w:rPr>
  </w:style>
  <w:style w:type="character" w:styleId="11">
    <w:name w:val="annotation reference"/>
    <w:basedOn w:val="9"/>
    <w:semiHidden/>
    <w:qFormat/>
    <w:uiPriority w:val="99"/>
    <w:rPr>
      <w:rFonts w:cs="Times New Roman"/>
      <w:sz w:val="21"/>
    </w:rPr>
  </w:style>
  <w:style w:type="character" w:customStyle="1" w:styleId="12">
    <w:name w:val="批注文字 Char"/>
    <w:basedOn w:val="9"/>
    <w:link w:val="2"/>
    <w:semiHidden/>
    <w:qFormat/>
    <w:locked/>
    <w:uiPriority w:val="99"/>
    <w:rPr>
      <w:rFonts w:cs="Times New Roman"/>
      <w:sz w:val="24"/>
      <w:szCs w:val="24"/>
    </w:rPr>
  </w:style>
  <w:style w:type="character" w:customStyle="1" w:styleId="13">
    <w:name w:val="批注框文本 Char"/>
    <w:basedOn w:val="9"/>
    <w:link w:val="3"/>
    <w:semiHidden/>
    <w:qFormat/>
    <w:locked/>
    <w:uiPriority w:val="99"/>
    <w:rPr>
      <w:rFonts w:cs="Times New Roman"/>
      <w:sz w:val="2"/>
    </w:rPr>
  </w:style>
  <w:style w:type="character" w:customStyle="1" w:styleId="14">
    <w:name w:val="页脚 Char"/>
    <w:basedOn w:val="9"/>
    <w:link w:val="4"/>
    <w:semiHidden/>
    <w:qFormat/>
    <w:locked/>
    <w:uiPriority w:val="99"/>
    <w:rPr>
      <w:rFonts w:cs="Times New Roman"/>
      <w:sz w:val="18"/>
      <w:szCs w:val="18"/>
    </w:rPr>
  </w:style>
  <w:style w:type="character" w:customStyle="1" w:styleId="15">
    <w:name w:val="页眉 Char"/>
    <w:basedOn w:val="9"/>
    <w:link w:val="5"/>
    <w:semiHidden/>
    <w:qFormat/>
    <w:locked/>
    <w:uiPriority w:val="99"/>
    <w:rPr>
      <w:rFonts w:cs="Times New Roman"/>
      <w:sz w:val="18"/>
      <w:szCs w:val="18"/>
    </w:rPr>
  </w:style>
  <w:style w:type="character" w:customStyle="1" w:styleId="16">
    <w:name w:val="批注主题 Char"/>
    <w:basedOn w:val="12"/>
    <w:link w:val="7"/>
    <w:semiHidden/>
    <w:qFormat/>
    <w:locked/>
    <w:uiPriority w:val="99"/>
    <w:rPr>
      <w:rFonts w:cs="Times New Roman"/>
      <w:b/>
      <w:bCs/>
      <w:sz w:val="24"/>
      <w:szCs w:val="24"/>
    </w:rPr>
  </w:style>
  <w:style w:type="paragraph" w:customStyle="1" w:styleId="17">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11</Pages>
  <Words>813</Words>
  <Characters>4639</Characters>
  <Lines>38</Lines>
  <Paragraphs>10</Paragraphs>
  <TotalTime>0</TotalTime>
  <ScaleCrop>false</ScaleCrop>
  <LinksUpToDate>false</LinksUpToDate>
  <CharactersWithSpaces>5442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2024-06-19T09:05:58Z</dcterms:modified>
  <dc:title>年部门预算编制说明</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64AB0DFD60814E3DA916B317D3ED7CD5</vt:lpwstr>
  </property>
</Properties>
</file>