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监督索引号53312300441900000</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kern w:val="0"/>
          <w:sz w:val="24"/>
          <w:szCs w:val="24"/>
          <w:lang w:val="en-US" w:eastAsia="zh-CN" w:bidi="ar"/>
        </w:rPr>
        <w:t>盈江县防震减灾局2019年部门预算公开</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kern w:val="0"/>
          <w:sz w:val="24"/>
          <w:szCs w:val="24"/>
          <w:lang w:val="en-US" w:eastAsia="zh-CN" w:bidi="ar"/>
        </w:rPr>
        <w:t>目录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第一部分 盈江县防震减灾局2019年部门预算编制说明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第二部分 盈江县防震减灾局2019年部门预算表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二、部门收入总体情况表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三、部门支出总体情况表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四、部门财政拨款收支总体情况表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五、部门一般公共预算本级财力安排支出情况表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六、部门基本支出情况表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七、部门政府性基金预算支出情况表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八、财政拨款支出明细表（按经济科目分类）</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九、部门一般公共预算“三公”经费支出情况表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十、县本级项目支出绩效目标表（本次下达）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十一、县本级项目支出绩效目标表（另文下达）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十二、县对下转移支付绩效目标表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十三、部门政府采购情况表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盈江县防震减灾局2019年部门预算编制说明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一、基本职能及主要工作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（一）部门主要职责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根据《中华人民共和国防震减灾法》、《云南省防震减灾条例》的规定、《中共德宏州委办公室 德宏州人民政府办公室关于印发；&lt;盈江县机构改革方案&gt;的通知》（德办发〔2019〕9号）、《中共盈江县委关于印发&lt;盈江县深化县级机构改革实施方案&gt;的通知》（盈发〔2019〕8号）文件精神，制定本规定。盈江县防震减灾局主要职责是：一是</w:t>
      </w:r>
      <w:r>
        <w:rPr>
          <w:rFonts w:hint="eastAsia" w:ascii="宋体" w:hAnsi="宋体" w:eastAsia="宋体" w:cs="宋体"/>
          <w:i w:val="0"/>
          <w:caps w:val="0"/>
          <w:color w:val="000000"/>
          <w:spacing w:val="0"/>
          <w:kern w:val="0"/>
          <w:sz w:val="24"/>
          <w:szCs w:val="24"/>
          <w:lang w:val="en-US" w:eastAsia="zh-CN" w:bidi="ar"/>
        </w:rPr>
        <w:t>贯彻执行国家、省、州有关防震减灾工作的方针、政策和法律、法规以及地震标准；根据有关法律、法规、规章的规定，监督、检查全县的防震减灾工作。二是组织编制全县防震减灾规划和制定年度工作计划，并组织实施。三是负责建立地震监测预报工作体系。按照省、州地震监测台网（站）建设规划，负责全县地震监测台网（站）及信息系统建设；开展地震预测预报研究，制定长、中、短、临地震预测预报方案并组织实施；承担全县群测群防工作管理；会同有关部门依法保护地震监测设施和地震观测环境。四是会同有关部门建立震灾预防工作体系。</w:t>
      </w:r>
      <w:r>
        <w:rPr>
          <w:rFonts w:hint="eastAsia" w:ascii="宋体" w:hAnsi="宋体" w:eastAsia="宋体" w:cs="宋体"/>
          <w:i w:val="0"/>
          <w:caps w:val="0"/>
          <w:color w:val="333333"/>
          <w:spacing w:val="0"/>
          <w:kern w:val="0"/>
          <w:sz w:val="24"/>
          <w:szCs w:val="24"/>
          <w:lang w:val="en-US" w:eastAsia="zh-CN" w:bidi="ar"/>
        </w:rPr>
        <w:t>管理地震安全性评价工作，依法对全县各类新建、扩建、改建建设工程实施抗震设防要求管理；负责监督检查对地震烈度区划图和地震动参数区划图的使用情况；按照职责权限审定地震安全性评价结果，确定抗震设防要求；管理全县的地震灾害预测；组织开展防震减灾知识宣传教育工作，并按照有关规定审核防震减灾宣传报道。五是</w:t>
      </w:r>
      <w:r>
        <w:rPr>
          <w:rFonts w:hint="eastAsia" w:ascii="宋体" w:hAnsi="宋体" w:eastAsia="宋体" w:cs="宋体"/>
          <w:i w:val="0"/>
          <w:caps w:val="0"/>
          <w:color w:val="000000"/>
          <w:spacing w:val="0"/>
          <w:kern w:val="0"/>
          <w:sz w:val="24"/>
          <w:szCs w:val="24"/>
          <w:lang w:val="en-US" w:eastAsia="zh-CN" w:bidi="ar"/>
        </w:rPr>
        <w:t>会同住建部门编制全县农村居民地震安全工程中长期规划和年度工作计划草案；会同住建部门开展农村居民建筑工程抗震设防技能培训；会同有关部门建立农村民居抗震基础数据库。六是</w:t>
      </w:r>
      <w:r>
        <w:rPr>
          <w:rFonts w:hint="eastAsia" w:ascii="宋体" w:hAnsi="宋体" w:eastAsia="宋体" w:cs="宋体"/>
          <w:i w:val="0"/>
          <w:caps w:val="0"/>
          <w:color w:val="333333"/>
          <w:spacing w:val="0"/>
          <w:kern w:val="0"/>
          <w:sz w:val="24"/>
          <w:szCs w:val="24"/>
          <w:lang w:val="en-US" w:eastAsia="zh-CN" w:bidi="ar"/>
        </w:rPr>
        <w:t>承担本行政区域内有关防震减灾工作的行政复议、行政诉讼工作；负责地震技术标准的宣传、贯彻、实施和执行监督。七是承担县委、县政府和上级业务主管部门交办的其他事项。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（二）机构设置情况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根据上述职能职责，盈江县防震减灾局内设3个职能股：办公室、监测股、预报股。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盈江县防震减灾局是盈江县人民政府直属正科级事业单位。事业编制4名，设局长1名（正科级），副局长1名（副科级）。现有工作人员8名。</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（三）重点工作概述</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加强防震减灾“3+1”体系建设。认真做好2019年全县防震减灾工作，完成省地震局、州防震减灾局，县委、县政府下达的各项工作任务。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1、切实加强思想建设和组织领导。</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2、党风廉政建设工作。按照从严治党的总体要求，扎实推进我局党风廉政建设和反腐败工作。</w:t>
      </w:r>
    </w:p>
    <w:p>
      <w:pPr>
        <w:keepNext w:val="0"/>
        <w:keepLines w:val="0"/>
        <w:widowControl/>
        <w:suppressLineNumbers w:val="0"/>
        <w:shd w:val="clear" w:fill="FFFFFF"/>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shd w:val="clear" w:fill="FFFFFF"/>
          <w:lang w:val="en-US" w:eastAsia="zh-CN" w:bidi="ar"/>
        </w:rPr>
        <w:t>3、落实意识形态工作责任制</w:t>
      </w:r>
      <w:r>
        <w:rPr>
          <w:rFonts w:hint="eastAsia" w:ascii="宋体" w:hAnsi="宋体" w:eastAsia="宋体" w:cs="宋体"/>
          <w:i w:val="0"/>
          <w:caps w:val="0"/>
          <w:color w:val="333333"/>
          <w:spacing w:val="0"/>
          <w:kern w:val="0"/>
          <w:sz w:val="24"/>
          <w:szCs w:val="24"/>
          <w:shd w:val="clear" w:fill="FFFFFF"/>
          <w:lang w:val="en-US" w:eastAsia="zh-CN" w:bidi="ar"/>
        </w:rPr>
        <w:t>。</w:t>
      </w:r>
      <w:r>
        <w:rPr>
          <w:rFonts w:hint="eastAsia" w:ascii="宋体" w:hAnsi="宋体" w:eastAsia="宋体" w:cs="宋体"/>
          <w:i w:val="0"/>
          <w:caps w:val="0"/>
          <w:color w:val="000000"/>
          <w:spacing w:val="0"/>
          <w:kern w:val="0"/>
          <w:sz w:val="24"/>
          <w:szCs w:val="24"/>
          <w:shd w:val="clear" w:fill="FFFFFF"/>
          <w:lang w:val="en-US" w:eastAsia="zh-CN" w:bidi="ar"/>
        </w:rPr>
        <w:t>按照《盈江县2019年度意识形态工作考核内容》的总体要求，积极培育和践行社会主义核心价值观，壮大主流思想舆论，统一思想、凝聚力量，扎实抓好意识形态工作落实。</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4、认真履行抓党建工作“一岗双责”。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5、监测预报工作。加强防震减灾工作的领导，牢固树立“震情第一”的观念。加强对震情跟踪监视工作的领导，采取切实可行的措施，做好震情跟踪监视工作。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6、震害防御工作。</w:t>
      </w:r>
      <w:r>
        <w:rPr>
          <w:rFonts w:hint="eastAsia" w:ascii="宋体" w:hAnsi="宋体" w:eastAsia="宋体" w:cs="宋体"/>
          <w:b/>
          <w:i w:val="0"/>
          <w:caps w:val="0"/>
          <w:color w:val="212121"/>
          <w:spacing w:val="0"/>
          <w:kern w:val="0"/>
          <w:sz w:val="24"/>
          <w:szCs w:val="24"/>
          <w:lang w:val="en-US" w:eastAsia="zh-CN" w:bidi="ar"/>
        </w:rPr>
        <w:t>一是</w:t>
      </w:r>
      <w:r>
        <w:rPr>
          <w:rFonts w:hint="eastAsia" w:ascii="宋体" w:hAnsi="宋体" w:eastAsia="宋体" w:cs="宋体"/>
          <w:i w:val="0"/>
          <w:caps w:val="0"/>
          <w:color w:val="212121"/>
          <w:spacing w:val="0"/>
          <w:kern w:val="0"/>
          <w:sz w:val="24"/>
          <w:szCs w:val="24"/>
          <w:lang w:val="en-US" w:eastAsia="zh-CN" w:bidi="ar"/>
        </w:rPr>
        <w:t>切实做好学习和宣传《中华人民共和国防震减灾法》和《云南省建设工程抗震设防管理条例》的工作。深入机关、社区、学校、企业全面普及防震减灾法律法规知识，提社会公众群体地震灾害预防能力。</w:t>
      </w:r>
    </w:p>
    <w:p>
      <w:pPr>
        <w:keepNext w:val="0"/>
        <w:keepLines w:val="0"/>
        <w:widowControl/>
        <w:suppressLineNumbers w:val="0"/>
        <w:spacing w:before="0" w:beforeAutospacing="0" w:after="0" w:afterAutospacing="0" w:line="600" w:lineRule="atLeast"/>
        <w:ind w:left="319"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7、持续抓好脱贫攻坚巩固工作。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8、全民科学素质建设工作。利用科技活动周、科普活动日、科技“三下乡”等多种形式，大力开展地震科普宣传工作，不断提高全社会的防震减灾意识和应对地震等突发事件的能力，圆满完成年度各项目标任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9、加强综治维稳、平安创建、禁毒防艾、扫黑除恶工作。认真落实责任，积极拓宽工作思路，创新工作机制，把握工作重点。。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10、保密工作。加强组织领导，确保保密工作责任制落到实处，认真开展国家秘密的确定、变更和解除工作，准确界定涉密重点股室和重点部位。建立健全保密工作制度，切实做好涉密人员的管理。加强涉密载体、涉密计算机、涉密移动存储介质和信息系统的管理。加强学习和培训，做好涉密人员和干部职工的保密宣传教育工作。严格信息审核发布，加强保密检查和隐患排查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11、档案工作。坚持贯彻执行《档案法》，建立档案保管制度，档案查、调阅利用制度，档案收集制度，档案整理制度，档案工作安全管理制度，档案统计制度，档案保密制度，档案员岗位职责，确保档案的安全存放。认真做好业务档案及社会事物档案的收集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二、预算单位基本情况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我局编制2019年部门预算单位共1个。其中：财政全供给单位1个；部分供给单位0个；特殊供给单位0个；自收自支单位0个。财政全供给单位中行政单位0个；参公管理事业单位0个；非参公管理事业单位1个。截止2018年11月统计，部门基本情况如下：</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在职人员编制4人，其中：行政编制 0人，事业编制4人。在职实有8人，其中： 财政全供养 8人，财政部分供养0人，非财政供养0人。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离退休人员 0人，其中： 离休 0人，退休 0人。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车辆编制1辆，实有车辆1辆。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三、预算单位收入情况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2019年部门财务总收入 139.91万元，其中：一般公共预算财政拨款139.91万元，政府性基金预算财政拨款0万元，国有资本经营预算财政拨款0万元，事业收入0万元，事业单位经营收入0万元，其他收入0万元，上年结转0万元。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2019年部门财政拨款收入 139.91万元，其中:本年收入139.91万元，上年结转0万元。本年收入中，一般公共预算财政拨款139.91万元（本级财力139.91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四、预算单位支出情况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2019年部门预算总支出 139.91万元。财政拨款安排支出 139.91万元，其中，基本支出129.91万元，项目支出10万元。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（一）财政拨款安排支出按功能科目分类情况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2080505机关事业单位基本养老保险缴费支出12.99万元，主要用于机关事业基本养老保险缴费。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2210201住房公积金10.84万元，主要用于住房公积金缴费。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2240501  行政运行106.08万元，在职职工全年工资福利支出及机构正常运转经费。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2240502一般行政管理事务10万元，主要用于防震减灾专项工作经费。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（二）财政拨款安排支出按经济科目分类情况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2080505机关事业单位基本养老保险缴费支出12.99万元，其中：基本支出12.99万元，主要用于301工资福利支出12.99万元，项目支出0万元。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2210201住房公积金10.84万元，其中：基本支出10.84万元，主要用于301工资福利支出10.84万元，项目支出0万元。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2240501  行政运行106.08万元，其中：基本支出106.08万元，主要用于301工资福利支出99.68万元，302商品和服务支出4.36万元,303对个人和家庭的补助2.04万元，项目支出0万元。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2240502一般行政管理事务10万元，其中：基本支出0万元，项目支出10万元，主要用于302商品和服务支出7万元，303对个人和家庭的补助1.5万元，310资本性支出1.5万元。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五、县对下专项转移支付情况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本单位2019年无县对下专项转移支付项目</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六、政府采购预算情况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根据《中华人民共和国政府采购法》的有关规定，编制了政府采购预算，共涉及采购项目1个，采购预算资金1.5万元。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七、预算收支增减变化情况说明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（一）部门“三公”经费增减变化情况及原因说明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2019年“三公”经费预算数为4.2万元，与上年预算数4.2万元相比持平。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1、因公出国（境）经费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拟安排出国（境）经费预算0万元，比上年持平。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2、公务接待费</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拟安排公务接待费预算1.6万元，主要用于按规定开支的各类公务接待产生的费用，与上年预算数1.6万元持平。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3、公务用车购置及运行维护费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拟安排公务用车购置及运行维护费2.6万元，其中：购置经费0万元、运行维护费2.6万元，主要用于保障政府部门、党群部门、其他部门公务工作开展，拟产生的公务用车燃料费、维修费、过路过桥费、保险费等支出，与上年预算数2.6万元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（二）预算收入增减变化情况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2019年部门预算收入139.91万元，比上年预算数109.5万元增30.41万元，增27.77%。增加原因：调增人员工资，调入两人。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（三）部门基本支出预算变动的主要原因，对本年与上年同口径数据比对情况分析</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2019年基本支出预算129.91万元，比上年99.5万元，增加了30.41，30.56%，增加主要原因：调资增加人员工资、基本养老保险、住房公积金。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（三）部门项目支出预算变动的主要原因，对本年与上年同口径数据比对情况分析</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2019年项目支出预算10万元，上年10万元，与上年持平。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八、其他公开信息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（一）专业名词解释</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1.财政拨款（补助）收入指财政部门当年拨付的资金。</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2.事业收入指事业单位开展业务活动取得的收入。</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3.事业单位经营收入指事业单位在业务活动之外开展非独立核算经营活动取得的收入。</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4.其他收入指预算单位在“财政拨款收入”、“事业收入”、“经营收入”之外取得的收入。</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5.基本支出指为保障机构正常运转、完成日常工作任务而发生的人员支出和公用支出。</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6.项目支出指在基本支出之外为完成相关行政任务和事业发展目标所发生的支出。</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8.“三公”经费包括因公出国（境）费、公务用车购置及运行费、公务接待费。其中：因公出国（境）费，指单位工作人员公务出国（境）的住宿费、差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9.一般公共预算是对以税收为主体的财政收入，安排用于保障和改善民生、推动经济社会发展、维护国家安全、维护国家机构正常运转等方面的收支预算。</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10.非税收入是各级政府及其所属部门和单位依法利用行政权力、政府信誉、国家资源、国有资产或提供特定公共服务征收、收取、提取、募集的除税收和政府债务收入以外的财政收入。</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11.工资福利支出反映单位开支的在职职工和编制外长期聘用人员的各类劳动报酬，以及为上述人员缴纳的各项社会保险费等。</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12.商品和服务支出反映单位购买商品和服务的支出（不包括用于购置固定资产的支出、战略性和应急储备支出）。</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13.对个人和家庭的补助反映政府用于对个人和家庭的补助支出。</w:t>
      </w:r>
    </w:p>
    <w:p>
      <w:pPr>
        <w:pStyle w:val="6"/>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rPr>
        <w:t>14.政府采购是指各级国家机关、事业单位和团体组织，使用财政性资金采购依法制定的集中采购目录以内的或者采购限额标准以上的货物、工程和服务的行为。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（二）机关运行经费安排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防震减灾局2019年部门预算机关运行经费支出安排4.36万元，主要用于办公费0.51万元、水费0.15万元、电费0.2万元、差旅费0.5万元、公务接待费1.5万元、公务用车运行维护费1.5万元。比2018年机关运行费6.4万元减少2.04万元，原因主要用于开展脱贫攻坚工作教育帮扶1人补助0.24万元，工作队开展脱贫攻坚工作经费0.5万元，驻村工作队员生活补助1.3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（三）本部门预算绩效情况说明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2019年部门收入预算139.91万元。财政拨款安排支出 139.91万元，其中：基本支出129.91万元，主要用于发放人员工资，住房公积金，基本养老保险缴费，支付公用经费确保机构正常运转。项目支出10万元，用于防震减灾专项工作经费，积极推进地震监测预报、震害预防、紧急救援和科技创新“3+1”体系建设，强化基础能力建设，实施防震减灾目标战略工程，更好地维护人民生命财务安全，最大限度减轻地震灾害损失。</w:t>
      </w:r>
    </w:p>
    <w:p/>
    <w:p>
      <w:pPr>
        <w:widowControl/>
        <w:ind w:left="600"/>
        <w:jc w:val="left"/>
        <w:rPr>
          <w:rFonts w:ascii="楷体_GB2312" w:eastAsia="楷体_GB2312"/>
          <w:kern w:val="0"/>
          <w:sz w:val="30"/>
          <w:szCs w:val="30"/>
        </w:rPr>
      </w:pPr>
      <w:bookmarkStart w:id="0" w:name="_GoBack"/>
      <w:bookmarkEnd w:id="0"/>
    </w:p>
    <w:p>
      <w:pPr>
        <w:rPr>
          <w:rFonts w:ascii="Arial" w:hAnsi="Arial" w:eastAsia="Arial" w:cs="Arial"/>
          <w:b/>
          <w:sz w:val="36"/>
        </w:rPr>
      </w:pPr>
      <w:r>
        <w:rPr>
          <w:rFonts w:ascii="Arial" w:hAnsi="Arial" w:eastAsia="Arial" w:cs="Arial"/>
          <w:b/>
          <w:sz w:val="36"/>
        </w:rPr>
        <w:t>监督索引号53312300441900111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9719D"/>
    <w:rsid w:val="000A03E5"/>
    <w:rsid w:val="000A07EA"/>
    <w:rsid w:val="000A1122"/>
    <w:rsid w:val="000A6A4C"/>
    <w:rsid w:val="000A74AF"/>
    <w:rsid w:val="000A7B19"/>
    <w:rsid w:val="000B0125"/>
    <w:rsid w:val="000B59B5"/>
    <w:rsid w:val="000B5BAB"/>
    <w:rsid w:val="000B7EA9"/>
    <w:rsid w:val="000C3AE5"/>
    <w:rsid w:val="000C5123"/>
    <w:rsid w:val="000D4394"/>
    <w:rsid w:val="000D5D0F"/>
    <w:rsid w:val="000E2B18"/>
    <w:rsid w:val="000E530D"/>
    <w:rsid w:val="000E5C6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619B9"/>
    <w:rsid w:val="001704E4"/>
    <w:rsid w:val="00175223"/>
    <w:rsid w:val="00175B2E"/>
    <w:rsid w:val="00176F17"/>
    <w:rsid w:val="001804E3"/>
    <w:rsid w:val="00180C9A"/>
    <w:rsid w:val="00182D13"/>
    <w:rsid w:val="00183B42"/>
    <w:rsid w:val="00186C54"/>
    <w:rsid w:val="00192642"/>
    <w:rsid w:val="00192C05"/>
    <w:rsid w:val="00197CAA"/>
    <w:rsid w:val="00197E5D"/>
    <w:rsid w:val="001A1B3A"/>
    <w:rsid w:val="001A3CEE"/>
    <w:rsid w:val="001A784A"/>
    <w:rsid w:val="001B045D"/>
    <w:rsid w:val="001C1C89"/>
    <w:rsid w:val="001C55D5"/>
    <w:rsid w:val="001D120C"/>
    <w:rsid w:val="001E03BD"/>
    <w:rsid w:val="001E684A"/>
    <w:rsid w:val="00200475"/>
    <w:rsid w:val="00200BD6"/>
    <w:rsid w:val="00213694"/>
    <w:rsid w:val="00216177"/>
    <w:rsid w:val="0021635A"/>
    <w:rsid w:val="002230AE"/>
    <w:rsid w:val="002247D0"/>
    <w:rsid w:val="00224F80"/>
    <w:rsid w:val="0022507C"/>
    <w:rsid w:val="00226979"/>
    <w:rsid w:val="00235D3A"/>
    <w:rsid w:val="002406F5"/>
    <w:rsid w:val="00242E76"/>
    <w:rsid w:val="00243464"/>
    <w:rsid w:val="002462A8"/>
    <w:rsid w:val="00247731"/>
    <w:rsid w:val="00253C74"/>
    <w:rsid w:val="002579F6"/>
    <w:rsid w:val="00262BAD"/>
    <w:rsid w:val="002726B1"/>
    <w:rsid w:val="002727D0"/>
    <w:rsid w:val="002749C8"/>
    <w:rsid w:val="00275325"/>
    <w:rsid w:val="00281C06"/>
    <w:rsid w:val="00285DC4"/>
    <w:rsid w:val="00292EF4"/>
    <w:rsid w:val="002941CB"/>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2E34"/>
    <w:rsid w:val="003333E4"/>
    <w:rsid w:val="00333A6B"/>
    <w:rsid w:val="00336580"/>
    <w:rsid w:val="0034184B"/>
    <w:rsid w:val="003535EB"/>
    <w:rsid w:val="00354D29"/>
    <w:rsid w:val="00356356"/>
    <w:rsid w:val="00360206"/>
    <w:rsid w:val="00360593"/>
    <w:rsid w:val="00360EF7"/>
    <w:rsid w:val="00361A07"/>
    <w:rsid w:val="003710A2"/>
    <w:rsid w:val="00372470"/>
    <w:rsid w:val="00376707"/>
    <w:rsid w:val="0037788A"/>
    <w:rsid w:val="0038029B"/>
    <w:rsid w:val="00383096"/>
    <w:rsid w:val="00392AA8"/>
    <w:rsid w:val="003931E6"/>
    <w:rsid w:val="003A0223"/>
    <w:rsid w:val="003A324A"/>
    <w:rsid w:val="003A73EF"/>
    <w:rsid w:val="003B2514"/>
    <w:rsid w:val="003B54C2"/>
    <w:rsid w:val="003B5BA8"/>
    <w:rsid w:val="003C0093"/>
    <w:rsid w:val="003C178F"/>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3682"/>
    <w:rsid w:val="00467CD2"/>
    <w:rsid w:val="004718A9"/>
    <w:rsid w:val="00473477"/>
    <w:rsid w:val="00476EC1"/>
    <w:rsid w:val="00480582"/>
    <w:rsid w:val="00484C79"/>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4E75"/>
    <w:rsid w:val="0052572D"/>
    <w:rsid w:val="005431C8"/>
    <w:rsid w:val="005463F4"/>
    <w:rsid w:val="00552BA8"/>
    <w:rsid w:val="0055409A"/>
    <w:rsid w:val="00557410"/>
    <w:rsid w:val="00563EEF"/>
    <w:rsid w:val="00572E90"/>
    <w:rsid w:val="00575EDA"/>
    <w:rsid w:val="00591B91"/>
    <w:rsid w:val="00595293"/>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54AC"/>
    <w:rsid w:val="00626153"/>
    <w:rsid w:val="006374A1"/>
    <w:rsid w:val="0064257E"/>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5BF4"/>
    <w:rsid w:val="006E7E4C"/>
    <w:rsid w:val="006F02E3"/>
    <w:rsid w:val="006F1C64"/>
    <w:rsid w:val="006F3C19"/>
    <w:rsid w:val="00700438"/>
    <w:rsid w:val="007013C6"/>
    <w:rsid w:val="00715660"/>
    <w:rsid w:val="007328B9"/>
    <w:rsid w:val="007333A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1AE6"/>
    <w:rsid w:val="007B4A0F"/>
    <w:rsid w:val="007C05CB"/>
    <w:rsid w:val="007C1922"/>
    <w:rsid w:val="007C3153"/>
    <w:rsid w:val="007C7656"/>
    <w:rsid w:val="007D066F"/>
    <w:rsid w:val="007D1AE5"/>
    <w:rsid w:val="007D5A91"/>
    <w:rsid w:val="007E3441"/>
    <w:rsid w:val="007E460F"/>
    <w:rsid w:val="007E68C9"/>
    <w:rsid w:val="007E76F1"/>
    <w:rsid w:val="007E7C24"/>
    <w:rsid w:val="007F1DA0"/>
    <w:rsid w:val="007F7098"/>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53D3B"/>
    <w:rsid w:val="00864C29"/>
    <w:rsid w:val="00864E02"/>
    <w:rsid w:val="00874702"/>
    <w:rsid w:val="008775B4"/>
    <w:rsid w:val="008808A6"/>
    <w:rsid w:val="00884461"/>
    <w:rsid w:val="008847E0"/>
    <w:rsid w:val="00885B69"/>
    <w:rsid w:val="008A159E"/>
    <w:rsid w:val="008A38E5"/>
    <w:rsid w:val="008A3F94"/>
    <w:rsid w:val="008A4B32"/>
    <w:rsid w:val="008A6037"/>
    <w:rsid w:val="008B19FC"/>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34A8B"/>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0B2"/>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0014"/>
    <w:rsid w:val="00A31FBA"/>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4FB9"/>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06AB"/>
    <w:rsid w:val="00B62018"/>
    <w:rsid w:val="00B63114"/>
    <w:rsid w:val="00B64A22"/>
    <w:rsid w:val="00B67D14"/>
    <w:rsid w:val="00B700C3"/>
    <w:rsid w:val="00B74731"/>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2D65"/>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512A"/>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2589"/>
    <w:rsid w:val="00CF3E52"/>
    <w:rsid w:val="00D00043"/>
    <w:rsid w:val="00D003BE"/>
    <w:rsid w:val="00D03468"/>
    <w:rsid w:val="00D03E18"/>
    <w:rsid w:val="00D06094"/>
    <w:rsid w:val="00D110CC"/>
    <w:rsid w:val="00D1310A"/>
    <w:rsid w:val="00D165B0"/>
    <w:rsid w:val="00D249EC"/>
    <w:rsid w:val="00D30CFE"/>
    <w:rsid w:val="00D314BC"/>
    <w:rsid w:val="00D319FC"/>
    <w:rsid w:val="00D360E9"/>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C741F"/>
    <w:rsid w:val="00DD0FFA"/>
    <w:rsid w:val="00DD202C"/>
    <w:rsid w:val="00DD3863"/>
    <w:rsid w:val="00DD6E7D"/>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25C1E"/>
    <w:rsid w:val="00E30F62"/>
    <w:rsid w:val="00E36ECE"/>
    <w:rsid w:val="00E46B69"/>
    <w:rsid w:val="00E573AC"/>
    <w:rsid w:val="00E57B94"/>
    <w:rsid w:val="00E62839"/>
    <w:rsid w:val="00E62E85"/>
    <w:rsid w:val="00E64EE1"/>
    <w:rsid w:val="00E65C1E"/>
    <w:rsid w:val="00E70563"/>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E7658"/>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1B19"/>
    <w:rsid w:val="00F35CB9"/>
    <w:rsid w:val="00F36445"/>
    <w:rsid w:val="00F37D41"/>
    <w:rsid w:val="00F412D7"/>
    <w:rsid w:val="00F43996"/>
    <w:rsid w:val="00F45AD5"/>
    <w:rsid w:val="00F45F72"/>
    <w:rsid w:val="00F47184"/>
    <w:rsid w:val="00F5128D"/>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3F8D"/>
    <w:rsid w:val="00FF58DD"/>
    <w:rsid w:val="00FF7A85"/>
    <w:rsid w:val="025737A0"/>
    <w:rsid w:val="03F0214E"/>
    <w:rsid w:val="06325B44"/>
    <w:rsid w:val="0AB77A2F"/>
    <w:rsid w:val="1A0B3DDD"/>
    <w:rsid w:val="270029EB"/>
    <w:rsid w:val="2BBD4611"/>
    <w:rsid w:val="2D7B7E3A"/>
    <w:rsid w:val="39466C4F"/>
    <w:rsid w:val="485A59C4"/>
    <w:rsid w:val="4E034B4C"/>
    <w:rsid w:val="4FA05872"/>
    <w:rsid w:val="724A4A01"/>
    <w:rsid w:val="756018F0"/>
    <w:rsid w:val="7B1E53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Autospacing="1" w:afterAutospacing="1"/>
      <w:ind w:firstLine="420"/>
      <w:jc w:val="left"/>
    </w:pPr>
    <w:rPr>
      <w:kern w:val="0"/>
      <w:sz w:val="24"/>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 w:type="paragraph" w:customStyle="1" w:styleId="12">
    <w:name w:val="p"/>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15</Pages>
  <Words>1163</Words>
  <Characters>6632</Characters>
  <Lines>55</Lines>
  <Paragraphs>15</Paragraphs>
  <TotalTime>0</TotalTime>
  <ScaleCrop>false</ScaleCrop>
  <LinksUpToDate>false</LinksUpToDate>
  <CharactersWithSpaces>7780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2019-12-26T02:28:47Z</dcterms:modified>
  <dc:title>年部门预算编制说明</dc:title>
  <cp:revision>112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