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盈江县太平镇人民政府</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2019年部门预算公开目录</w:t>
      </w:r>
    </w:p>
    <w:p>
      <w:pPr>
        <w:jc w:val="center"/>
        <w:rPr>
          <w:rFonts w:ascii="方正小标宋简体" w:hAnsi="方正小标宋简体" w:eastAsia="方正小标宋简体" w:cs="方正小标宋简体"/>
          <w:sz w:val="10"/>
          <w:szCs w:val="10"/>
        </w:rPr>
      </w:pPr>
    </w:p>
    <w:p>
      <w:pPr>
        <w:jc w:val="left"/>
        <w:rPr>
          <w:rFonts w:ascii="黑体" w:hAnsi="黑体" w:eastAsia="黑体"/>
          <w:sz w:val="30"/>
          <w:szCs w:val="30"/>
        </w:rPr>
      </w:pPr>
      <w:r>
        <w:rPr>
          <w:rFonts w:hint="eastAsia" w:ascii="黑体" w:hAnsi="黑体" w:eastAsia="黑体"/>
          <w:sz w:val="30"/>
          <w:szCs w:val="30"/>
        </w:rPr>
        <w:t>第一部分太平镇部门2019年部门预算编制说明</w:t>
      </w:r>
    </w:p>
    <w:p>
      <w:pPr>
        <w:jc w:val="left"/>
        <w:rPr>
          <w:rFonts w:ascii="黑体" w:hAnsi="黑体" w:eastAsia="黑体"/>
          <w:sz w:val="30"/>
          <w:szCs w:val="30"/>
        </w:rPr>
      </w:pPr>
      <w:r>
        <w:rPr>
          <w:rFonts w:hint="eastAsia" w:ascii="黑体" w:hAnsi="黑体" w:eastAsia="黑体"/>
          <w:sz w:val="30"/>
          <w:szCs w:val="30"/>
        </w:rPr>
        <w:t>第二部分太平镇部门2019年部门预算表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十、州本级项目支出绩效目标表（本次下达）</w:t>
      </w:r>
    </w:p>
    <w:p>
      <w:pPr>
        <w:jc w:val="left"/>
        <w:rPr>
          <w:rFonts w:eastAsia="仿宋_GB2312"/>
          <w:sz w:val="30"/>
          <w:szCs w:val="30"/>
        </w:rPr>
      </w:pPr>
      <w:r>
        <w:rPr>
          <w:rFonts w:hint="eastAsia" w:eastAsia="仿宋_GB2312"/>
          <w:sz w:val="30"/>
          <w:szCs w:val="30"/>
        </w:rPr>
        <w:t>十一、州本级项目支出绩效目标表（另文下达）</w:t>
      </w:r>
    </w:p>
    <w:p>
      <w:pPr>
        <w:jc w:val="left"/>
        <w:rPr>
          <w:rFonts w:eastAsia="仿宋_GB2312"/>
          <w:sz w:val="30"/>
          <w:szCs w:val="30"/>
        </w:rPr>
      </w:pPr>
      <w:r>
        <w:rPr>
          <w:rFonts w:hint="eastAsia" w:eastAsia="仿宋_GB2312"/>
          <w:sz w:val="30"/>
          <w:szCs w:val="30"/>
        </w:rPr>
        <w:t>十二、州对下转移支付绩效目标表</w:t>
      </w:r>
    </w:p>
    <w:p>
      <w:pPr>
        <w:jc w:val="left"/>
        <w:rPr>
          <w:rFonts w:eastAsia="仿宋_GB2312"/>
          <w:sz w:val="30"/>
          <w:szCs w:val="30"/>
        </w:rPr>
      </w:pPr>
      <w:r>
        <w:rPr>
          <w:rFonts w:hint="eastAsia" w:eastAsia="仿宋_GB2312"/>
          <w:sz w:val="30"/>
          <w:szCs w:val="30"/>
        </w:rPr>
        <w:t>十三、部门政府采购情况表</w:t>
      </w:r>
    </w:p>
    <w:p>
      <w:pPr>
        <w:widowControl/>
        <w:jc w:val="center"/>
        <w:rPr>
          <w:rFonts w:ascii="方正小标宋简体" w:eastAsia="方正小标宋简体"/>
          <w:kern w:val="0"/>
          <w:sz w:val="36"/>
          <w:szCs w:val="36"/>
        </w:rPr>
      </w:pPr>
    </w:p>
    <w:p>
      <w:pPr>
        <w:widowControl/>
        <w:jc w:val="center"/>
        <w:rPr>
          <w:rFonts w:ascii="方正小标宋简体" w:eastAsia="方正小标宋简体"/>
          <w:kern w:val="0"/>
          <w:sz w:val="36"/>
          <w:szCs w:val="36"/>
        </w:rPr>
      </w:pPr>
    </w:p>
    <w:p>
      <w:pPr>
        <w:widowControl/>
        <w:jc w:val="center"/>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太平镇人民政府2019年</w:t>
      </w: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部门预算编制说明</w:t>
      </w:r>
    </w:p>
    <w:p>
      <w:pPr>
        <w:widowControl/>
        <w:jc w:val="left"/>
        <w:rPr>
          <w:rFonts w:ascii="黑体" w:hAnsi="黑体" w:eastAsia="黑体"/>
          <w:kern w:val="0"/>
          <w:sz w:val="30"/>
          <w:szCs w:val="30"/>
        </w:rPr>
      </w:pP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一、基本职能及主要工作</w:t>
      </w:r>
    </w:p>
    <w:p>
      <w:pPr>
        <w:widowControl/>
        <w:ind w:firstLine="300" w:firstLineChars="100"/>
        <w:jc w:val="left"/>
        <w:rPr>
          <w:rFonts w:ascii="方正仿宋_GBK" w:hAnsi="方正仿宋_GBK" w:eastAsia="方正仿宋_GBK" w:cs="方正仿宋_GBK"/>
          <w:b/>
          <w:kern w:val="0"/>
          <w:sz w:val="30"/>
          <w:szCs w:val="30"/>
        </w:rPr>
      </w:pPr>
      <w:r>
        <w:rPr>
          <w:rFonts w:hint="eastAsia" w:ascii="方正仿宋_GBK" w:hAnsi="方正仿宋_GBK" w:eastAsia="方正仿宋_GBK" w:cs="方正仿宋_GBK"/>
          <w:kern w:val="0"/>
          <w:sz w:val="30"/>
          <w:szCs w:val="30"/>
        </w:rPr>
        <w:t>（一）部门主要职责</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主要职能: 根据盈发【2011】49号文件规定，主要职能是：根据《中国共产党农村基层组织工作条例》、《云南省乡镇人民代表大会主席团工作条</w:t>
      </w:r>
      <w:bookmarkStart w:id="0" w:name="_GoBack"/>
      <w:bookmarkEnd w:id="0"/>
      <w:r>
        <w:rPr>
          <w:rFonts w:hint="eastAsia" w:ascii="方正仿宋_GBK" w:hAnsi="方正仿宋_GBK" w:eastAsia="方正仿宋_GBK" w:cs="方正仿宋_GBK"/>
          <w:sz w:val="30"/>
          <w:szCs w:val="30"/>
        </w:rPr>
        <w:t>例》及《中华人民共和国地方各级人民代表大会和地方各级人民政府组织法》等规定，太平镇党委、人大、政府的主要职责分别是：</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（一）太平镇党委的主要职责:</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贯彻执行党的路线、方针、政策和上级党组织及本镇党员代表大会的决议，组织全镇干部群众认真学习马列主义、毛泽东思想、邓小平理论、江泽民同志“三个代表”重要思想和科学发展观理论、党的基本知识。</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2.根据党委在各个历史时期中心任务，加强农村政权建设、基层组织建设和党风廉政建设。抓好两个文明建设，深入开展政治思想工作。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3.制定全镇社会经济发展规划，对经济建设等重大问题作出方向性的决定。团结、组织和带领全镇党内外干部群众，努力完成本镇所担负的任务。</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4.抓好全镇党员干部的培训、管理和发展工作，教育广大党员认真履行义务、遵纪守法，充分发挥基层党组织的战斗堡垒作用和党员的先锋模范作用。</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5.领导纪检、武装、共青团、妇联、工会组织认真开展工作，做好人大、政府、纪委、政协、组织、宣传工作。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6.研究决定全镇政治、经济、文化和社会发展中的重大事宜。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7.完成上级党委政府赋予的其它工作任务。</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（二）太平镇人大主席团的主要职责：</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1.检查、督促宪法、法律、法规及镇人民代表大会和上级人民代表大会及其常务委员会的决议、决定在全镇行政区域的贯彻执行。</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2.听取和审议镇政府的经济、教育、科学、文化、卫生、民政、民族、社会治安等工作情况的汇报，监督镇政府的工作。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3.对镇的重大事项、镇政府的经济、文化、公共事业和财政预算的年度计划提出建议和提请镇人民代表大会审议决定。</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4.检查、督促镇政府及有关单位办理镇人民代表大会提出的议案、建议、批评和意见。</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5.组织各级人民代表对全镇国家机关和有关单位的工作进行评议和观察。</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6.联系镇人大代表和接受上级</w:t>
      </w:r>
      <w:r>
        <w:rPr>
          <w:rFonts w:hint="eastAsia" w:ascii="方正仿宋_GBK" w:hAnsi="方正仿宋_GBK" w:eastAsia="方正仿宋_GBK" w:cs="方正仿宋_GBK"/>
          <w:sz w:val="30"/>
          <w:szCs w:val="30"/>
          <w:lang w:eastAsia="zh-CN"/>
        </w:rPr>
        <w:t>人大常委会</w:t>
      </w:r>
      <w:r>
        <w:rPr>
          <w:rFonts w:hint="eastAsia" w:ascii="方正仿宋_GBK" w:hAnsi="方正仿宋_GBK" w:eastAsia="方正仿宋_GBK" w:cs="方正仿宋_GBK"/>
          <w:sz w:val="30"/>
          <w:szCs w:val="30"/>
        </w:rPr>
        <w:t>的委托，联系本镇内的上级人大代表，组织代表小组开展活动。</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7.受理人民群众对镇国家机关和工作人员的申诉和意见。</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8.监督检查政务、村务、财务公开制度实行情况。</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9.受理镇人大代表的辞职，并报本级人民代表大会备案，主持各级人大代表的选举产生工作。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10.决定召集本届人民代表大会会议和下届人代会第一次会议，受理镇人大主席团成员、镇长、副镇长的辞职，并报镇人民代表大会备案。</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11.办理镇人民代表大会和上级人大常委会交付的其它工作。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（三）太平镇人民政府的主要职责：</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1.贯彻执行党和国家的路线、方针、政策和法律法规。</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3.保护社会主义的全民所有财产和劳动群众集体所有财产，保护公民私人所有的合法财产，维护社会秩序，保障公民的人身权利、民主权利和其它权利，保护各种经济的合法权益。</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4.切实推行行政务、财务公开，使政务、财务公开走入法制化轨道。</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有计划、有目标地组织实施好本镇的经济发展、基础设施建设、社会公益事业建设；开展好社会福利活动；保障少数民族的权利和尊重少数民族的风俗习惯；保障宪法和法律赋予妇女儿童和残疾人的正当权益；实行男女平等、婚姻自由；保障劳工经商的合法权益，做到同工同酬。</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6.围绕财政增收、农民致富，搞好产业结构调整，带领群众脱贫致富。</w:t>
      </w:r>
    </w:p>
    <w:p>
      <w:pPr>
        <w:widowControl/>
        <w:ind w:firstLine="300" w:firstLineChars="1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（二）机构设置情况</w:t>
      </w:r>
    </w:p>
    <w:p>
      <w:pPr>
        <w:widowControl/>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根据盈发【2011】49号文件规定，主要职能是：根据《中国共产党农村基层组织工作条例》、《云南省乡镇人民代表大会主席团工作条例》及《中华人民共和国地方各级人民代表大会和地方各级人民政府组织法》等规定，下设太平镇党委、政府、</w:t>
      </w:r>
      <w:r>
        <w:rPr>
          <w:rFonts w:hint="eastAsia" w:ascii="方正仿宋_GBK" w:hAnsi="方正仿宋_GBK" w:eastAsia="方正仿宋_GBK" w:cs="方正仿宋_GBK"/>
          <w:kern w:val="0"/>
          <w:sz w:val="30"/>
          <w:szCs w:val="30"/>
        </w:rPr>
        <w:t>人大、纪委、文化站、农业、林业、水利等部门。</w:t>
      </w:r>
    </w:p>
    <w:p>
      <w:pPr>
        <w:widowControl/>
        <w:ind w:firstLine="300" w:firstLineChars="1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（三）重点工作概述</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1.贯彻执行党和国家的路线、方针、政策和法律法规。</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3.保护社会主义的全民所有财产和劳动群众集体所有财产，保护公民私人所有的合法财产，维护社会秩序，保障公民的人身权利、民主权利和其它权利，保护各种经济的合法权益。</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4.切实推行行政务、财务公开，使政务、财务公开走入法制化轨道。</w:t>
      </w:r>
    </w:p>
    <w:p>
      <w:pPr>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5.有计划、有目标地组织实施好本镇的经济发展、基础设施建设、社会公益事业建设；开展好社会福利活动；保障少数民族的权利和尊重少数民族的风俗习惯；保障宪法和法律赋予妇女儿童和残疾人的正当权益；实行男女平等、婚姻自由；保障劳工经商的合法权益，做到同工同酬。</w:t>
      </w:r>
    </w:p>
    <w:p>
      <w:pPr>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sz w:val="30"/>
          <w:szCs w:val="30"/>
        </w:rPr>
        <w:t>6.围绕财政增收、农民致富，搞好产业结构调整，带领群众脱贫致富。</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二、预算单位基本情况</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我部门编制2019年部门预算单位共1个。其中：财政全供给单位1个；部分供给单位0个；特殊供给单0个；自收自支单位0个。财政全供给单位中行政单位1个；参公管理事业单位0个；非参公管理事业单位0个。截止2018年11月统计，部门基本情况如下：</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在职人员编制80人，其中：行政编制 39人，事业编制41人。在职实有70人，其中： 财政全供养70人，财政部分供养0人，非财政供养0人。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离退休人员40人，其中： 离休0人，退休 40人。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车辆编制5辆，实有车辆3辆。</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三、预算单位收入情况</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（一）部门财务收入情况</w:t>
      </w:r>
    </w:p>
    <w:p>
      <w:pPr>
        <w:widowControl/>
        <w:ind w:firstLine="750" w:firstLineChars="2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2019年部门财务总收入1641.88万元，其中：一般公共预算财政拨款1641.88万元，政府性基金预算财政拨款0万元，国有资本经营预算财政拨款0万元，事业收入0万元，事业单位经营收入0万元，其他收入0万元，上年结转0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（二）财政拨款收入情况</w:t>
      </w:r>
    </w:p>
    <w:p>
      <w:pPr>
        <w:widowControl/>
        <w:ind w:firstLine="750" w:firstLineChars="2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2019年部门财政拨款收入1641.88万元，其中:本年收入1641.88万元，上年结转0万元。本年收入中，一般公共预算财政拨款1641.88万元（本级财力1641.88万元，专项收入0万元，执法办案补助0万元，收费成本补偿0万元，财政专户管理的收入0万元，国有资源（资产）有偿使用成本补偿0万元），政府性基金预算财政拨款0万元，国有资本经营预算财政拨款0万元。</w:t>
      </w:r>
    </w:p>
    <w:p>
      <w:pPr>
        <w:widowControl/>
        <w:numPr>
          <w:ilvl w:val="0"/>
          <w:numId w:val="1"/>
        </w:numPr>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预算单位支出情况</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（本条分组按项级科目细化）</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2019年部门预算总支出1641.88万元。财政拨款安排支出 1641.88万元，其中，基本支出1143.38万元，项目支出498.50万元。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（一）财政拨款安排支出按功能科目分类情况</w:t>
      </w:r>
    </w:p>
    <w:p>
      <w:pPr>
        <w:widowControl/>
        <w:ind w:firstLine="750" w:firstLineChars="2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功能科目分组，主要用于：</w:t>
      </w:r>
    </w:p>
    <w:p>
      <w:pPr>
        <w:widowControl/>
        <w:ind w:firstLine="750" w:firstLineChars="2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201类一般公共服务支出892.19万元，其中：基本支出427.19万元，主要用于人大、党委、政府、纪委、团委、统计等的工资福利支出、商品服务支出及对个人和家庭的补助支出；项目支出497.50万元，主要用于补选2名十七届人大代表经费2万元，两次人代会会议经费6万元，太平镇雪梨村石梯村民小组大谷地异地搬迁点群众建房资金（盈恒暂付）400万元，太平镇工会妇联工作经费1万元，太平镇团委工作经费0.5万元，太平镇乡镇党组织建设10万元，太平镇关工委经费0.5万元，太平镇村级组织办公经费55万元，村民小组党支部活动经费22.50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207类文化体育与传媒支出15.22万元，其中：基本支出15.22万元，主要用于文化广播站的工资福利支出、商品和服务支出。</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208类社会保障和就业共支出266.13万元，其中：基本支出265.13万元，主要用于在职人员养老保险（工资福利）支出，退休人员的商品和服务支出，村三委、村委退休人员补助（对个人和家庭的补助）支出，项目支出1万元（太平镇老年大学办学经费1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210类医疗卫生与计划生育支出29.2万元，其中：基本支出29.2万元，主要用于在职人员的养老保险（工资福利）支出、商品和服务支出及对个人和家庭补助的支出。</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212类城乡社区支出13.2万元，其中：基本支出13.2万元，主要用于对个人和家庭补助的支出。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213类农林水支出265.56万元，其中：基本支出265.56万元，主要用于农业、林业及水利在职人员的养老保险（工资福利）支出、商品和服务支出及对个人和家庭补助的支出。</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221类住房保障支出82.88万元，其中：基本支出82.22万元，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主要用于人大、党委、政府、纪委、文化站、农业、林业、水利等工资福利支出（住房公积金）。</w:t>
      </w:r>
    </w:p>
    <w:p>
      <w:pPr>
        <w:widowControl/>
        <w:numPr>
          <w:ilvl w:val="0"/>
          <w:numId w:val="2"/>
        </w:numPr>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财政拨款安排支出按经济科目分类情况</w:t>
      </w:r>
    </w:p>
    <w:p>
      <w:pPr>
        <w:widowControl/>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（本条按部门预算支出经济科目分类）</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经济科目分组（其中：基本支出1143.38万元，项目支出498.5万元）。</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301类工资福利支出803.12万元，其中：基本支出803.12万元，主要用于人大、党委、政府、纪委、团委、统计、文化站、农业、林业、水利等部门人员工资支出。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302类商品和服务支出33.05万元，其中：基本支出33.05万元，主要用于人大、党委、政府等日常机构运行支出；项目支出51.80万元主要用于办公运转支出。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303类对个人和家庭的补助支出307.21万元，主要用于抚恤金及生活补助。</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项目支出498.50万元，主要用于搬迁点群众建房资金、人大活动及群团事务管理。</w:t>
      </w:r>
    </w:p>
    <w:p>
      <w:pPr>
        <w:widowControl/>
        <w:ind w:firstLine="600" w:firstLineChars="200"/>
        <w:jc w:val="left"/>
        <w:rPr>
          <w:rFonts w:ascii="方正仿宋_GBK" w:hAnsi="方正仿宋_GBK" w:eastAsia="方正仿宋_GBK" w:cs="方正仿宋_GBK"/>
          <w:kern w:val="0"/>
          <w:sz w:val="30"/>
          <w:szCs w:val="30"/>
        </w:rPr>
      </w:pPr>
    </w:p>
    <w:p>
      <w:pPr>
        <w:widowControl/>
        <w:numPr>
          <w:ilvl w:val="0"/>
          <w:numId w:val="3"/>
        </w:numPr>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县对下专项转移支付情况</w:t>
      </w:r>
    </w:p>
    <w:p>
      <w:pPr>
        <w:widowControl/>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（本条分组按项级科目细化）</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（一）列入县对下专项转移支付项目清单项目情况</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部门列入县对下专项转移支付项目清单项目为：金额498.50万元，包含①2010104一般公共服务支出-人大事务-人大会议补选2名十七届人大代表经费2万元，②2013699 一般公共服务支出-其他共产党事务支出-其他共产党事务支出村民小组党支部活动经费22.50万元，③2010104 一般公共服务支出-人大事务-人大会议两次人代会会议经费6万元，④2013199 一般公共服务支出-党委办公厅（室）及相关机构事务-其他党委办公厅（室）及相关机构事务支出太平镇村级组织办公经费55万元，⑤2012902 一般公共服务支出-群众团体事务-一般行政管理事务太平镇工会妇联工作经费1万元，⑥2013199 一般公共服务支出-党委办公厅（室）及相关机构事务-其他党委办公厅（室）及相关机构事务支出太平镇关工委经费0.5万元，⑦2080501 社会保障和就业支出-行政事业单位离退休-归口管理的行政单位离退休太平镇老年大学办学经费1万元，⑧2012902 一般公共服务支出-群众团体事务-一般行政管理事务太平镇团委工作经费0.5万元，⑨2013199 一般公共服务支出-党委办公厅（室）及相关机构事务-其他党委办公厅（室）及相关机构事务支出太平镇乡镇党组织建设10万元，⑩2010399 一般公共服务支出-政府办公厅（室）及相关机构事务-其他政府办公厅（室）及相关机构事务支出太平镇雪梨村石梯村民小组大谷地异地搬迁点群众建房资金（盈恒暂付）400万元。</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（二）与上级配套事项</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本部门2019年无与上级配套事项。</w:t>
      </w:r>
    </w:p>
    <w:p>
      <w:pPr>
        <w:widowControl/>
        <w:ind w:firstLine="602" w:firstLineChars="200"/>
        <w:jc w:val="left"/>
        <w:rPr>
          <w:rFonts w:ascii="方正仿宋_GBK" w:hAnsi="方正仿宋_GBK" w:eastAsia="方正仿宋_GBK" w:cs="方正仿宋_GBK"/>
          <w:b/>
          <w:kern w:val="0"/>
          <w:sz w:val="30"/>
          <w:szCs w:val="30"/>
        </w:rPr>
      </w:pPr>
      <w:r>
        <w:rPr>
          <w:rFonts w:hint="eastAsia" w:ascii="方正仿宋_GBK" w:hAnsi="方正仿宋_GBK" w:eastAsia="方正仿宋_GBK" w:cs="方正仿宋_GBK"/>
          <w:b/>
          <w:kern w:val="0"/>
          <w:sz w:val="30"/>
          <w:szCs w:val="30"/>
        </w:rPr>
        <w:t>（</w:t>
      </w:r>
      <w:r>
        <w:rPr>
          <w:rFonts w:hint="eastAsia" w:ascii="方正仿宋_GBK" w:hAnsi="方正仿宋_GBK" w:eastAsia="方正仿宋_GBK" w:cs="方正仿宋_GBK"/>
          <w:kern w:val="0"/>
          <w:sz w:val="30"/>
          <w:szCs w:val="30"/>
        </w:rPr>
        <w:t>三）按既定政策标准测算补助事项</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1、根据盈江县第十七届人民代表大会第二次会议安排，太平镇太平镇雪梨村石梯村民小组大谷地异地搬迁点群众建房资金400万元，科目2010399项，主要用于太平镇雪梨村石梯村民小组大谷地异地搬迁点群众建房资金。</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2、根据盈人办发［2019］3号文件，安排太平镇补选2名十七届人大代表经费2万元，科目为2010104项，主要用于补选2名人大代表。</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3、根据盈发［2014］2号文件，安排太平镇党组织建设经费10万元，科目为2013199项，主要用于太平镇开展党建相关工作，包含政治、思想、作风、制度、纪律建设等内容，建立健全党的组织机构，定期过好组织生活，落实民主生活制度，做好党员发展工作，评选表彰先进等。</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4、根据盈发〔2014〕13号文件，安排太平镇工会妇联工作经费1万元，科目为2012902项，主要用于工青妇组织服务党的事业和做群众工作的能力不断增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5、根据盈发[2011]39号文件，安排太平镇关工委工作经费0.5万元，科目为2012902项，主要用于全面提高青少年的思想道德素质、科学文化素质和健康素质，进一步加强和改进关心下一代工作。</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6、根据盈发[2011]39号文件，安排太平镇团委工作经费0.5万元，科目为2012902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作出新的更大的贡献。</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7、根据盈人办发［2019］3号文件，安排太平镇两次人代会会议经费6万元，科目为2010104项，主要用于召开人代会会议费支出。</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8、根据盈发［2014］2号文件，安排村民小组党支部活动经费22.50万元，科目为2013699，主要用于开展村民小组党支部活动，加强基层党组织建设。</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9、根据盈发［2014］2号文件，安排村级办公经费55万元，科目为2080208，主要用于开展村级各项活动工作经费支出。</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10、根据盈老请字［2018］14号文件，安排太平镇老年大学工作经费1万元，科目为2080501，主要用于加强老年大学办学力度，提高离退休老干业余活动建设工作。</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六、政府采购预算情况</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根据《中华人民共和国政府采购法》的有关规定，编制了政府采购预算，共涉及采购项目2个，采购预算资金10.5万元。</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七、预算收支增减变化情况说明</w:t>
      </w:r>
    </w:p>
    <w:p>
      <w:pPr>
        <w:widowControl/>
        <w:ind w:firstLine="450" w:firstLineChars="15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（一）部门“三公”经费增减变化情况及原因说明</w:t>
      </w:r>
    </w:p>
    <w:p>
      <w:pPr>
        <w:spacing w:line="620" w:lineRule="exact"/>
        <w:ind w:firstLine="600" w:firstLineChars="200"/>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2019年一般公共预算三公经费支出41.80万元，与上预算数41.80万元持平，无增减。其中：因公出国（境）经费0万元，与上年持平；公务接待费19.90万元，与上年19.90万元持平，无增减，公务用车购置及运行维护费21.90万元，其中：购置经费0万元，与上年持平，运行维护费21.90万元，与上年21.90万元持平，无增减。</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八、其他公开信息</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（一）专业名词解释</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1.财政拨款（补助）收入指财政部门当年拨付的资金。</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2、基本支出指为保障机构正常运转、完成日常工作任务而发生的人员支出和公用支出。</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项目支出指在基本支出之外为完成相关行政任务和事业发展目标所发生的支出。 </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3、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4、“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5、一般公共预算是对以税收为主体的财政收入，安排用于保障和改善民生、推动经济社会发展、维护国家安全、维护国家机构正常运转等方面的收支预算。</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6、非税收入是各级政府及其所属部门和单位依法利用行政权力、政府信誉、国家资源、国有资产或提供特定公共服务征收、收取、提取、募集的除税收和政府债务收入以外的财政收入。</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7、工资福利支出反映单位开支的在职职工和编制外长期聘用人员的各类劳动报酬，以及为上述人员缴纳的各项社会保险费等。</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8、商品和服务支出反映单位购买商品和服务的支出（不包括用于购置固定资产的支出、战略性和应急储备支出）。</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9、对个人和家庭的补助反映政府用于对个人和家庭的补助支出。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10、政府采购是指各级国家机关、事业单位和团体组织，使用财政性资金采购依法制定的集中采购目录以内的或者采购限额标准以上的货物、工程和服务的行为。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（二）机关运行经费安排</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太平镇2019年部门预算机关运行经费支出33.05万元，主要原因分析：部门机关运行经费主要用于人大、党委、政府、纪委、文化站、农业、林业、水利等部门日常运转支出。</w:t>
      </w:r>
    </w:p>
    <w:p>
      <w:pPr>
        <w:widowControl/>
        <w:numPr>
          <w:ilvl w:val="0"/>
          <w:numId w:val="4"/>
        </w:numPr>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国有资产占用情况</w:t>
      </w:r>
    </w:p>
    <w:p>
      <w:pPr>
        <w:widowControl/>
        <w:ind w:firstLine="6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numPr>
          <w:ilvl w:val="0"/>
          <w:numId w:val="4"/>
        </w:numPr>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本部门预算绩效情况说明</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2019年度我单位对项目开始填报项目绩效目标表，如实反映我镇项目的年度总体绩效目标和具体绩效指标，具体到资金用途、使用效益和使用计划，合理做好政府预算支出经济分类科目和部门预算支出经济分类科目的资金安排，最终在资金下达后合理使用，做到专款专用。</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 xml:space="preserve"> 2019年度我单位整体支出绩效目标实现完成，每一笔项目在资金下达前均填报项目绩效目标表，并合理使用资金。</w:t>
      </w:r>
    </w:p>
    <w:p>
      <w:pPr>
        <w:widowControl/>
        <w:ind w:firstLine="600" w:firstLineChars="200"/>
        <w:jc w:val="left"/>
        <w:rPr>
          <w:rFonts w:ascii="方正仿宋_GBK" w:hAnsi="方正仿宋_GBK" w:eastAsia="方正仿宋_GBK" w:cs="方正仿宋_GBK"/>
          <w:kern w:val="0"/>
          <w:sz w:val="30"/>
          <w:szCs w:val="30"/>
        </w:rPr>
      </w:pPr>
      <w:r>
        <w:rPr>
          <w:rFonts w:hint="eastAsia" w:ascii="方正仿宋_GBK" w:hAnsi="方正仿宋_GBK" w:eastAsia="方正仿宋_GBK" w:cs="方正仿宋_GBK"/>
          <w:kern w:val="0"/>
          <w:sz w:val="30"/>
          <w:szCs w:val="30"/>
        </w:rPr>
        <w:t>如街道村脱贫攻坚工作经费，总体绩效目标为用于街道村开展脱贫攻坚工作，助推街道村脱贫。资金使用效益为节约，有效率，专款专用，将资金使用落到实处。项目绩效目标能很好地对资金使用进行前期规划，起到预算作用。</w:t>
      </w:r>
    </w:p>
    <w:p>
      <w:pPr>
        <w:widowControl/>
        <w:jc w:val="left"/>
        <w:rPr>
          <w:rFonts w:ascii="楷体_GB2312" w:eastAsia="楷体_GB2312"/>
          <w:kern w:val="0"/>
          <w:sz w:val="30"/>
          <w:szCs w:val="30"/>
        </w:rPr>
      </w:pPr>
    </w:p>
    <w:p>
      <w:pPr>
        <w:widowControl/>
        <w:ind w:firstLine="600" w:firstLineChars="200"/>
        <w:jc w:val="left"/>
        <w:rPr>
          <w:rFonts w:eastAsia="仿宋_GB2312"/>
          <w:kern w:val="0"/>
          <w:sz w:val="30"/>
          <w:szCs w:val="30"/>
        </w:rPr>
      </w:pPr>
    </w:p>
    <w:p>
      <w:pPr>
        <w:widowControl/>
        <w:ind w:firstLine="6000" w:firstLineChars="2000"/>
        <w:jc w:val="left"/>
        <w:rPr>
          <w:rFonts w:eastAsia="仿宋_GB2312"/>
          <w:kern w:val="0"/>
          <w:sz w:val="30"/>
          <w:szCs w:val="30"/>
        </w:rPr>
      </w:pPr>
      <w:r>
        <w:rPr>
          <w:rFonts w:hint="eastAsia" w:eastAsia="仿宋_GB2312"/>
          <w:kern w:val="0"/>
          <w:sz w:val="30"/>
          <w:szCs w:val="30"/>
        </w:rPr>
        <w:t>太平镇人民政府</w:t>
      </w:r>
    </w:p>
    <w:p>
      <w:pPr>
        <w:widowControl/>
        <w:ind w:firstLine="6000" w:firstLineChars="2000"/>
        <w:jc w:val="left"/>
        <w:rPr>
          <w:rFonts w:eastAsia="仿宋_GB2312"/>
          <w:kern w:val="0"/>
          <w:sz w:val="30"/>
          <w:szCs w:val="30"/>
        </w:rPr>
      </w:pPr>
      <w:r>
        <w:rPr>
          <w:rFonts w:hint="eastAsia" w:eastAsia="仿宋_GB2312"/>
          <w:kern w:val="0"/>
          <w:sz w:val="30"/>
          <w:szCs w:val="30"/>
        </w:rPr>
        <w:t>2019年4月28日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1BB"/>
    <w:rsid w:val="00011F4A"/>
    <w:rsid w:val="00012FB3"/>
    <w:rsid w:val="00013C70"/>
    <w:rsid w:val="00014D4F"/>
    <w:rsid w:val="000152A5"/>
    <w:rsid w:val="000237AB"/>
    <w:rsid w:val="0003248D"/>
    <w:rsid w:val="00034005"/>
    <w:rsid w:val="0005317B"/>
    <w:rsid w:val="000543CA"/>
    <w:rsid w:val="00054EA9"/>
    <w:rsid w:val="000559B2"/>
    <w:rsid w:val="00060B5F"/>
    <w:rsid w:val="00063177"/>
    <w:rsid w:val="00064C37"/>
    <w:rsid w:val="00070204"/>
    <w:rsid w:val="00070EC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A21"/>
    <w:rsid w:val="00157BA7"/>
    <w:rsid w:val="00160825"/>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04C8"/>
    <w:rsid w:val="001D120C"/>
    <w:rsid w:val="001E03BD"/>
    <w:rsid w:val="001E2F23"/>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14BD"/>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37605"/>
    <w:rsid w:val="004403B5"/>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0D61"/>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70EBD"/>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0440D"/>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A7D04"/>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4F95"/>
    <w:rsid w:val="00EE6EB1"/>
    <w:rsid w:val="00EF43D5"/>
    <w:rsid w:val="00EF4E23"/>
    <w:rsid w:val="00EF691D"/>
    <w:rsid w:val="00EF6B80"/>
    <w:rsid w:val="00F0000C"/>
    <w:rsid w:val="00F002E5"/>
    <w:rsid w:val="00F03838"/>
    <w:rsid w:val="00F03945"/>
    <w:rsid w:val="00F04C86"/>
    <w:rsid w:val="00F0598E"/>
    <w:rsid w:val="00F11D4E"/>
    <w:rsid w:val="00F12CC8"/>
    <w:rsid w:val="00F20765"/>
    <w:rsid w:val="00F20D44"/>
    <w:rsid w:val="00F238CE"/>
    <w:rsid w:val="00F24EE1"/>
    <w:rsid w:val="00F328D8"/>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B77A2F"/>
    <w:rsid w:val="11F03316"/>
    <w:rsid w:val="16A9644B"/>
    <w:rsid w:val="170E17CA"/>
    <w:rsid w:val="17B54F2B"/>
    <w:rsid w:val="1A0B3DDD"/>
    <w:rsid w:val="39466C4F"/>
    <w:rsid w:val="497D2806"/>
    <w:rsid w:val="53041D03"/>
    <w:rsid w:val="552950AD"/>
    <w:rsid w:val="640C4E1C"/>
    <w:rsid w:val="724A4A01"/>
    <w:rsid w:val="763D77F5"/>
    <w:rsid w:val="76C544D3"/>
    <w:rsid w:val="7B0B02C1"/>
    <w:rsid w:val="7B1722CF"/>
    <w:rsid w:val="7EC50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15</Pages>
  <Words>1132</Words>
  <Characters>6455</Characters>
  <Lines>53</Lines>
  <Paragraphs>15</Paragraphs>
  <TotalTime>1</TotalTime>
  <ScaleCrop>false</ScaleCrop>
  <LinksUpToDate>false</LinksUpToDate>
  <CharactersWithSpaces>7572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2024-07-15T01:34:17Z</dcterms:modified>
  <dc:title>年部门预算编制说明</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3222EDD4AFD041588551E66A0964968C</vt:lpwstr>
  </property>
</Properties>
</file>