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eastAsia="楷体_GB2312"/>
          <w:sz w:val="28"/>
          <w:szCs w:val="28"/>
        </w:rPr>
      </w:pPr>
      <w:r>
        <w:rPr>
          <w:rFonts w:hint="eastAsia" w:eastAsia="楷体_GB2312"/>
          <w:sz w:val="28"/>
          <w:szCs w:val="28"/>
        </w:rPr>
        <w:t>县十七届人大五次会议</w:t>
      </w:r>
    </w:p>
    <w:p>
      <w:pPr>
        <w:spacing w:line="400" w:lineRule="exact"/>
        <w:rPr>
          <w:rFonts w:eastAsia="楷体_GB2312"/>
          <w:sz w:val="28"/>
          <w:szCs w:val="28"/>
        </w:rPr>
      </w:pPr>
      <w:r>
        <w:rPr>
          <w:rFonts w:eastAsia="楷体_GB2312"/>
          <w:sz w:val="28"/>
          <w:szCs w:val="28"/>
        </w:rPr>
        <w:t>会</w:t>
      </w:r>
      <w:r>
        <w:rPr>
          <w:rFonts w:hint="eastAsia" w:eastAsia="楷体_GB2312"/>
          <w:sz w:val="28"/>
          <w:szCs w:val="28"/>
        </w:rPr>
        <w:t xml:space="preserve"> </w:t>
      </w:r>
      <w:r>
        <w:rPr>
          <w:rFonts w:eastAsia="楷体_GB2312"/>
          <w:sz w:val="28"/>
          <w:szCs w:val="28"/>
        </w:rPr>
        <w:t>议</w:t>
      </w:r>
      <w:r>
        <w:rPr>
          <w:rFonts w:hint="eastAsia" w:eastAsia="楷体_GB2312"/>
          <w:sz w:val="28"/>
          <w:szCs w:val="28"/>
        </w:rPr>
        <w:t xml:space="preserve"> </w:t>
      </w:r>
      <w:r>
        <w:rPr>
          <w:rFonts w:eastAsia="楷体_GB2312"/>
          <w:sz w:val="28"/>
          <w:szCs w:val="28"/>
        </w:rPr>
        <w:t>文</w:t>
      </w:r>
      <w:r>
        <w:rPr>
          <w:rFonts w:hint="eastAsia" w:eastAsia="楷体_GB2312"/>
          <w:sz w:val="28"/>
          <w:szCs w:val="28"/>
        </w:rPr>
        <w:t xml:space="preserve"> </w:t>
      </w:r>
      <w:r>
        <w:rPr>
          <w:rFonts w:eastAsia="楷体_GB2312"/>
          <w:sz w:val="28"/>
          <w:szCs w:val="28"/>
        </w:rPr>
        <w:t xml:space="preserve">件 </w:t>
      </w:r>
      <w:r>
        <w:rPr>
          <w:rFonts w:hint="eastAsia" w:eastAsia="楷体_GB2312"/>
          <w:sz w:val="28"/>
          <w:szCs w:val="28"/>
        </w:rPr>
        <w:t>（十八）</w:t>
      </w:r>
    </w:p>
    <w:p>
      <w:pPr>
        <w:spacing w:line="400" w:lineRule="exact"/>
        <w:rPr>
          <w:rFonts w:eastAsia="楷体_GB2312"/>
          <w:sz w:val="28"/>
          <w:szCs w:val="28"/>
        </w:rPr>
      </w:pPr>
    </w:p>
    <w:p>
      <w:pPr>
        <w:spacing w:line="600" w:lineRule="exact"/>
        <w:jc w:val="center"/>
        <w:rPr>
          <w:rFonts w:eastAsia="方正小标宋简体"/>
          <w:sz w:val="28"/>
          <w:szCs w:val="28"/>
        </w:rPr>
      </w:pPr>
      <w:r>
        <w:rPr>
          <w:rFonts w:eastAsia="方正小标宋简体"/>
          <w:sz w:val="28"/>
          <w:szCs w:val="28"/>
        </w:rPr>
        <w:t>盈江县20</w:t>
      </w:r>
      <w:r>
        <w:rPr>
          <w:rFonts w:hint="eastAsia" w:eastAsia="方正小标宋简体"/>
          <w:sz w:val="28"/>
          <w:szCs w:val="28"/>
        </w:rPr>
        <w:t>20</w:t>
      </w:r>
      <w:r>
        <w:rPr>
          <w:rFonts w:eastAsia="方正小标宋简体"/>
          <w:sz w:val="28"/>
          <w:szCs w:val="28"/>
        </w:rPr>
        <w:t>年财政预算草案编制说明</w:t>
      </w:r>
    </w:p>
    <w:p>
      <w:pPr>
        <w:spacing w:line="600" w:lineRule="exact"/>
        <w:jc w:val="center"/>
        <w:rPr>
          <w:rStyle w:val="12"/>
          <w:rFonts w:hint="default" w:eastAsia="楷体_GB2312"/>
        </w:rPr>
      </w:pPr>
      <w:r>
        <w:rPr>
          <w:rStyle w:val="11"/>
          <w:rFonts w:eastAsia="楷体_GB2312"/>
        </w:rPr>
        <w:t>——20</w:t>
      </w:r>
      <w:r>
        <w:rPr>
          <w:rStyle w:val="11"/>
          <w:rFonts w:hint="eastAsia" w:eastAsia="楷体_GB2312"/>
        </w:rPr>
        <w:t>20</w:t>
      </w:r>
      <w:r>
        <w:rPr>
          <w:rStyle w:val="12"/>
          <w:rFonts w:hint="default" w:eastAsia="楷体_GB2312"/>
        </w:rPr>
        <w:t>年1月17日在盈江县第十七届人民代表大会</w:t>
      </w:r>
    </w:p>
    <w:p>
      <w:pPr>
        <w:spacing w:line="600" w:lineRule="exact"/>
        <w:jc w:val="center"/>
        <w:rPr>
          <w:rFonts w:eastAsia="楷体_GB2312"/>
          <w:sz w:val="28"/>
          <w:szCs w:val="28"/>
        </w:rPr>
      </w:pPr>
      <w:r>
        <w:rPr>
          <w:rStyle w:val="12"/>
          <w:rFonts w:hint="default" w:eastAsia="楷体_GB2312"/>
        </w:rPr>
        <w:t>第五次会议上</w:t>
      </w:r>
    </w:p>
    <w:p>
      <w:pPr>
        <w:spacing w:line="400" w:lineRule="exact"/>
        <w:jc w:val="center"/>
        <w:rPr>
          <w:rFonts w:eastAsia="楷体_GB2312"/>
          <w:sz w:val="28"/>
          <w:szCs w:val="28"/>
        </w:rPr>
      </w:pPr>
      <w:r>
        <w:rPr>
          <w:rFonts w:eastAsia="楷体_GB2312"/>
          <w:sz w:val="28"/>
          <w:szCs w:val="28"/>
        </w:rPr>
        <w:t>盈江县财政局</w:t>
      </w:r>
    </w:p>
    <w:p>
      <w:pPr>
        <w:pStyle w:val="2"/>
        <w:keepNext w:val="0"/>
        <w:keepLines w:val="0"/>
        <w:spacing w:before="0" w:after="0" w:line="600" w:lineRule="exact"/>
        <w:ind w:right="-50" w:rightChars="-24" w:firstLine="560" w:firstLineChars="200"/>
        <w:jc w:val="left"/>
        <w:rPr>
          <w:rFonts w:ascii="Times New Roman" w:hAnsi="Times New Roman" w:eastAsia="方正仿宋_GBK"/>
          <w:b w:val="0"/>
          <w:color w:val="000000"/>
          <w:sz w:val="28"/>
          <w:szCs w:val="28"/>
        </w:rPr>
      </w:pP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2019年，面对严峻复杂的经济形势，在县委的坚强领导下，在县人大及其常委会的依法监督和县政协的民主监督下，全县各部门认真落实县第十七届人民代表大会第三次会议及县第十七届人大常委会第二十四次会议的各项决议，坚持稳中求进工作总基调，全面深化财税体制改革，妥善应对多重风险和挑战，全县财政运行总体平稳。</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 xml:space="preserve">2020年，在科学测算全年收入的基础上，根据县委、人大、政府相关决定、决议、意见和工作安排，结合各部门提出的支出需求，统筹全年县级可以财力，编制《2020年度财政预算草案》，现就有关情况作如下说明：  </w:t>
      </w:r>
    </w:p>
    <w:p>
      <w:pPr>
        <w:spacing w:line="560" w:lineRule="exact"/>
        <w:ind w:firstLine="562" w:firstLineChars="200"/>
        <w:rPr>
          <w:rFonts w:ascii="方正仿宋_GBK" w:hAnsi="Calibri" w:eastAsia="方正仿宋_GBK"/>
          <w:b/>
          <w:color w:val="000000"/>
          <w:sz w:val="28"/>
          <w:szCs w:val="28"/>
        </w:rPr>
      </w:pPr>
      <w:r>
        <w:rPr>
          <w:rFonts w:hint="eastAsia" w:ascii="方正仿宋_GBK" w:hAnsi="Calibri" w:eastAsia="方正仿宋_GBK"/>
          <w:b/>
          <w:color w:val="000000"/>
          <w:sz w:val="28"/>
          <w:szCs w:val="28"/>
        </w:rPr>
        <w:t>一、2020年财政收入目标</w:t>
      </w:r>
    </w:p>
    <w:p>
      <w:pPr>
        <w:spacing w:line="560" w:lineRule="exact"/>
        <w:ind w:firstLine="560" w:firstLineChars="200"/>
        <w:rPr>
          <w:rFonts w:ascii="方正仿宋_GBK" w:hAnsi="Calibri" w:eastAsia="方正仿宋_GBK"/>
          <w:color w:val="000000"/>
          <w:sz w:val="28"/>
          <w:szCs w:val="28"/>
        </w:rPr>
      </w:pPr>
      <w:bookmarkStart w:id="0" w:name="OLE_LINK1"/>
      <w:r>
        <w:rPr>
          <w:rFonts w:hint="eastAsia" w:ascii="方正仿宋_GBK" w:hAnsi="Calibri" w:eastAsia="方正仿宋_GBK"/>
          <w:color w:val="000000"/>
          <w:sz w:val="28"/>
          <w:szCs w:val="28"/>
        </w:rPr>
        <w:t>2020年，综合考虑全年税源实际，一般公共预算收入确定为57,780万元，增长10%。</w:t>
      </w:r>
    </w:p>
    <w:bookmarkEnd w:id="0"/>
    <w:p>
      <w:pPr>
        <w:spacing w:line="560" w:lineRule="exact"/>
        <w:ind w:firstLine="562" w:firstLineChars="200"/>
        <w:rPr>
          <w:rFonts w:ascii="方正仿宋_GBK" w:hAnsi="Calibri" w:eastAsia="方正仿宋_GBK"/>
          <w:b/>
          <w:color w:val="000000"/>
          <w:sz w:val="28"/>
          <w:szCs w:val="28"/>
        </w:rPr>
      </w:pPr>
      <w:r>
        <w:rPr>
          <w:rFonts w:hint="eastAsia" w:ascii="方正仿宋_GBK" w:hAnsi="Calibri" w:eastAsia="方正仿宋_GBK"/>
          <w:b/>
          <w:color w:val="000000"/>
          <w:sz w:val="28"/>
          <w:szCs w:val="28"/>
        </w:rPr>
        <w:t>二、预算安排原则</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全面落实县委决策部署，以适应推进供给侧结构性改革、降低企业税费负担、保障民生兜底性需要为引导，体现更加积极的财政政策。收入预算与经济发展相适应、与财税政策相衔接；支出预算在保工资、保运转、保还本付息的基础上，从严控制一般性支出，重点保障脱贫攻坚、改善民生福祉和各项改革政策落实。</w:t>
      </w:r>
    </w:p>
    <w:p>
      <w:pPr>
        <w:spacing w:line="560" w:lineRule="exact"/>
        <w:ind w:firstLine="562" w:firstLineChars="200"/>
        <w:rPr>
          <w:rFonts w:ascii="方正仿宋_GBK" w:hAnsi="Calibri" w:eastAsia="方正仿宋_GBK"/>
          <w:b/>
          <w:color w:val="000000"/>
          <w:sz w:val="28"/>
          <w:szCs w:val="28"/>
        </w:rPr>
      </w:pPr>
      <w:r>
        <w:rPr>
          <w:rFonts w:hint="eastAsia" w:ascii="方正仿宋_GBK" w:hAnsi="Calibri" w:eastAsia="方正仿宋_GBK"/>
          <w:b/>
          <w:color w:val="000000"/>
          <w:sz w:val="28"/>
          <w:szCs w:val="28"/>
        </w:rPr>
        <w:t>三、收入预算安排情况</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2020年财政收入预算为330,443.3万元。其中：一般公共预算收入57,780万元，转移性收入272,663.3万元。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转移性收入272,663.3万元具体包括：</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（一）返还性收入4,436万元；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 xml:space="preserve">1. 所得税基数返还收入798万元； </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2. 增值税税收返还收入4,326万元；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3. 消费税税收返还271</w:t>
      </w:r>
      <w:bookmarkStart w:id="1" w:name="_GoBack"/>
      <w:r>
        <w:rPr>
          <w:rFonts w:hint="eastAsia" w:ascii="方正仿宋_GBK" w:hAnsi="Calibri" w:eastAsia="方正仿宋_GBK"/>
          <w:color w:val="000000"/>
          <w:sz w:val="28"/>
          <w:szCs w:val="28"/>
        </w:rPr>
        <w:t>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4.增值税“五五分享”税</w:t>
      </w:r>
      <w:bookmarkEnd w:id="1"/>
      <w:r>
        <w:rPr>
          <w:rFonts w:hint="eastAsia" w:ascii="方正仿宋_GBK" w:hAnsi="Calibri" w:eastAsia="方正仿宋_GBK"/>
          <w:color w:val="000000"/>
          <w:sz w:val="28"/>
          <w:szCs w:val="28"/>
        </w:rPr>
        <w:t>收返还收入-959万元。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（二）一般性转移支付收入173,770.3万元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1.体制补助收入3,330万元；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2.均衡性转移支付收入33,454万元；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3.县级基本财力保障机制奖补资金收入7,085万元；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4.结算补助收入1,329万元；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5.企业事业单位划转补助收入740万元；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6.城乡义务教育转移支付收入1,213万元；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7.城乡居民医疗保险转移支付收入84万元；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8.重点生态功能区转移支付收入5,310万元；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9.固定数额补助收入13,352万元；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10.民族地区转移支付收入2,114万元；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11.边境地区转移支付收入14,503万元；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12.贫困地区转移支付收入1,571万元；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13.其他一般性转移支付收入89,685.3万元。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（三）专项转移支付收入33,585万元。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（四）上年结余结转收入13,110万元。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（五）调入资金45,633万元。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（六）动用预算稳定调节基金2,129万元。</w:t>
      </w:r>
    </w:p>
    <w:p>
      <w:pPr>
        <w:spacing w:line="560" w:lineRule="exact"/>
        <w:ind w:firstLine="562" w:firstLineChars="200"/>
        <w:rPr>
          <w:rFonts w:ascii="方正仿宋_GBK" w:hAnsi="Calibri" w:eastAsia="方正仿宋_GBK"/>
          <w:b/>
          <w:color w:val="000000"/>
          <w:sz w:val="28"/>
          <w:szCs w:val="28"/>
        </w:rPr>
      </w:pPr>
      <w:r>
        <w:rPr>
          <w:rFonts w:hint="eastAsia" w:ascii="方正仿宋_GBK" w:hAnsi="Calibri" w:eastAsia="方正仿宋_GBK"/>
          <w:b/>
          <w:color w:val="000000"/>
          <w:sz w:val="28"/>
          <w:szCs w:val="28"/>
        </w:rPr>
        <w:t>四、支出预算编制情况</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根据各项事业发展及县委、县政府确定的重点工作需要，结合财力实际，2020年公共财政支出预算安排为330,443.3万元。其中：一般公共预算支出299,000.3万元，上解上级支出7,000万元，债券还本支出24,443万元。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（一）人员经费及运转支出164598.3万元。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1.“保工资”支出142,240.43万元，其中：在职人员工资88,834.</w:t>
      </w:r>
      <w:r>
        <w:rPr>
          <w:rFonts w:ascii="方正仿宋_GBK" w:hAnsi="Calibri" w:eastAsia="方正仿宋_GBK"/>
          <w:color w:val="000000"/>
          <w:sz w:val="28"/>
          <w:szCs w:val="28"/>
        </w:rPr>
        <w:t>43</w:t>
      </w:r>
      <w:r>
        <w:rPr>
          <w:rFonts w:hint="eastAsia" w:ascii="方正仿宋_GBK" w:hAnsi="Calibri" w:eastAsia="方正仿宋_GBK"/>
          <w:color w:val="000000"/>
          <w:sz w:val="28"/>
          <w:szCs w:val="28"/>
        </w:rPr>
        <w:t>万元（含年终一次性奖金3,000万元、2019年度公务员嘉奖和三等功奖励资金60万元），事业单位绩效工资6,000万元，乡村教师生活补助1,800万元；随工资计提的附加支出30,183.9万元，其中，机关事业单位基本养老保险单位缴费部分11,340万元，职业年金42万元、医疗保险9,767万元（含国家公务员医疗补助4,035.9万元、大病医疗保险281.7万元、离休人员医疗统筹费50.4万元、</w:t>
      </w:r>
      <w:r>
        <w:rPr>
          <w:rFonts w:hint="eastAsia" w:ascii="方正仿宋_GBK" w:hAnsi="Calibri" w:eastAsia="方正仿宋_GBK"/>
          <w:color w:val="000000"/>
          <w:sz w:val="28"/>
          <w:szCs w:val="28"/>
          <w:lang w:eastAsia="zh-CN"/>
        </w:rPr>
        <w:t>中华人民共和国成立</w:t>
      </w:r>
      <w:r>
        <w:rPr>
          <w:rFonts w:hint="eastAsia" w:ascii="方正仿宋_GBK" w:hAnsi="Calibri" w:eastAsia="方正仿宋_GBK"/>
          <w:color w:val="000000"/>
          <w:sz w:val="28"/>
          <w:szCs w:val="28"/>
        </w:rPr>
        <w:t>初期参加革命工作的退休干部门诊医疗费7.4万元、城镇职工医疗保险事业3,114.9万元、城镇职工基本医疗保险行政2,164.6万元）；工伤保险98.4万元、生育保险248.5万元、2020年应拼失业保险316万元、工会经费1,360万元、住房公积金7,122万元；差额单位工资支出2,653万元，其中，县医院80%部分1,948万元、县中医院80%部分617万元；离退休费人员统筹外养老金7,873万元、离休人员支出118万元；在职村干部绩效考评奖403.</w:t>
      </w:r>
      <w:r>
        <w:rPr>
          <w:sz w:val="28"/>
          <w:szCs w:val="28"/>
        </w:rPr>
        <w:t xml:space="preserve"> </w:t>
      </w:r>
      <w:r>
        <w:rPr>
          <w:rFonts w:ascii="方正仿宋_GBK" w:hAnsi="Calibri" w:eastAsia="方正仿宋_GBK"/>
          <w:color w:val="000000"/>
          <w:sz w:val="28"/>
          <w:szCs w:val="28"/>
        </w:rPr>
        <w:t>12</w:t>
      </w:r>
      <w:r>
        <w:rPr>
          <w:rFonts w:hint="eastAsia" w:ascii="方正仿宋_GBK" w:hAnsi="Calibri" w:eastAsia="方正仿宋_GBK"/>
          <w:color w:val="000000"/>
          <w:sz w:val="28"/>
          <w:szCs w:val="28"/>
        </w:rPr>
        <w:t>万元；村社区干部补贴1,742万元；西部志愿者工作生活补贴73万元；2019年度综合绩效考评奖励资金2,500万元。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2.“保运转”支出4,997万元。其中：机关运转经费4,275万元、97个村委会办公经费291万元，6个社区居委会30万元，5个农场片区办事处（执行社区居委会标准）办公经费25万元，704个村（居）民小组党支部活动经费211.2万元，退休人员运转经费163万元，离休8人运转经费1.36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3.“保基本民生”支出10,360.87万元。其中：预留丧葬抚恤费1,000万元、离退休人员建房补助费855.3万元，公安局警务辅助人员429人补助1,081万元、看守所在押人员450人补助178.2万元、拘留人员150人补助29.7万元、三非人员100人补助39.6万元、社区戒毒人员500人补助219万元；交警大队警务辅助人员61人补助153.8万元、3名调解员补助5.4万元；敬老院临工35人补助98.7万元等定额人员补助6,700.17万元（定额人员27,698人）</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4.预留非税收入执收执法工作经费7,000万元。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（二）固定用途的一般性转移支付收入对应安排的支出6,418万元。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（三）专项转移支付补助收入对应安排的支出33,585万元。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（四）2019年预拨经费列支45,653万元。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（五）2019年结余结转项目对应安排的支出13,110万元。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六）事业发展支出60,078.98万元。除安排各乡镇党组织建设、团组织、关工委、工会、妇联，乡镇卫生院基本公共卫生服务、建档立卡户家庭医生签约服务费以及部分县委、县人大、县政府会议纪要所必须经费外，重点安排以下支出：教育费附加支出（其中：补下2019年804万元，2020年预计1,500万元），义务教育“全面改薄”县级配套资金1,665万元，人大代表议案专项经费200万元，政协委员提案专项经费200万元，重大民族节日活动经费510万元，预留项目前期费800万元，归还向宏康公司借入企业债券资金用于允燕大道建设（本金9,232.5万元、利息1,850.2万元），债券利息支出4,897万元，创业贷款、CD级危房改造、坚果致富贷款、养殖贷款等贴息1,400万元，预留领导基金279万元，预备费3,000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（七）转移性支出7,000万元，全部为上解省级支出。</w:t>
      </w:r>
    </w:p>
    <w:p>
      <w:pPr>
        <w:spacing w:line="560" w:lineRule="exact"/>
        <w:ind w:firstLine="562" w:firstLineChars="200"/>
        <w:rPr>
          <w:rFonts w:ascii="方正仿宋_GBK" w:hAnsi="Calibri" w:eastAsia="方正仿宋_GBK"/>
          <w:b/>
          <w:color w:val="000000"/>
          <w:sz w:val="28"/>
          <w:szCs w:val="28"/>
        </w:rPr>
      </w:pPr>
      <w:r>
        <w:rPr>
          <w:rFonts w:hint="eastAsia" w:ascii="方正仿宋_GBK" w:hAnsi="Calibri" w:eastAsia="方正仿宋_GBK"/>
          <w:b/>
          <w:color w:val="000000"/>
          <w:sz w:val="28"/>
          <w:szCs w:val="28"/>
        </w:rPr>
        <w:t>五、基本支出定额情况（县级安排部分）</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（一）政法部门保障经费</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按照《云南省州（市）级和县级政法机关经费保障标准》（云财行〔2009〕464号）规定执行。</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（二）学校公用经费</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县幼儿园、职业高级中学100元/生.年；中小学校（含特殊教育）按教师在职人数400元/人.年以及按13元/生.年安排；第一高级中学和民族完全中学高中学生从2020年起按1,200元/生.年。</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三）乡镇、县直各行政事业单位公用经费在执行《盈江县人民政府关于印发盈江县2010-2012年县级预算单位保障经费预算支出和非税收入管理暂行办法的通知》（盈政发〔2009〕419号）标准时下调10%，平原、旧城、太平、新城、弄璋五个坝区乡镇按编制内实有在职人员3,150元/人.年安排，其他山区乡镇按编制内实有在职人员5,850元/人.年安排；县委政法委、纪检监察机关公用经费按21,600元/人.年安排；县委、县人大、县政府、县政协机关公用经费按18,000元/人.年安排；其他县直行政、事业单位：单位人数在10人以下（含10人）按7,200元/人.年安排，11人以上20人以下（含20人）按5,400元/人.年安排，21人以上100人以下（含100人）按4,500元/人.年安排，101人以上按3,600元/人.年安排。</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（四）离退休人员公用经费</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离休人员：地厅级和专业技术人员中的正、副高职离休干部1,900元/人.年；县处级和专业技术人员中的中职离休干部1,800元/人.年；县处级以下和专业技术人员中的初职离休干部1,700元/人.年。</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退休人员：600元/人.年。</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（五）离休干部特需经费：1,000元/人.年。</w:t>
      </w:r>
    </w:p>
    <w:p>
      <w:pPr>
        <w:spacing w:line="560" w:lineRule="exact"/>
        <w:ind w:firstLine="562" w:firstLineChars="200"/>
        <w:rPr>
          <w:rFonts w:ascii="方正仿宋_GBK" w:hAnsi="Calibri" w:eastAsia="方正仿宋_GBK"/>
          <w:b/>
          <w:color w:val="000000"/>
          <w:sz w:val="28"/>
          <w:szCs w:val="28"/>
        </w:rPr>
      </w:pPr>
      <w:r>
        <w:rPr>
          <w:rFonts w:hint="eastAsia" w:ascii="方正仿宋_GBK" w:hAnsi="Calibri" w:eastAsia="方正仿宋_GBK"/>
          <w:b/>
          <w:color w:val="000000"/>
          <w:sz w:val="28"/>
          <w:szCs w:val="28"/>
        </w:rPr>
        <w:t>六、其他需要说明的重要问题</w:t>
      </w:r>
    </w:p>
    <w:p>
      <w:pPr>
        <w:spacing w:line="560" w:lineRule="exact"/>
        <w:rPr>
          <w:rFonts w:ascii="方正仿宋_GBK" w:hAnsi="Calibri" w:eastAsia="方正仿宋_GBK"/>
          <w:color w:val="000000"/>
          <w:sz w:val="28"/>
          <w:szCs w:val="28"/>
        </w:rPr>
      </w:pPr>
      <w:r>
        <w:rPr>
          <w:rFonts w:hint="eastAsia" w:ascii="方正仿宋_GBK" w:hAnsi="Calibri" w:eastAsia="方正仿宋_GBK"/>
          <w:color w:val="000000"/>
          <w:sz w:val="28"/>
          <w:szCs w:val="28"/>
        </w:rPr>
        <w:t xml:space="preserve">    （一）关于2019年财政预算收支平衡情况</w:t>
      </w:r>
    </w:p>
    <w:p>
      <w:pPr>
        <w:spacing w:line="560" w:lineRule="exact"/>
        <w:rPr>
          <w:rFonts w:ascii="方正仿宋_GBK" w:hAnsi="Calibri" w:eastAsia="方正仿宋_GBK"/>
          <w:color w:val="000000"/>
          <w:sz w:val="28"/>
          <w:szCs w:val="28"/>
        </w:rPr>
      </w:pPr>
      <w:r>
        <w:rPr>
          <w:rFonts w:hint="eastAsia" w:ascii="方正仿宋_GBK" w:hAnsi="Calibri" w:eastAsia="方正仿宋_GBK"/>
          <w:color w:val="000000"/>
          <w:sz w:val="28"/>
          <w:szCs w:val="28"/>
        </w:rPr>
        <w:t xml:space="preserve">    1.一般预算平衡前的收支情况</w:t>
      </w:r>
    </w:p>
    <w:p>
      <w:pPr>
        <w:spacing w:line="560" w:lineRule="exact"/>
        <w:ind w:firstLine="562" w:firstLineChars="200"/>
        <w:rPr>
          <w:rFonts w:ascii="方正仿宋_GBK" w:hAnsi="Calibri" w:eastAsia="方正仿宋_GBK"/>
          <w:color w:val="000000"/>
          <w:sz w:val="28"/>
          <w:szCs w:val="28"/>
        </w:rPr>
      </w:pPr>
      <w:r>
        <w:rPr>
          <w:rFonts w:hint="eastAsia" w:ascii="方正仿宋_GBK" w:hAnsi="Calibri" w:eastAsia="方正仿宋_GBK"/>
          <w:b/>
          <w:color w:val="000000"/>
          <w:sz w:val="28"/>
          <w:szCs w:val="28"/>
        </w:rPr>
        <w:t>收入情况：</w:t>
      </w:r>
      <w:r>
        <w:rPr>
          <w:rFonts w:hint="eastAsia" w:ascii="方正仿宋_GBK" w:hAnsi="Calibri" w:eastAsia="方正仿宋_GBK"/>
          <w:color w:val="000000"/>
          <w:sz w:val="28"/>
          <w:szCs w:val="28"/>
        </w:rPr>
        <w:t>盈江县财政总收入297,865万元，其中：一般公共预算收入52,527万元（税收收入20,707万元、非税收入31,820万元）；返还性收入5,087万元；一般性转移支付收入146,709万元；专项补助收入82,935万元；调入资金4,550万元，其中：政府性基金预算调入3,000万元，其他调入1,550万元(国库暂存447万元、存量资金调入1,103万元）；地方政府一般债券转贷收入5,300万元（置换债券收入5,300万元）；动用预算稳定调节基金757万元。</w:t>
      </w:r>
    </w:p>
    <w:p>
      <w:pPr>
        <w:spacing w:line="560" w:lineRule="exact"/>
        <w:ind w:firstLine="562" w:firstLineChars="200"/>
        <w:rPr>
          <w:rFonts w:ascii="方正仿宋_GBK" w:hAnsi="Calibri" w:eastAsia="方正仿宋_GBK"/>
          <w:color w:val="000000"/>
          <w:sz w:val="28"/>
          <w:szCs w:val="28"/>
        </w:rPr>
      </w:pPr>
      <w:r>
        <w:rPr>
          <w:rFonts w:hint="eastAsia" w:ascii="方正仿宋_GBK" w:hAnsi="Calibri" w:eastAsia="方正仿宋_GBK"/>
          <w:b/>
          <w:color w:val="000000"/>
          <w:sz w:val="28"/>
          <w:szCs w:val="28"/>
        </w:rPr>
        <w:t>支出情况：</w:t>
      </w:r>
      <w:r>
        <w:rPr>
          <w:rFonts w:hint="eastAsia" w:ascii="方正仿宋_GBK" w:hAnsi="Calibri" w:eastAsia="方正仿宋_GBK"/>
          <w:color w:val="000000"/>
          <w:sz w:val="28"/>
          <w:szCs w:val="28"/>
        </w:rPr>
        <w:t>盈江县财政总支出553,249万元，其中：一般公共预算支出541,678万元（其中：工资统发支出89,295万元）；上解支出6,271万元；政府债务还本支出5,300万元（置换债券收入5,300万元）。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收支相抵，收入缺口255,384万元。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2.基金预算平衡前收支情况</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收入情况：本级政府性基金收入15,170万元；专项债券对应专项收入214万元；转移性收入2,254万元；地方新增债券收入10,000万元；上年结余68万元；收入合计：27,706万元。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支出情况：政府性基金预算支出29,278万元；上解支出3,624万元；调出资金3,000万元；年终结余1,093万元；支出合计36,995万元。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 xml:space="preserve"> 收支相抵缺口9,289万元。</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3.2019年预算平衡调减本级财力安排的支出情况</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根据</w:t>
      </w:r>
      <w:r>
        <w:rPr>
          <w:rFonts w:hint="eastAsia" w:ascii="方正仿宋_GBK" w:hAnsi="Calibri" w:eastAsia="方正仿宋_GBK"/>
          <w:color w:val="000000"/>
          <w:sz w:val="28"/>
          <w:szCs w:val="28"/>
          <w:lang w:eastAsia="zh-CN"/>
        </w:rPr>
        <w:t>《中华人民共和国预算法》</w:t>
      </w:r>
      <w:r>
        <w:rPr>
          <w:rFonts w:hint="eastAsia" w:ascii="方正仿宋_GBK" w:hAnsi="Calibri" w:eastAsia="方正仿宋_GBK"/>
          <w:color w:val="000000"/>
          <w:sz w:val="28"/>
          <w:szCs w:val="28"/>
        </w:rPr>
        <w:t>第十二条“各级预算应当遵循统筹兼顾、勤俭节约、量力而行、讲求绩效和收支平衡的原则”、第三十五条“地方各级预算按照量入为出、收支平衡的原则编制，除本法另有规定外，不列赤字”的规定......。为确保2019年预算平衡：一是调减支出额度结余211,861万元，其中：2018年及以前年度专项转移支付补30,569万元、2018年及以前年度固定用途一般性转移支付13,906万元、2019年专项转移支付41,486万元、2019年固定用途一般性转移支付38,217万元、2019年本级财力安排的支出项目87,683万元，无法列入2020年预算，各相关预算单位向县财政局提交资金请示文件，经县财政审核后在2020年增加安排支出；二是将45,653万元支出转列预拨经费，列入2020年财政预算安排；三是调减单位指标结余8,196万元（涉农整合及中央禁毒资金），结转2020年预算安排；四是调减未分配2019年一般性转移支付及上级专款指标结余4,913万元，结转2020年预算安排； 五是调减本级预算安排政府性基金额度结余9,089万元，无法列入预算2020年以后年度财政预算安排。</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（二）其他事项</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一是在2020年预算编制中，尽管财政对整体支出采取了最大程度的压减，但由于人员工资、机构运转、债务还本付息等刚性支出需求远超可用财力增长，导致暂用上级专款局面一时难以扭转。2020年预算执行中需通过加大征管力度增加收入，并努力争取上级转移支付实现。预算执行过程中实现的新增财力，必须优先用于化解上年暂用的上级专款和偿还地方政府性债务，确保财政安全运行。</w:t>
      </w:r>
    </w:p>
    <w:p>
      <w:pPr>
        <w:spacing w:line="560" w:lineRule="exact"/>
        <w:ind w:firstLine="560" w:firstLineChars="200"/>
        <w:rPr>
          <w:rFonts w:ascii="方正仿宋_GBK" w:hAnsi="Calibri" w:eastAsia="方正仿宋_GBK"/>
          <w:color w:val="000000"/>
          <w:sz w:val="28"/>
          <w:szCs w:val="28"/>
        </w:rPr>
      </w:pPr>
      <w:r>
        <w:rPr>
          <w:rFonts w:hint="eastAsia" w:ascii="方正仿宋_GBK" w:hAnsi="Calibri" w:eastAsia="方正仿宋_GBK"/>
          <w:color w:val="000000"/>
          <w:sz w:val="28"/>
          <w:szCs w:val="28"/>
        </w:rPr>
        <w:t>二是由于预算年度与人代会召开时差的关系，在编制预算草案和报告期间，省、州、县三级财政正处于对账调整期，因此，《盈江县2019年财政预算执行情况和2020年财政预算草案的报告》中“2019年预算执行情况、2020年上年结余”等有关数据，均为快报数，待与州财政结算后，若有数据、口径发生变动，再专题报告。</w:t>
      </w:r>
    </w:p>
    <w:p>
      <w:pPr>
        <w:adjustRightInd w:val="0"/>
        <w:snapToGrid w:val="0"/>
        <w:spacing w:line="580" w:lineRule="exact"/>
        <w:ind w:firstLine="560" w:firstLineChars="200"/>
        <w:rPr>
          <w:rFonts w:eastAsia="仿宋_GB2312"/>
          <w:sz w:val="28"/>
          <w:szCs w:val="28"/>
        </w:rPr>
      </w:pPr>
      <w:r>
        <w:rPr>
          <w:rFonts w:hint="eastAsia" w:ascii="方正仿宋_GBK" w:hAnsi="Calibri" w:eastAsia="方正仿宋_GBK"/>
          <w:color w:val="000000"/>
          <w:sz w:val="28"/>
          <w:szCs w:val="28"/>
        </w:rPr>
        <w:t>三是按照国有资本经营预算的编制要求，我县目前不具备编制国有资本经营预算的条件，但根据新</w:t>
      </w:r>
      <w:r>
        <w:rPr>
          <w:rFonts w:hint="eastAsia" w:ascii="方正仿宋_GBK" w:hAnsi="Calibri" w:eastAsia="方正仿宋_GBK"/>
          <w:color w:val="000000"/>
          <w:sz w:val="28"/>
          <w:szCs w:val="28"/>
          <w:lang w:eastAsia="zh-CN"/>
        </w:rPr>
        <w:t>《中华人民共和国预算法》</w:t>
      </w:r>
      <w:r>
        <w:rPr>
          <w:rFonts w:hint="eastAsia" w:ascii="方正仿宋_GBK" w:hAnsi="Calibri" w:eastAsia="方正仿宋_GBK"/>
          <w:color w:val="000000"/>
          <w:sz w:val="28"/>
          <w:szCs w:val="28"/>
        </w:rPr>
        <w:t xml:space="preserve">报送全口径财政预算的相关要求，本次会议国有资本经营预算仅报送空表，待条件成熟时再编报。 </w:t>
      </w:r>
      <w:r>
        <w:rPr>
          <w:rFonts w:eastAsia="仿宋_GB2312"/>
          <w:sz w:val="28"/>
          <w:szCs w:val="28"/>
        </w:rPr>
        <w:t xml:space="preserve"> </w:t>
      </w:r>
    </w:p>
    <w:p>
      <w:pPr>
        <w:spacing w:line="400" w:lineRule="exact"/>
        <w:rPr>
          <w:rFonts w:eastAsia="楷体_GB2312"/>
          <w:sz w:val="28"/>
          <w:szCs w:val="28"/>
        </w:rPr>
      </w:pPr>
    </w:p>
    <w:p>
      <w:pPr>
        <w:spacing w:line="400" w:lineRule="exact"/>
        <w:rPr>
          <w:rFonts w:eastAsia="楷体_GB2312"/>
          <w:sz w:val="28"/>
          <w:szCs w:val="28"/>
        </w:rPr>
      </w:pPr>
    </w:p>
    <w:p>
      <w:pPr>
        <w:spacing w:line="400" w:lineRule="exact"/>
        <w:rPr>
          <w:rFonts w:eastAsia="楷体_GB2312"/>
          <w:sz w:val="28"/>
          <w:szCs w:val="28"/>
        </w:rPr>
      </w:pPr>
    </w:p>
    <w:p>
      <w:pPr>
        <w:spacing w:line="400" w:lineRule="exact"/>
        <w:rPr>
          <w:rFonts w:eastAsia="楷体_GB2312"/>
          <w:sz w:val="28"/>
          <w:szCs w:val="28"/>
        </w:rPr>
      </w:pPr>
    </w:p>
    <w:p>
      <w:pPr>
        <w:spacing w:line="400" w:lineRule="exact"/>
        <w:rPr>
          <w:rFonts w:eastAsia="楷体_GB2312"/>
          <w:sz w:val="28"/>
          <w:szCs w:val="28"/>
        </w:rPr>
      </w:pPr>
    </w:p>
    <w:p>
      <w:pPr>
        <w:spacing w:line="400" w:lineRule="exact"/>
        <w:rPr>
          <w:rFonts w:eastAsia="楷体_GB2312"/>
          <w:sz w:val="28"/>
          <w:szCs w:val="28"/>
        </w:rPr>
      </w:pPr>
    </w:p>
    <w:p>
      <w:pPr>
        <w:rPr>
          <w:sz w:val="28"/>
          <w:szCs w:val="28"/>
        </w:rPr>
      </w:pPr>
    </w:p>
    <w:sectPr>
      <w:headerReference r:id="rId3" w:type="default"/>
      <w:footerReference r:id="rId4" w:type="default"/>
      <w:pgSz w:w="11906" w:h="16838"/>
      <w:pgMar w:top="1757" w:right="1587" w:bottom="1757"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4"/>
        <w:szCs w:val="24"/>
      </w:rPr>
    </w:pPr>
    <w:r>
      <w:rPr>
        <w:rStyle w:val="7"/>
        <w:rFonts w:hint="eastAsia"/>
        <w:sz w:val="24"/>
        <w:szCs w:val="24"/>
      </w:rPr>
      <w:t xml:space="preserve">— </w:t>
    </w:r>
    <w:r>
      <w:rPr>
        <w:rFonts w:ascii="宋体" w:hAnsi="宋体"/>
        <w:sz w:val="24"/>
        <w:szCs w:val="24"/>
      </w:rPr>
      <w:fldChar w:fldCharType="begin"/>
    </w:r>
    <w:r>
      <w:rPr>
        <w:rStyle w:val="7"/>
        <w:sz w:val="24"/>
        <w:szCs w:val="24"/>
      </w:rPr>
      <w:instrText xml:space="preserve">PAGE  </w:instrText>
    </w:r>
    <w:r>
      <w:rPr>
        <w:rFonts w:ascii="宋体" w:hAnsi="宋体"/>
        <w:sz w:val="24"/>
        <w:szCs w:val="24"/>
      </w:rPr>
      <w:fldChar w:fldCharType="separate"/>
    </w:r>
    <w:r>
      <w:rPr>
        <w:rStyle w:val="7"/>
        <w:sz w:val="24"/>
        <w:szCs w:val="24"/>
      </w:rPr>
      <w:t>1</w:t>
    </w:r>
    <w:r>
      <w:rPr>
        <w:rFonts w:ascii="宋体" w:hAnsi="宋体"/>
        <w:sz w:val="24"/>
        <w:szCs w:val="24"/>
      </w:rPr>
      <w:fldChar w:fldCharType="end"/>
    </w:r>
    <w:r>
      <w:rPr>
        <w:rStyle w:val="7"/>
        <w:rFonts w:hint="eastAsia"/>
        <w:sz w:val="24"/>
        <w:szCs w:val="24"/>
      </w:rPr>
      <w:t xml:space="preserve"> —</w:t>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A5"/>
    <w:rsid w:val="00392E01"/>
    <w:rsid w:val="003A4B51"/>
    <w:rsid w:val="003B02C0"/>
    <w:rsid w:val="004A6150"/>
    <w:rsid w:val="008043A5"/>
    <w:rsid w:val="00A232A8"/>
    <w:rsid w:val="00A73FEE"/>
    <w:rsid w:val="00EA7745"/>
    <w:rsid w:val="00EB242B"/>
    <w:rsid w:val="0DB77CDC"/>
    <w:rsid w:val="684E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rPr>
      <w:rFonts w:ascii="Tahoma" w:hAnsi="Tahoma"/>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标题 2 Char"/>
    <w:basedOn w:val="6"/>
    <w:link w:val="2"/>
    <w:qFormat/>
    <w:uiPriority w:val="0"/>
    <w:rPr>
      <w:rFonts w:ascii="Arial" w:hAnsi="Arial" w:eastAsia="黑体" w:cs="Times New Roman"/>
      <w:b/>
      <w:bCs/>
      <w:sz w:val="32"/>
      <w:szCs w:val="32"/>
    </w:rPr>
  </w:style>
  <w:style w:type="character" w:customStyle="1" w:styleId="11">
    <w:name w:val="ca-22"/>
    <w:qFormat/>
    <w:uiPriority w:val="0"/>
    <w:rPr>
      <w:rFonts w:hint="default" w:ascii="Times New Roman" w:hAnsi="Times New Roman" w:cs="Times New Roman"/>
      <w:color w:val="000000"/>
      <w:sz w:val="28"/>
      <w:szCs w:val="28"/>
    </w:rPr>
  </w:style>
  <w:style w:type="character" w:customStyle="1" w:styleId="12">
    <w:name w:val="ca-110"/>
    <w:qFormat/>
    <w:uiPriority w:val="0"/>
    <w:rPr>
      <w:rFonts w:hint="eastAsia" w:ascii="方正楷体_GBK" w:eastAsia="方正楷体_GBK"/>
      <w:color w:val="000000"/>
      <w:sz w:val="28"/>
      <w:szCs w:val="28"/>
    </w:rPr>
  </w:style>
  <w:style w:type="paragraph" w:customStyle="1" w:styleId="13">
    <w:name w:val="Char Char Char Char Char Char Char"/>
    <w:basedOn w:val="1"/>
    <w:qFormat/>
    <w:uiPriority w:val="0"/>
    <w:rPr>
      <w:rFonts w:ascii="Tahoma" w:hAnsi="Tahom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744</Words>
  <Characters>4244</Characters>
  <Lines>35</Lines>
  <Paragraphs>9</Paragraphs>
  <TotalTime>5</TotalTime>
  <ScaleCrop>false</ScaleCrop>
  <LinksUpToDate>false</LinksUpToDate>
  <CharactersWithSpaces>4979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2020-02-06T00:57:00Z</dcterms:created>
  <dc:creator>windows7</dc:creator>
  <cp:lastModifiedBy>Administrator</cp:lastModifiedBy>
  <dcterms:modified xsi:type="dcterms:W3CDTF">2024-11-15T08:37:00Z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7234F4D3B4524AE887358398D279A092</vt:lpwstr>
  </property>
</Properties>
</file>