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iCs w:val="0"/>
          <w:caps w:val="0"/>
          <w:color w:val="000000"/>
          <w:spacing w:val="0"/>
          <w:sz w:val="21"/>
          <w:szCs w:val="21"/>
        </w:rPr>
      </w:pPr>
      <w:bookmarkStart w:id="0" w:name="_GoBack"/>
      <w:r>
        <w:rPr>
          <w:rFonts w:hint="eastAsia" w:ascii="宋体" w:hAnsi="宋体" w:eastAsia="宋体" w:cs="宋体"/>
          <w:b/>
          <w:bCs/>
          <w:i w:val="0"/>
          <w:iCs w:val="0"/>
          <w:caps w:val="0"/>
          <w:color w:val="000000"/>
          <w:spacing w:val="0"/>
          <w:kern w:val="0"/>
          <w:sz w:val="36"/>
          <w:szCs w:val="36"/>
          <w:lang w:val="en-US" w:eastAsia="zh-CN" w:bidi="ar"/>
        </w:rPr>
        <w:t>盈江县旧城镇2015年度部门决算情况说明</w:t>
      </w:r>
      <w:bookmarkEnd w:id="0"/>
    </w:p>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0"/>
          <w:szCs w:val="30"/>
          <w:lang w:val="en-US" w:eastAsia="zh-CN" w:bidi="ar"/>
        </w:rPr>
        <w:t>第一部分 旧城镇概况</w:t>
      </w:r>
    </w:p>
    <w:p>
      <w:pPr>
        <w:keepNext w:val="0"/>
        <w:keepLines w:val="0"/>
        <w:widowControl/>
        <w:suppressLineNumbers w:val="0"/>
        <w:spacing w:before="0" w:beforeAutospacing="0" w:after="0" w:afterAutospacing="0" w:line="240" w:lineRule="atLeast"/>
        <w:ind w:left="0" w:right="0" w:firstLine="0"/>
        <w:jc w:val="left"/>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lang w:val="en-US" w:eastAsia="zh-CN" w:bidi="ar"/>
        </w:rPr>
        <w:t>一、主要职能</w:t>
      </w:r>
    </w:p>
    <w:p>
      <w:pPr>
        <w:pStyle w:val="2"/>
        <w:keepNext w:val="0"/>
        <w:keepLines w:val="0"/>
        <w:widowControl/>
        <w:suppressLineNumbers w:val="0"/>
        <w:spacing w:before="93" w:beforeAutospacing="0" w:after="0" w:afterAutospacing="1" w:line="600" w:lineRule="atLeast"/>
        <w:ind w:left="0" w:right="0" w:firstLine="630"/>
        <w:jc w:val="both"/>
        <w:rPr>
          <w:rFonts w:ascii="仿宋_GB2312" w:eastAsia="仿宋_GB2312" w:cs="仿宋_GB2312"/>
          <w:i w:val="0"/>
          <w:iCs w:val="0"/>
          <w:caps w:val="0"/>
          <w:color w:val="000000"/>
          <w:spacing w:val="0"/>
          <w:sz w:val="30"/>
          <w:szCs w:val="30"/>
        </w:rPr>
      </w:pPr>
      <w:r>
        <w:rPr>
          <w:rFonts w:hint="eastAsia" w:ascii="仿宋_GB2312" w:eastAsia="仿宋_GB2312" w:cs="仿宋_GB2312"/>
          <w:i w:val="0"/>
          <w:iCs w:val="0"/>
          <w:caps w:val="0"/>
          <w:color w:val="000000"/>
          <w:spacing w:val="0"/>
          <w:sz w:val="30"/>
          <w:szCs w:val="30"/>
        </w:rPr>
        <w:t>职能参照政府批准的“三定”方案；2015年重点工作任务介绍。</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⒈贯彻执行党和国家的路线、方针、政策和法律法规。</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⒉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⒊保护社会主义的全民所有财产和劳动群众集体所有财产，保护公民私人所有的合法财产，维护社会秩序，保障公民的人身权利、民主权利和其它权利，保护各种经济的合法权益。</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⒋切实推行政务、财务公开，使政务、财务公开走入法制化轨道。</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⒌有计划、有目标地组织实施好本镇的经济发展、基础设施建设、社会公益事业建设；开展好社会福利活动；保障少数民族的权利和尊重少数民族的风俗习惯；保障宪法和法律赋予妇女儿童和残疾人的正当权益；实行男女平等、婚姻自由；保障劳工经商的合法权益，做到同工同酬。</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⒍围绕财政增收、农民致富，搞好产业结构调整，带领群众脱贫致富</w:t>
      </w:r>
      <w:r>
        <w:rPr>
          <w:rFonts w:ascii="楷体_GB2312" w:hAnsi="Times New Roman" w:eastAsia="楷体_GB2312" w:cs="楷体_GB2312"/>
          <w:i w:val="0"/>
          <w:iCs w:val="0"/>
          <w:caps w:val="0"/>
          <w:color w:val="000000"/>
          <w:spacing w:val="0"/>
          <w:kern w:val="0"/>
          <w:sz w:val="30"/>
          <w:szCs w:val="30"/>
          <w:lang w:val="en-US" w:eastAsia="zh-CN" w:bidi="ar"/>
        </w:rPr>
        <w:t>。</w:t>
      </w:r>
    </w:p>
    <w:p>
      <w:pPr>
        <w:pStyle w:val="2"/>
        <w:keepNext w:val="0"/>
        <w:keepLines w:val="0"/>
        <w:widowControl/>
        <w:suppressLineNumbers w:val="0"/>
        <w:spacing w:before="93" w:beforeAutospacing="0" w:after="0" w:afterAutospacing="1" w:line="600" w:lineRule="atLeast"/>
        <w:ind w:left="0" w:right="0" w:firstLine="630"/>
        <w:jc w:val="both"/>
        <w:rPr>
          <w:rFonts w:hint="eastAsia" w:ascii="仿宋_GB2312" w:eastAsia="仿宋_GB2312" w:cs="仿宋_GB2312"/>
          <w:i w:val="0"/>
          <w:iCs w:val="0"/>
          <w:caps w:val="0"/>
          <w:color w:val="000000"/>
          <w:spacing w:val="0"/>
          <w:sz w:val="30"/>
          <w:szCs w:val="30"/>
        </w:rPr>
      </w:pPr>
      <w:r>
        <w:rPr>
          <w:rFonts w:hint="eastAsia" w:ascii="仿宋_GB2312" w:eastAsia="仿宋_GB2312" w:cs="仿宋_GB2312"/>
          <w:i w:val="0"/>
          <w:iCs w:val="0"/>
          <w:caps w:val="0"/>
          <w:color w:val="000000"/>
          <w:spacing w:val="0"/>
          <w:sz w:val="30"/>
          <w:szCs w:val="30"/>
        </w:rPr>
        <w:t>2015年重点工作任务介绍：维护社会稳定、发展农林水产业、扶贫救灾、基础设设建设等。</w:t>
      </w:r>
    </w:p>
    <w:p>
      <w:pPr>
        <w:keepNext w:val="0"/>
        <w:keepLines w:val="0"/>
        <w:widowControl/>
        <w:suppressLineNumbers w:val="0"/>
        <w:spacing w:before="0" w:beforeAutospacing="0" w:after="0" w:afterAutospacing="0" w:line="240" w:lineRule="atLeast"/>
        <w:ind w:left="0" w:right="0" w:firstLine="0"/>
        <w:jc w:val="left"/>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lang w:val="en-US" w:eastAsia="zh-CN" w:bidi="ar"/>
        </w:rPr>
        <w:t>二、部门基本情况</w:t>
      </w:r>
    </w:p>
    <w:p>
      <w:pPr>
        <w:keepNext w:val="0"/>
        <w:keepLines w:val="0"/>
        <w:widowControl/>
        <w:suppressLineNumbers w:val="0"/>
        <w:spacing w:before="0" w:beforeAutospacing="0" w:after="0" w:afterAutospacing="0" w:line="240" w:lineRule="atLeast"/>
        <w:ind w:left="0" w:right="0" w:firstLine="0"/>
        <w:jc w:val="left"/>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lang w:val="en-US" w:eastAsia="zh-CN" w:bidi="ar"/>
        </w:rPr>
        <w:t>   </w:t>
      </w:r>
      <w:r>
        <w:rPr>
          <w:rFonts w:hint="eastAsia" w:ascii="仿宋_GB2312" w:hAnsi="Times New Roman" w:eastAsia="仿宋_GB2312" w:cs="仿宋_GB2312"/>
          <w:i w:val="0"/>
          <w:iCs w:val="0"/>
          <w:caps w:val="0"/>
          <w:color w:val="000000"/>
          <w:spacing w:val="0"/>
          <w:kern w:val="0"/>
          <w:sz w:val="30"/>
          <w:szCs w:val="30"/>
          <w:lang w:val="en-US" w:eastAsia="zh-CN" w:bidi="ar"/>
        </w:rPr>
        <w:t>纳入2015年部门决算编报的单位共2个，分别是行政、事业、，其中行政单位1个，参照公务员法管理的事业单位0个，其他事业单位1个。部门在职在编实有人数67人，其中：财政全供养67人；在编实有车辆5辆。离退休人员27人，其中：离休0人，退休27人。</w:t>
      </w:r>
    </w:p>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第二部分  2015年度部门决算表</w:t>
      </w:r>
    </w:p>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（见附件）</w:t>
      </w:r>
    </w:p>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32"/>
          <w:szCs w:val="32"/>
          <w:lang w:val="en-US" w:eastAsia="zh-CN" w:bidi="ar"/>
        </w:rPr>
        <w:t>第三部门  </w:t>
      </w:r>
      <w:r>
        <w:rPr>
          <w:rFonts w:hint="eastAsia" w:ascii="宋体" w:hAnsi="宋体" w:eastAsia="宋体" w:cs="宋体"/>
          <w:b/>
          <w:bCs/>
          <w:i w:val="0"/>
          <w:iCs w:val="0"/>
          <w:caps w:val="0"/>
          <w:color w:val="000000"/>
          <w:spacing w:val="0"/>
          <w:kern w:val="0"/>
          <w:sz w:val="30"/>
          <w:szCs w:val="30"/>
          <w:lang w:val="en-US" w:eastAsia="zh-CN" w:bidi="ar"/>
        </w:rPr>
        <w:t>旧城镇2015年度部门决算情况说明</w:t>
      </w:r>
    </w:p>
    <w:p>
      <w:pPr>
        <w:keepNext w:val="0"/>
        <w:keepLines w:val="0"/>
        <w:widowControl/>
        <w:suppressLineNumbers w:val="0"/>
        <w:spacing w:before="0" w:beforeAutospacing="0" w:after="0" w:afterAutospacing="0"/>
        <w:ind w:left="0" w:right="0" w:firstLine="0"/>
        <w:jc w:val="left"/>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lang w:val="en-US" w:eastAsia="zh-CN" w:bidi="ar"/>
        </w:rPr>
        <w:t>一、收入决算情况说明</w:t>
      </w:r>
    </w:p>
    <w:p>
      <w:pPr>
        <w:keepNext w:val="0"/>
        <w:keepLines w:val="0"/>
        <w:widowControl/>
        <w:suppressLineNumbers w:val="0"/>
        <w:spacing w:before="100" w:beforeAutospacing="0" w:after="100" w:afterAutospacing="0" w:line="600" w:lineRule="atLeast"/>
        <w:ind w:left="0" w:right="0" w:firstLine="538"/>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2015年盈江县旧城镇人民政府决算总收入1674.29万元，其中：财政拨款收入1674.29万元，占总收入的100%；上级补助收入0万元，占总收入的0%；事业收入0万元，占总收入的0%；经营收入0万元，占总收入的0%；附属单位缴款收入0万元，占总收入的0%；其他收入0万元，占总收入的0%。</w:t>
      </w:r>
    </w:p>
    <w:p>
      <w:pPr>
        <w:keepNext w:val="0"/>
        <w:keepLines w:val="0"/>
        <w:widowControl/>
        <w:suppressLineNumbers w:val="0"/>
        <w:spacing w:before="0" w:beforeAutospacing="0" w:after="0" w:afterAutospacing="0"/>
        <w:ind w:left="0" w:right="0" w:firstLine="0"/>
        <w:jc w:val="left"/>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lang w:val="en-US" w:eastAsia="zh-CN" w:bidi="ar"/>
        </w:rPr>
        <w:t>二、支出决算情况说明</w:t>
      </w:r>
    </w:p>
    <w:p>
      <w:pPr>
        <w:keepNext w:val="0"/>
        <w:keepLines w:val="0"/>
        <w:widowControl/>
        <w:suppressLineNumbers w:val="0"/>
        <w:spacing w:before="0" w:beforeAutospacing="0" w:after="0" w:afterAutospacing="0" w:line="600" w:lineRule="atLeast"/>
        <w:ind w:left="0" w:right="0" w:firstLine="60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部门决算总支出2642.61万元，其中：基本支出887.56万元，占总支出的33.59％；项目支出1755.04万元，占总支出的66.41％；上缴上级支出、经营支出、对附属单位补助支出共0万元，占总支出的0％。</w:t>
      </w:r>
    </w:p>
    <w:p>
      <w:pPr>
        <w:keepNext w:val="0"/>
        <w:keepLines w:val="0"/>
        <w:widowControl/>
        <w:suppressLineNumbers w:val="0"/>
        <w:spacing w:before="100" w:beforeAutospacing="0" w:after="100" w:afterAutospacing="0" w:line="600"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一）基本支出情况。2015年用于保障旧城镇机关、下属事业单位等机构正常运转的日常支出887.56万元。与上年对比增加145.87万。原因分析2015年调增了人员工资。包括基本工资，津贴补贴等人员经费支出占基本支出的79.5％；办公经费、印刷费、水电费、汽燃费、办公设备购置等日常公用经费占基本支出的20.50％。</w:t>
      </w:r>
    </w:p>
    <w:p>
      <w:pPr>
        <w:keepNext w:val="0"/>
        <w:keepLines w:val="0"/>
        <w:widowControl/>
        <w:suppressLineNumbers w:val="0"/>
        <w:spacing w:before="100" w:beforeAutospacing="0" w:after="100" w:afterAutospacing="0" w:line="600"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二）项目支出情况。2015年用于保障旧城镇机构、下属事业单位等机构为完成特定的行政工作任务或事业发展目标，用于专项业务工作的经费支出1755.04万元。与上年对比增加1139.68万元原因分析增加相应基础设施建设。具体项目开支及开展工作情况：村级一事一议补助村内道路建设及文化活动室建设、旧城镇供水工程项目的实施、农业科技转化与推广服务项目的、用于体育事业的彩票公益金文化活动室建设。</w:t>
      </w:r>
    </w:p>
    <w:p>
      <w:pPr>
        <w:keepNext w:val="0"/>
        <w:keepLines w:val="0"/>
        <w:widowControl/>
        <w:suppressLineNumbers w:val="0"/>
        <w:spacing w:before="0" w:beforeAutospacing="0" w:after="0" w:afterAutospacing="0"/>
        <w:ind w:left="0" w:right="0" w:firstLine="0"/>
        <w:jc w:val="left"/>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lang w:val="en-US" w:eastAsia="zh-CN" w:bidi="ar"/>
        </w:rPr>
        <w:t>三、公共预算财政拨款支出决算情况说明</w:t>
      </w:r>
    </w:p>
    <w:p>
      <w:pPr>
        <w:keepNext w:val="0"/>
        <w:keepLines w:val="0"/>
        <w:widowControl/>
        <w:suppressLineNumbers w:val="0"/>
        <w:spacing w:before="100" w:beforeAutospacing="0" w:after="100" w:afterAutospacing="0" w:line="315" w:lineRule="atLeast"/>
        <w:ind w:left="0" w:right="0" w:firstLine="538"/>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2015年部门公共预算财政拨款支出1674.29万元,占本年支出合计100%。与上年对比增加317.25原因分析人员工资增加及基础设施建设的增加。按支出功能分类主要用于以下方面：</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（一）一般公共服务支出402.95万元，主要用于人员工资及日常工作开支。如政府日常公工、党建、群众团体、纪检监察事务等工作；</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（二）外交支出0万元，主要用于**（相关支出情况）；</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（三）国防支出0万元，主要用于**（相关支出情况）；</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（四）公共安全支出1万元，主要用于禁毒防艾工作；</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（五）教育支出0万元，主要用于**（相关支出情况）；</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（六）科学技术支出0.3万元，主要用于特色产业种植培训工作；</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（七）文化体育与传媒支出52.39万元，主要用于文化事业人员经费、群众文化活动的宣传、文化活动室建设资金；</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（八）社会保障和就业支出174.51万元，主要用于人员社会保障。</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（九）医疗卫生与计划生育支出37.48万元，主要用于人员经费、医疗卫生、人口计划生育等。</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（十）节能环保支出130万元，主要用于旧城供水工程建设。</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（十一）城乡社区支出679.11万元，主要用于小城镇基础设施建设。</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（十二）农林水支出1101.51万元，主要用于人员经费、农林水产业发展、农村道路基础设施建设。</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（十三）住房保障支出29.23万元，主要用于住房公积金。</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（十四）其他支出34.12万元，主要用于麻崃山文化活动室建设、政府办公设备购置。</w:t>
      </w:r>
    </w:p>
    <w:p>
      <w:pPr>
        <w:keepNext w:val="0"/>
        <w:keepLines w:val="0"/>
        <w:widowControl/>
        <w:suppressLineNumbers w:val="0"/>
        <w:spacing w:before="100" w:beforeAutospacing="0" w:after="100" w:afterAutospacing="0" w:line="315"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lang w:val="en-US" w:eastAsia="zh-CN" w:bidi="ar"/>
        </w:rPr>
        <w:t>四、“三公”经费决算情况说明</w:t>
      </w:r>
    </w:p>
    <w:p>
      <w:pPr>
        <w:keepNext w:val="0"/>
        <w:keepLines w:val="0"/>
        <w:widowControl/>
        <w:suppressLineNumbers w:val="0"/>
        <w:spacing w:before="100" w:beforeAutospacing="0" w:after="100" w:afterAutospacing="0" w:line="315" w:lineRule="atLeast"/>
        <w:ind w:left="0" w:right="0" w:firstLine="45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旧城镇2015年财政拨款“三公”经费决算总额29.4万元，其中，因公出国（境）费支出0万元，公务用车购置及运行维护费支出21.15万元，公务接待费支出8.25万元。</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2015年“三公”经费决算数比2014年决算数减少6.75万元，减少的主要原因是：严格执行中央厉行节约八项规定。具体情况如下：</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（一）因公出国（境）费</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2014年盈江县旧城镇因公出国（境）团组0次，出国（境）0人。实际发生因公出国（境）费0万元，比2014年决算增加/减少0万元。</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（二）公务用车购置及运行维护费</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2015年盈江县旧城镇购置公务用车0辆，年末公务用车保有量5辆，公务用车购置及运行维护费21.15万元。其中：购置费0万元，比2014年决算增加/减少0万元；运行维护费21.15万元，比2014年决算减少6.16万元，主要用于保障基层政府开展农、林、水、民生、民情、文化、党建等工作产生的公务用车燃料费、维修费、过路过桥费、保险费等支出。</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（三）公务接待费</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2015年盈江县旧城镇人民政府共执行国内公务接待156批次，2060人，接待费开支8.25万元; 外事接待0批次，0人，接待费开支0万元。公务接待费比2014年决算减少0.59万元，主要用于接待农、林、水、民生、民情、文化、党建等产生的费用。</w:t>
      </w:r>
    </w:p>
    <w:p>
      <w:pPr>
        <w:keepNext w:val="0"/>
        <w:keepLines w:val="0"/>
        <w:widowControl/>
        <w:suppressLineNumbers w:val="0"/>
        <w:spacing w:before="100" w:beforeAutospacing="0" w:after="100" w:afterAutospacing="0" w:line="315" w:lineRule="atLeast"/>
        <w:ind w:left="0" w:right="0" w:firstLine="602"/>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0"/>
          <w:szCs w:val="30"/>
          <w:lang w:val="en-US" w:eastAsia="zh-CN" w:bidi="ar"/>
        </w:rPr>
        <w:t>五、其他重要事项及相关口径情况说明</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1、基本支出中人员经费包括工资福利支出和对个人和家庭的补助，日常公用支出包括商品和服务支出、其他资本性支出等人员经费以外的支出。</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2、“三公”经费：按照党中央、国务院有关文件及部门预算管理有关规定，纳入省级财政预决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        </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3、“三公”经费决算数：指省级各部门（含下属单位）用财政拨款（含上年结转结余和当年预算）安排的因公出国（境）费、公务用车购置及运行维护费和公务接待费支出数。</w:t>
      </w:r>
    </w:p>
    <w:p>
      <w:pPr>
        <w:keepNext w:val="0"/>
        <w:keepLines w:val="0"/>
        <w:widowControl/>
        <w:suppressLineNumbers w:val="0"/>
        <w:spacing w:before="100" w:beforeAutospacing="0" w:after="100" w:afterAutospacing="0" w:line="315" w:lineRule="atLeast"/>
        <w:ind w:left="0" w:right="0" w:firstLine="600"/>
        <w:jc w:val="lef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0"/>
          <w:szCs w:val="30"/>
          <w:lang w:val="en-US" w:eastAsia="zh-CN" w:bidi="ar"/>
        </w:rPr>
        <w:t> </w:t>
      </w:r>
    </w:p>
    <w:p>
      <w:pPr>
        <w:keepNext w:val="0"/>
        <w:keepLines w:val="0"/>
        <w:widowControl/>
        <w:suppressLineNumbers w:val="0"/>
        <w:spacing w:before="100" w:beforeAutospacing="0" w:after="100" w:afterAutospacing="0" w:line="315" w:lineRule="atLeast"/>
        <w:ind w:left="0" w:right="0" w:firstLine="4928"/>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旧城镇人民政府</w:t>
      </w:r>
    </w:p>
    <w:p>
      <w:pPr>
        <w:keepNext w:val="0"/>
        <w:keepLines w:val="0"/>
        <w:widowControl/>
        <w:suppressLineNumbers w:val="0"/>
        <w:spacing w:before="100" w:beforeAutospacing="0" w:after="100" w:afterAutospacing="0" w:line="315" w:lineRule="atLeast"/>
        <w:ind w:left="0" w:right="0" w:firstLine="4928"/>
        <w:jc w:val="left"/>
        <w:rPr>
          <w:rFonts w:hint="default"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sz w:val="32"/>
          <w:szCs w:val="32"/>
        </w:rPr>
        <w:t>2016年10月28日</w:t>
      </w:r>
    </w:p>
    <w:p>
      <w:pPr>
        <w:rPr>
          <w:rFonts w:hint="eastAsia" w:eastAsiaTheme="minorEastAsia"/>
          <w:lang w:val="en-US" w:eastAsia="zh-CN"/>
        </w:rPr>
      </w:pPr>
    </w:p>
    <w:sectPr>
      <w:pgSz w:w="11906" w:h="16838"/>
      <w:pgMar w:top="2098" w:right="1531" w:bottom="1984" w:left="1531" w:header="13" w:footer="11"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9785F"/>
    <w:rsid w:val="28D757EA"/>
    <w:rsid w:val="5489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7</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2025-09-09T02:10:00Z</dcterms:created>
  <dc:creator>李小兵</dc:creator>
  <cp:lastModifiedBy>李小兵</cp:lastModifiedBy>
  <dcterms:modified xsi:type="dcterms:W3CDTF">2025-09-09T02:12:49Z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3C2635A0F8AD4E4DBCFE3CE750D4B144</vt:lpwstr>
  </property>
</Properties>
</file>