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ascii="宋体" w:hAnsi="宋体" w:eastAsia="宋体"/>
          <w:b/>
          <w:sz w:val="36"/>
          <w:szCs w:val="36"/>
          <w:lang w:val="zh-CN"/>
        </w:rPr>
      </w:pPr>
      <w:r>
        <w:rPr>
          <w:rFonts w:hint="eastAsia" w:ascii="宋体" w:hAnsi="宋体" w:eastAsia="宋体"/>
          <w:b/>
          <w:sz w:val="36"/>
          <w:szCs w:val="36"/>
          <w:lang w:val="zh-CN"/>
        </w:rPr>
        <w:t>目  录</w:t>
      </w:r>
    </w:p>
    <w:p>
      <w:pPr>
        <w:widowControl/>
        <w:spacing w:line="400" w:lineRule="exact"/>
        <w:jc w:val="center"/>
        <w:rPr>
          <w:rFonts w:ascii="宋体" w:hAnsi="宋体" w:eastAsia="宋体"/>
          <w:b/>
          <w:sz w:val="36"/>
          <w:szCs w:val="36"/>
          <w:lang w:val="zh-CN"/>
        </w:rPr>
      </w:pPr>
    </w:p>
    <w:sdt>
      <w:sdtPr>
        <w:rPr>
          <w:rFonts w:ascii="仿宋_GB2312" w:hAnsi="Times New Roman" w:eastAsia="仿宋_GB2312" w:cs="Times New Roman"/>
          <w:b/>
          <w:bCs/>
          <w:kern w:val="30"/>
          <w:sz w:val="24"/>
          <w:szCs w:val="24"/>
          <w:lang w:val="zh-CN" w:eastAsia="zh-CN" w:bidi="ar-SA"/>
        </w:rPr>
        <w:id w:val="-201706083"/>
        <w:docPartObj>
          <w:docPartGallery w:val="Table of Contents"/>
          <w:docPartUnique/>
        </w:docPartObj>
      </w:sdtPr>
      <w:sdtEndPr>
        <w:rPr>
          <w:rFonts w:hint="eastAsia" w:ascii="Calibri" w:hAnsi="Calibri" w:eastAsia="宋体" w:cs="Times New Roman"/>
          <w:b w:val="0"/>
          <w:bCs w:val="0"/>
          <w:kern w:val="0"/>
          <w:sz w:val="22"/>
          <w:szCs w:val="22"/>
          <w:lang w:val="en-US" w:eastAsia="zh-CN" w:bidi="ar-SA"/>
        </w:rPr>
      </w:sdtEndPr>
      <w:sdtContent>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 TOC \o "1-3" \h \z \u </w:instrText>
          </w:r>
          <w:r>
            <w:rPr>
              <w:rFonts w:ascii="宋体" w:hAnsi="宋体" w:eastAsia="宋体" w:cs="Times New Roman"/>
              <w:kern w:val="0"/>
              <w:sz w:val="28"/>
              <w:szCs w:val="28"/>
              <w:lang w:val="en-US" w:eastAsia="zh-CN" w:bidi="ar-SA"/>
            </w:rPr>
            <w:fldChar w:fldCharType="separate"/>
          </w: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一、基本情况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_Toc529348764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（一）项目概况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_Toc529348765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（二）项目资金安排及使用情况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"_Toc529348767"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（三）项目实施内容</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2</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（四）绩效目标设立情况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3</w:t>
          </w:r>
          <w:r>
            <w:rPr>
              <w:rFonts w:hint="eastAsia"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（五）组织管理情况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4</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6</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（一）绩效自评概述</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6</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（二）绩效自评结论</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6</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三、绩效评价组织情况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（一）绩效评价依据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（二）绩效评价方法</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（三）绩效评价指标体系</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Calibri" w:hAnsi="Calibri" w:eastAsia="宋体" w:cs="Times New Roman"/>
              <w:kern w:val="0"/>
              <w:sz w:val="22"/>
              <w:szCs w:val="22"/>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（四）绩效评价检查范围</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0</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_Toc529348778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0</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（一）绩效评价综合结论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_Toc529348779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0</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（二）绩效目标实现情况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_Toc529348780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五、绩效评价情况分析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_Toc529348782 \h </w:instrText>
          </w:r>
          <w:r>
            <w:rPr>
              <w:rFonts w:ascii="宋体" w:hAnsi="宋体" w:eastAsia="宋体" w:cs="Times New Roman"/>
              <w:color w:val="auto"/>
              <w:kern w:val="0"/>
              <w:sz w:val="28"/>
              <w:szCs w:val="28"/>
              <w:u w:val="none"/>
              <w:lang w:val="en-US" w:eastAsia="zh-CN" w:bidi="ar-SA"/>
            </w:rPr>
            <w:fldChar w:fldCharType="separate"/>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3</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（一）决策情况分析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3</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（二）过程情况分析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4</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（三）产出情况分析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5</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（四）效果情况分析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16</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六、存在问题</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18</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八、建议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w:t>
          </w:r>
        </w:p>
        <w:p>
          <w:pPr>
            <w:spacing w:line="579" w:lineRule="exact"/>
            <w:jc w:val="center"/>
            <w:rPr>
              <w:rFonts w:hint="eastAsia" w:ascii="Calibri" w:hAnsi="Calibri" w:eastAsia="宋体" w:cs="Times New Roman"/>
              <w:b w:val="0"/>
              <w:bCs w:val="0"/>
              <w:kern w:val="0"/>
              <w:sz w:val="22"/>
              <w:szCs w:val="22"/>
              <w:lang w:val="en-US" w:eastAsia="zh-CN" w:bidi="ar-SA"/>
            </w:rPr>
          </w:pPr>
          <w:r>
            <w:rPr>
              <w:rFonts w:ascii="宋体" w:hAnsi="宋体" w:eastAsia="宋体" w:cs="Times New Roman"/>
              <w:kern w:val="0"/>
              <w:sz w:val="28"/>
              <w:szCs w:val="28"/>
              <w:lang w:val="en-US" w:eastAsia="zh-CN" w:bidi="ar-SA"/>
            </w:rPr>
            <w:fldChar w:fldCharType="end"/>
          </w:r>
        </w:p>
      </w:sdtContent>
    </w:sdt>
    <w:sdt>
      <w:sdtPr>
        <w:rPr>
          <w:rFonts w:ascii="仿宋_GB2312" w:hAnsi="Times New Roman" w:eastAsia="仿宋_GB2312" w:cs="Times New Roman"/>
          <w:b/>
          <w:bCs/>
          <w:kern w:val="30"/>
          <w:sz w:val="24"/>
          <w:szCs w:val="24"/>
          <w:lang w:val="zh-CN" w:eastAsia="zh-CN" w:bidi="ar-SA"/>
        </w:rPr>
        <w:id w:val="-201706083"/>
        <w:showingPlcHdr/>
        <w:docPartObj>
          <w:docPartGallery w:val="Table of Contents"/>
          <w:docPartUnique/>
        </w:docPartObj>
      </w:sdtPr>
      <w:sdtEndPr>
        <w:rPr>
          <w:rFonts w:hint="eastAsia" w:ascii="Calibri" w:hAnsi="Calibri" w:eastAsia="宋体" w:cs="Times New Roman"/>
          <w:b w:val="0"/>
          <w:bCs w:val="0"/>
          <w:kern w:val="0"/>
          <w:sz w:val="22"/>
          <w:szCs w:val="22"/>
          <w:lang w:val="en-US" w:eastAsia="zh-CN" w:bidi="ar-SA"/>
        </w:rPr>
      </w:sdtEndPr>
      <w:sdtContent>
        <w:p>
          <w:pPr>
            <w:spacing w:line="579" w:lineRule="exact"/>
            <w:jc w:val="center"/>
            <w:rPr>
              <w:rFonts w:hint="eastAsia" w:ascii="方正小标宋简体" w:eastAsia="方正小标宋简体"/>
              <w:sz w:val="44"/>
              <w:szCs w:val="44"/>
            </w:rPr>
          </w:pPr>
        </w:p>
      </w:sdtContent>
    </w:sdt>
    <w:p>
      <w:pPr>
        <w:spacing w:line="579" w:lineRule="exact"/>
        <w:jc w:val="center"/>
        <w:rPr>
          <w:rFonts w:hint="eastAsia" w:ascii="方正小标宋简体" w:eastAsia="方正小标宋简体"/>
          <w:sz w:val="44"/>
          <w:szCs w:val="44"/>
        </w:rPr>
      </w:pPr>
    </w:p>
    <w:p>
      <w:pPr>
        <w:spacing w:line="579" w:lineRule="exact"/>
        <w:jc w:val="center"/>
        <w:rPr>
          <w:rFonts w:hint="eastAsia" w:ascii="方正小标宋简体" w:eastAsia="方正小标宋简体"/>
          <w:sz w:val="44"/>
          <w:szCs w:val="44"/>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79" w:lineRule="exact"/>
        <w:jc w:val="center"/>
        <w:rPr>
          <w:rFonts w:hint="eastAsia" w:ascii="方正小标宋简体" w:eastAsia="方正小标宋简体"/>
          <w:sz w:val="44"/>
          <w:szCs w:val="44"/>
        </w:rPr>
      </w:pPr>
      <w:r>
        <w:rPr>
          <w:rFonts w:hint="eastAsia" w:ascii="方正小标宋简体" w:eastAsia="方正小标宋简体"/>
          <w:sz w:val="44"/>
          <w:szCs w:val="44"/>
        </w:rPr>
        <w:t>盈江县勐弄乡勐典村2019年边疆党建长廊“四位一体”建设试点</w:t>
      </w:r>
      <w:r>
        <w:rPr>
          <w:rFonts w:hint="eastAsia" w:ascii="方正小标宋简体" w:eastAsia="方正小标宋简体"/>
          <w:sz w:val="44"/>
          <w:szCs w:val="44"/>
          <w:lang w:eastAsia="zh-CN"/>
        </w:rPr>
        <w:t>—</w:t>
      </w:r>
      <w:r>
        <w:rPr>
          <w:rFonts w:hint="eastAsia" w:ascii="方正小标宋简体" w:eastAsia="方正小标宋简体"/>
          <w:sz w:val="44"/>
          <w:szCs w:val="44"/>
        </w:rPr>
        <w:t>勐弄乡农贸市场建设项目（村集体经济）</w:t>
      </w:r>
    </w:p>
    <w:p>
      <w:pPr>
        <w:spacing w:line="579" w:lineRule="exact"/>
        <w:jc w:val="center"/>
        <w:rPr>
          <w:rFonts w:ascii="方正小标宋简体" w:eastAsia="方正小标宋简体"/>
          <w:sz w:val="44"/>
          <w:szCs w:val="44"/>
        </w:rPr>
      </w:pPr>
      <w:r>
        <w:rPr>
          <w:rFonts w:hint="eastAsia" w:ascii="方正小标宋简体" w:eastAsia="方正小标宋简体"/>
          <w:sz w:val="44"/>
          <w:szCs w:val="44"/>
        </w:rPr>
        <w:t>绩效评价报告</w:t>
      </w:r>
    </w:p>
    <w:p>
      <w:pPr>
        <w:spacing w:line="579" w:lineRule="exact"/>
        <w:rPr>
          <w:rFonts w:hAnsi="仿宋"/>
          <w:sz w:val="36"/>
          <w:szCs w:val="36"/>
        </w:rPr>
      </w:pPr>
    </w:p>
    <w:p>
      <w:pPr>
        <w:spacing w:line="579" w:lineRule="exact"/>
        <w:ind w:firstLine="600" w:firstLineChars="200"/>
        <w:rPr>
          <w:rFonts w:hint="eastAsia" w:hAnsi="仿宋"/>
          <w:szCs w:val="30"/>
          <w:lang w:val="en-US" w:eastAsia="zh-CN"/>
        </w:rPr>
      </w:pPr>
      <w:r>
        <w:rPr>
          <w:rFonts w:hint="eastAsia" w:hAnsi="仿宋"/>
          <w:szCs w:val="30"/>
          <w:lang w:val="en-US" w:eastAsia="zh-CN"/>
        </w:rPr>
        <w:t>为贯彻落实《中华人民共和国预算法》、《中共云南省委云南省人民政府关于全面实施预算绩效管理的实施意见》(云发〔2019〕11号)、《德宏州财政局 德宏州委宣传部 德宏州审计局关于印发德宏州全面实施预算绩效管理工作推进预算方案的通知》(德财〔2020〕81</w:t>
      </w:r>
      <w:bookmarkStart w:id="43" w:name="_GoBack"/>
      <w:bookmarkEnd w:id="43"/>
      <w:r>
        <w:rPr>
          <w:rFonts w:hint="eastAsia" w:hAnsi="仿宋"/>
          <w:szCs w:val="30"/>
          <w:lang w:val="en-US" w:eastAsia="zh-CN"/>
        </w:rPr>
        <w:t>号)、《中共盈江县委盈江县人民政府关于全面实施预算绩效管理的实施方案》(盈发〔2020〕17号)，云南永盛会计师事务所接受盈江县财政局委托，于2020年12月3日至2020年12月13日对盈江县勐弄乡勐典村2019年边疆党建长廊“四位一体”建设试点—勐弄乡农贸市场建设项目（村集体经济）进行绩效评价。现将评价情况报告如下：</w:t>
      </w:r>
    </w:p>
    <w:p>
      <w:pPr>
        <w:spacing w:line="579" w:lineRule="exact"/>
        <w:ind w:firstLine="600" w:firstLineChars="200"/>
        <w:outlineLvl w:val="0"/>
        <w:rPr>
          <w:rFonts w:ascii="黑体" w:hAnsi="黑体" w:eastAsia="黑体" w:cs="宋体"/>
          <w:szCs w:val="30"/>
        </w:rPr>
      </w:pPr>
      <w:bookmarkStart w:id="0" w:name="_Toc529348764"/>
      <w:bookmarkStart w:id="1" w:name="_Toc528070240"/>
      <w:r>
        <w:rPr>
          <w:rFonts w:hint="eastAsia" w:ascii="黑体" w:hAnsi="黑体" w:eastAsia="黑体" w:cs="宋体"/>
          <w:szCs w:val="30"/>
        </w:rPr>
        <w:t>一、基本情况</w:t>
      </w:r>
      <w:bookmarkEnd w:id="0"/>
      <w:bookmarkEnd w:id="1"/>
    </w:p>
    <w:p>
      <w:pPr>
        <w:spacing w:line="579" w:lineRule="exact"/>
        <w:ind w:firstLine="600" w:firstLineChars="200"/>
        <w:outlineLvl w:val="1"/>
        <w:rPr>
          <w:rFonts w:hint="eastAsia" w:ascii="楷体" w:hAnsi="楷体" w:eastAsia="楷体"/>
          <w:szCs w:val="30"/>
        </w:rPr>
      </w:pPr>
      <w:bookmarkStart w:id="2" w:name="_Toc529348765"/>
      <w:bookmarkStart w:id="3" w:name="_Toc528070241"/>
      <w:r>
        <w:rPr>
          <w:rFonts w:hint="eastAsia" w:ascii="楷体" w:hAnsi="楷体" w:eastAsia="楷体"/>
          <w:szCs w:val="30"/>
        </w:rPr>
        <w:t>（一）项目概况</w:t>
      </w:r>
      <w:bookmarkEnd w:id="2"/>
      <w:bookmarkEnd w:id="3"/>
    </w:p>
    <w:p>
      <w:pPr>
        <w:spacing w:line="579" w:lineRule="exact"/>
        <w:ind w:firstLine="600" w:firstLineChars="200"/>
        <w:rPr>
          <w:rFonts w:hint="default" w:hAnsi="仿宋"/>
          <w:szCs w:val="30"/>
          <w:lang w:val="en-US" w:eastAsia="zh-CN"/>
        </w:rPr>
      </w:pPr>
      <w:bookmarkStart w:id="4" w:name="_Toc2011"/>
      <w:r>
        <w:rPr>
          <w:rFonts w:hint="eastAsia" w:hAnsi="仿宋"/>
          <w:szCs w:val="30"/>
          <w:lang w:val="en-US" w:eastAsia="zh-CN"/>
        </w:rPr>
        <w:t>为适应农村经济社会发展新常态，探索建立新形势下农业农村可持续发展和协调推进的建设发展新模式，带动和推进社会主义美丽乡村的整体建设，促进乡村振兴，打造边疆地区党建长廊“四位一体”建设试点，2019年7月盈江县发展和改革局下达《盈江县发展和改革局关于勐弄乡勐典村2019年边疆党建长廊“四位一体”建设试点项目可行性研究报告的批复》（盈发改投资复〔2019〕307号），明确由盈江县勐弄乡人民政府组织实施盈江县勐弄乡勐典村2019年边疆党建长廊“四位一体”建设试点—勐弄乡农贸市场建设项目（村集体经济）。</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r>
        <w:rPr>
          <w:rFonts w:hint="eastAsia" w:ascii="楷体" w:hAnsi="楷体" w:eastAsia="楷体"/>
          <w:color w:val="000000" w:themeColor="text1"/>
          <w:szCs w:val="30"/>
          <w14:textFill>
            <w14:solidFill>
              <w14:schemeClr w14:val="tx1"/>
            </w14:solidFill>
          </w14:textFill>
        </w:rPr>
        <w:t>（二）项目资金安排</w:t>
      </w:r>
      <w:r>
        <w:rPr>
          <w:rFonts w:hint="eastAsia" w:ascii="楷体" w:hAnsi="楷体" w:eastAsia="楷体"/>
          <w:color w:val="000000" w:themeColor="text1"/>
          <w:szCs w:val="30"/>
          <w:lang w:val="en-US" w:eastAsia="zh-CN"/>
          <w14:textFill>
            <w14:solidFill>
              <w14:schemeClr w14:val="tx1"/>
            </w14:solidFill>
          </w14:textFill>
        </w:rPr>
        <w:t>及使用</w:t>
      </w:r>
      <w:r>
        <w:rPr>
          <w:rFonts w:hint="eastAsia" w:ascii="楷体" w:hAnsi="楷体" w:eastAsia="楷体"/>
          <w:color w:val="000000" w:themeColor="text1"/>
          <w:szCs w:val="30"/>
          <w14:textFill>
            <w14:solidFill>
              <w14:schemeClr w14:val="tx1"/>
            </w14:solidFill>
          </w14:textFill>
        </w:rPr>
        <w:t>情况</w:t>
      </w:r>
      <w:bookmarkEnd w:id="4"/>
    </w:p>
    <w:p>
      <w:pPr>
        <w:spacing w:line="579" w:lineRule="exact"/>
        <w:ind w:firstLine="600" w:firstLineChars="200"/>
        <w:rPr>
          <w:rFonts w:hint="eastAsia" w:hAnsi="仿宋"/>
          <w:szCs w:val="30"/>
        </w:rPr>
      </w:pPr>
      <w:r>
        <w:rPr>
          <w:rFonts w:hint="eastAsia" w:hAnsi="仿宋"/>
          <w:szCs w:val="30"/>
          <w:lang w:val="en-US" w:eastAsia="zh-CN"/>
        </w:rPr>
        <w:t>1.</w:t>
      </w:r>
      <w:r>
        <w:rPr>
          <w:rFonts w:hint="eastAsia" w:hAnsi="仿宋"/>
          <w:szCs w:val="30"/>
        </w:rPr>
        <w:t>项目资金预算批复情况</w:t>
      </w:r>
    </w:p>
    <w:p>
      <w:pPr>
        <w:spacing w:line="579" w:lineRule="exact"/>
        <w:ind w:firstLine="600" w:firstLineChars="200"/>
        <w:rPr>
          <w:rFonts w:hint="eastAsia" w:hAnsi="仿宋"/>
          <w:szCs w:val="30"/>
          <w:lang w:val="en-US" w:eastAsia="zh-CN"/>
        </w:rPr>
      </w:pPr>
      <w:r>
        <w:rPr>
          <w:rFonts w:hint="default" w:hAnsi="仿宋"/>
          <w:szCs w:val="30"/>
          <w:lang w:val="zh-CN" w:eastAsia="zh-CN"/>
        </w:rPr>
        <w:t>根据</w:t>
      </w:r>
      <w:r>
        <w:rPr>
          <w:rFonts w:hint="eastAsia" w:hAnsi="仿宋"/>
          <w:szCs w:val="30"/>
          <w:lang w:val="en-US" w:eastAsia="zh-CN"/>
        </w:rPr>
        <w:t>《德宏州盈江县勐弄乡勐典村2019年边疆党建长廊“四位一体”建设试点项目实施方案》及《盈江县发展和改革局关于勐弄乡勐典村2019年边疆党建长廊“四位一体”建设试点项目可行性研究报告的批复》（盈发改投资复〔2019〕307号）批准工程概算总投资130.00万元，其中：涉农整合资金100.00万元，盈江县工业和商务科技局乡镇农贸市场补助资金30.00万元。</w:t>
      </w:r>
    </w:p>
    <w:p>
      <w:pPr>
        <w:spacing w:line="579" w:lineRule="exact"/>
        <w:ind w:firstLine="600" w:firstLineChars="200"/>
        <w:rPr>
          <w:rFonts w:hAnsi="仿宋"/>
          <w:szCs w:val="30"/>
        </w:rPr>
      </w:pPr>
      <w:r>
        <w:rPr>
          <w:rFonts w:hint="eastAsia" w:hAnsi="仿宋"/>
          <w:szCs w:val="30"/>
        </w:rPr>
        <w:t>2.项目</w:t>
      </w:r>
      <w:r>
        <w:rPr>
          <w:rFonts w:hAnsi="仿宋"/>
          <w:szCs w:val="30"/>
        </w:rPr>
        <w:t>资金</w:t>
      </w:r>
      <w:r>
        <w:rPr>
          <w:rFonts w:hint="eastAsia" w:hAnsi="仿宋"/>
          <w:szCs w:val="30"/>
        </w:rPr>
        <w:t>到位情况</w:t>
      </w:r>
    </w:p>
    <w:p>
      <w:pPr>
        <w:spacing w:line="579" w:lineRule="exact"/>
        <w:ind w:firstLine="600" w:firstLineChars="200"/>
        <w:rPr>
          <w:rFonts w:hAnsi="仿宋"/>
          <w:szCs w:val="30"/>
        </w:rPr>
      </w:pPr>
      <w:r>
        <w:rPr>
          <w:rFonts w:hint="eastAsia" w:hAnsi="仿宋"/>
          <w:szCs w:val="30"/>
          <w:highlight w:val="none"/>
          <w:lang w:val="en-US" w:eastAsia="zh-CN"/>
        </w:rPr>
        <w:t>根据</w:t>
      </w:r>
      <w:r>
        <w:rPr>
          <w:rFonts w:hint="eastAsia" w:hAnsi="仿宋"/>
          <w:color w:val="auto"/>
          <w:szCs w:val="30"/>
          <w:highlight w:val="none"/>
          <w:lang w:val="en-US" w:eastAsia="zh-CN"/>
        </w:rPr>
        <w:t>《盈江县财政局关于下达2019年统筹整合第五批脱贫攻坚项目资金的通知》（盈财整合</w:t>
      </w:r>
      <w:r>
        <w:rPr>
          <w:rFonts w:hint="eastAsia" w:hAnsi="仿宋"/>
          <w:color w:val="auto"/>
          <w:szCs w:val="30"/>
          <w:highlight w:val="none"/>
        </w:rPr>
        <w:t>〔2019〕</w:t>
      </w:r>
      <w:r>
        <w:rPr>
          <w:rFonts w:hint="eastAsia" w:hAnsi="仿宋"/>
          <w:color w:val="auto"/>
          <w:szCs w:val="30"/>
          <w:highlight w:val="none"/>
          <w:lang w:val="en-US" w:eastAsia="zh-CN"/>
        </w:rPr>
        <w:t>69号）</w:t>
      </w:r>
      <w:r>
        <w:rPr>
          <w:rFonts w:hint="eastAsia" w:hAnsi="仿宋"/>
          <w:szCs w:val="30"/>
          <w:highlight w:val="none"/>
          <w:lang w:val="en-US" w:eastAsia="zh-CN"/>
        </w:rPr>
        <w:t>，下达</w:t>
      </w:r>
      <w:r>
        <w:rPr>
          <w:rFonts w:hint="eastAsia" w:ascii="仿宋" w:hAnsi="仿宋" w:eastAsia="仿宋" w:cs="仿宋"/>
          <w:kern w:val="30"/>
          <w:sz w:val="30"/>
          <w:szCs w:val="30"/>
        </w:rPr>
        <w:t>盈江县</w:t>
      </w:r>
      <w:r>
        <w:rPr>
          <w:rFonts w:hint="eastAsia" w:hAnsi="仿宋" w:cs="仿宋"/>
          <w:kern w:val="30"/>
          <w:sz w:val="30"/>
          <w:szCs w:val="30"/>
          <w:lang w:val="en-US" w:eastAsia="zh-CN"/>
        </w:rPr>
        <w:t>勐弄</w:t>
      </w:r>
      <w:r>
        <w:rPr>
          <w:rFonts w:hint="eastAsia" w:ascii="仿宋" w:hAnsi="仿宋" w:eastAsia="仿宋" w:cs="仿宋"/>
          <w:kern w:val="30"/>
          <w:sz w:val="30"/>
          <w:szCs w:val="30"/>
        </w:rPr>
        <w:t>乡</w:t>
      </w:r>
      <w:r>
        <w:rPr>
          <w:rFonts w:hint="eastAsia" w:hAnsi="仿宋" w:cs="仿宋"/>
          <w:kern w:val="30"/>
          <w:sz w:val="30"/>
          <w:szCs w:val="30"/>
          <w:lang w:val="en-US" w:eastAsia="zh-CN"/>
        </w:rPr>
        <w:t>2019年</w:t>
      </w:r>
      <w:r>
        <w:rPr>
          <w:rFonts w:hint="eastAsia" w:hAnsi="仿宋"/>
          <w:szCs w:val="30"/>
          <w:lang w:val="en-US" w:eastAsia="zh-CN"/>
        </w:rPr>
        <w:t>农贸市场建设项目（村集体经济）预算</w:t>
      </w:r>
      <w:r>
        <w:rPr>
          <w:rFonts w:hAnsi="仿宋"/>
          <w:szCs w:val="30"/>
        </w:rPr>
        <w:t>资金</w:t>
      </w:r>
      <w:r>
        <w:rPr>
          <w:rFonts w:hint="eastAsia" w:hAnsi="仿宋"/>
          <w:szCs w:val="30"/>
          <w:lang w:val="en-US" w:eastAsia="zh-CN"/>
        </w:rPr>
        <w:t>100.00</w:t>
      </w:r>
      <w:r>
        <w:rPr>
          <w:rFonts w:hint="eastAsia" w:hAnsi="仿宋"/>
          <w:szCs w:val="30"/>
        </w:rPr>
        <w:t>万元</w:t>
      </w:r>
      <w:r>
        <w:rPr>
          <w:rFonts w:hAnsi="仿宋"/>
          <w:szCs w:val="30"/>
        </w:rPr>
        <w:t>，</w:t>
      </w:r>
      <w:r>
        <w:rPr>
          <w:rFonts w:hint="eastAsia" w:hAnsi="仿宋"/>
          <w:szCs w:val="30"/>
          <w:lang w:val="en-US" w:eastAsia="zh-CN"/>
        </w:rPr>
        <w:t>均为涉农统筹整合资金，</w:t>
      </w:r>
      <w:r>
        <w:rPr>
          <w:rFonts w:hAnsi="仿宋"/>
          <w:szCs w:val="30"/>
        </w:rPr>
        <w:t>资金到位率</w:t>
      </w:r>
      <w:r>
        <w:rPr>
          <w:rFonts w:hint="eastAsia" w:hAnsi="仿宋"/>
          <w:szCs w:val="30"/>
          <w:lang w:val="en-US" w:eastAsia="zh-CN"/>
        </w:rPr>
        <w:t>76.92</w:t>
      </w:r>
      <w:r>
        <w:rPr>
          <w:rFonts w:hAnsi="仿宋"/>
          <w:szCs w:val="30"/>
        </w:rPr>
        <w:t>%</w:t>
      </w:r>
      <w:r>
        <w:rPr>
          <w:rFonts w:hint="eastAsia" w:hAnsi="仿宋"/>
          <w:szCs w:val="30"/>
          <w:lang w:eastAsia="zh-CN"/>
        </w:rPr>
        <w:t>，</w:t>
      </w:r>
      <w:r>
        <w:rPr>
          <w:rFonts w:hint="eastAsia" w:hAnsi="仿宋"/>
          <w:szCs w:val="30"/>
          <w:lang w:val="en-US" w:eastAsia="zh-CN"/>
        </w:rPr>
        <w:t>截至评价日</w:t>
      </w:r>
      <w:r>
        <w:rPr>
          <w:rFonts w:hint="eastAsia" w:hAnsi="仿宋"/>
          <w:szCs w:val="30"/>
        </w:rPr>
        <w:t>未到位资金</w:t>
      </w:r>
      <w:r>
        <w:rPr>
          <w:rFonts w:hint="eastAsia" w:hAnsi="仿宋"/>
          <w:szCs w:val="30"/>
          <w:lang w:val="en-US" w:eastAsia="zh-CN"/>
        </w:rPr>
        <w:t>30.00</w:t>
      </w:r>
      <w:r>
        <w:rPr>
          <w:rFonts w:hint="eastAsia" w:hAnsi="仿宋"/>
          <w:szCs w:val="30"/>
        </w:rPr>
        <w:t>万元</w:t>
      </w:r>
      <w:r>
        <w:rPr>
          <w:rFonts w:hAnsi="仿宋"/>
          <w:szCs w:val="30"/>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3.项目资金使用情况</w:t>
      </w:r>
    </w:p>
    <w:p>
      <w:pPr>
        <w:spacing w:line="579" w:lineRule="exact"/>
        <w:ind w:firstLine="600" w:firstLineChars="200"/>
        <w:rPr>
          <w:rFonts w:hint="eastAsia" w:hAnsi="仿宋"/>
          <w:sz w:val="30"/>
          <w:szCs w:val="30"/>
          <w:lang w:eastAsia="zh-CN"/>
        </w:rPr>
      </w:pPr>
      <w:r>
        <w:rPr>
          <w:rFonts w:hint="eastAsia" w:hAnsi="仿宋"/>
          <w:szCs w:val="30"/>
          <w:lang w:val="en-US" w:eastAsia="zh-CN"/>
        </w:rPr>
        <w:t>盈江县勐弄乡勐典村2019年边疆党建长廊“四位一体”建设试点—勐弄乡农贸市场建设项目（村集体经济）实际使用</w:t>
      </w:r>
      <w:r>
        <w:rPr>
          <w:rFonts w:hint="eastAsia" w:ascii="仿宋" w:hAnsi="仿宋" w:eastAsia="仿宋"/>
          <w:sz w:val="30"/>
          <w:szCs w:val="30"/>
        </w:rPr>
        <w:t>资金</w:t>
      </w:r>
      <w:r>
        <w:rPr>
          <w:rFonts w:hint="eastAsia" w:hAnsi="仿宋"/>
          <w:sz w:val="30"/>
          <w:szCs w:val="30"/>
          <w:lang w:val="en-US" w:eastAsia="zh-CN"/>
        </w:rPr>
        <w:t>100.00</w:t>
      </w:r>
      <w:r>
        <w:rPr>
          <w:rFonts w:hint="eastAsia" w:ascii="仿宋" w:hAnsi="仿宋" w:eastAsia="仿宋"/>
          <w:sz w:val="30"/>
          <w:szCs w:val="30"/>
        </w:rPr>
        <w:t>万元</w:t>
      </w:r>
      <w:r>
        <w:rPr>
          <w:rFonts w:hint="eastAsia" w:hAnsi="仿宋"/>
          <w:sz w:val="30"/>
          <w:szCs w:val="30"/>
          <w:lang w:eastAsia="zh-CN"/>
        </w:rPr>
        <w:t>，</w:t>
      </w:r>
      <w:r>
        <w:rPr>
          <w:rFonts w:hint="eastAsia" w:hAnsi="仿宋"/>
          <w:sz w:val="30"/>
          <w:szCs w:val="30"/>
          <w:lang w:val="en-US" w:eastAsia="zh-CN"/>
        </w:rPr>
        <w:t>到位资金已全额支付</w:t>
      </w:r>
      <w:r>
        <w:rPr>
          <w:rFonts w:hint="eastAsia" w:hAnsi="仿宋"/>
          <w:sz w:val="30"/>
          <w:szCs w:val="30"/>
          <w:lang w:eastAsia="zh-CN"/>
        </w:rPr>
        <w:t>。</w:t>
      </w:r>
    </w:p>
    <w:p>
      <w:pPr>
        <w:spacing w:line="579" w:lineRule="exact"/>
        <w:ind w:firstLine="600" w:firstLineChars="200"/>
        <w:outlineLvl w:val="1"/>
        <w:rPr>
          <w:rFonts w:ascii="楷体" w:hAnsi="楷体" w:eastAsia="楷体"/>
          <w:szCs w:val="30"/>
        </w:rPr>
      </w:pPr>
      <w:bookmarkStart w:id="5" w:name="_Toc529348767"/>
      <w:bookmarkStart w:id="6" w:name="_Toc528070243"/>
      <w:r>
        <w:rPr>
          <w:rFonts w:hint="eastAsia" w:ascii="楷体" w:hAnsi="楷体" w:eastAsia="楷体"/>
          <w:szCs w:val="30"/>
        </w:rPr>
        <w:t>（三）项目实施内容</w:t>
      </w:r>
      <w:bookmarkEnd w:id="5"/>
      <w:bookmarkEnd w:id="6"/>
    </w:p>
    <w:p>
      <w:pPr>
        <w:spacing w:line="579" w:lineRule="exact"/>
        <w:ind w:firstLine="600" w:firstLineChars="200"/>
        <w:rPr>
          <w:rFonts w:hint="default" w:hAnsi="仿宋"/>
          <w:szCs w:val="30"/>
          <w:lang w:val="en-US" w:eastAsia="zh-CN"/>
        </w:rPr>
      </w:pPr>
      <w:r>
        <w:rPr>
          <w:rFonts w:hint="eastAsia" w:hAnsi="仿宋"/>
          <w:szCs w:val="30"/>
          <w:lang w:val="en-US" w:eastAsia="zh-CN"/>
        </w:rPr>
        <w:t>根据《盈江县发展和改革局关于勐弄乡勐典村2019年边疆党建长廊“四位一体”建设试点项目可行性研究报告的批复》（盈发改投资复〔2019〕307号）及《德宏州盈江县勐弄乡勐典村2019年边疆党建长廊“四位一体”建设试点项目实施方案》文件精神</w:t>
      </w:r>
      <w:r>
        <w:rPr>
          <w:rFonts w:hint="eastAsia" w:ascii="宋体" w:hAnsi="宋体" w:cs="宋体"/>
          <w:sz w:val="32"/>
          <w:szCs w:val="32"/>
        </w:rPr>
        <w:t>，</w:t>
      </w:r>
      <w:r>
        <w:rPr>
          <w:rFonts w:hint="eastAsia" w:hAnsi="仿宋"/>
          <w:szCs w:val="30"/>
          <w:lang w:val="en-US" w:eastAsia="zh-CN"/>
        </w:rPr>
        <w:t>盈江县勐弄乡勐典村2019年边疆党建长廊“四位一体”建设试点—勐弄乡农贸市场建设项目（村集体经济）主要建设内容为：建设5米高钢架结构大棚900㎡、场地硬化C20砼900㎡、新建面积为300㎡的钢架结构商铺一层（18个铺面）、新建长1.5米宽0.8米的水泥现浇板摊位80个</w:t>
      </w:r>
      <w:r>
        <w:rPr>
          <w:rFonts w:hint="default" w:hAnsi="仿宋"/>
          <w:szCs w:val="30"/>
          <w:lang w:val="en-US" w:eastAsia="zh-CN"/>
        </w:rPr>
        <w:t>。</w:t>
      </w:r>
    </w:p>
    <w:p>
      <w:pPr>
        <w:spacing w:line="570" w:lineRule="exact"/>
        <w:ind w:firstLine="600" w:firstLineChars="200"/>
        <w:outlineLvl w:val="1"/>
        <w:rPr>
          <w:rFonts w:ascii="楷体" w:hAnsi="楷体" w:eastAsia="楷体"/>
          <w:sz w:val="30"/>
          <w:szCs w:val="30"/>
        </w:rPr>
      </w:pPr>
      <w:bookmarkStart w:id="7" w:name="_Toc51333611"/>
      <w:r>
        <w:rPr>
          <w:rFonts w:hint="eastAsia" w:ascii="楷体" w:hAnsi="楷体" w:eastAsia="楷体"/>
          <w:sz w:val="30"/>
          <w:szCs w:val="30"/>
        </w:rPr>
        <w:t>（四）绩效目标设立情况</w:t>
      </w:r>
      <w:bookmarkEnd w:id="7"/>
    </w:p>
    <w:p>
      <w:pPr>
        <w:spacing w:line="579" w:lineRule="exact"/>
        <w:ind w:firstLine="600" w:firstLineChars="200"/>
        <w:rPr>
          <w:rFonts w:hAnsi="仿宋"/>
          <w:szCs w:val="30"/>
        </w:rPr>
      </w:pPr>
      <w:r>
        <w:rPr>
          <w:rFonts w:hint="eastAsia" w:hAnsi="仿宋"/>
          <w:szCs w:val="30"/>
        </w:rPr>
        <w:t>1.预算申报绩效目标和绩效指标情况</w:t>
      </w:r>
    </w:p>
    <w:p>
      <w:pPr>
        <w:spacing w:line="579" w:lineRule="exact"/>
        <w:ind w:firstLine="600" w:firstLineChars="200"/>
        <w:rPr>
          <w:rFonts w:hint="default" w:ascii="宋体" w:hAnsi="宋体" w:cs="宋体"/>
          <w:sz w:val="32"/>
          <w:szCs w:val="32"/>
          <w:lang w:val="zh-CN"/>
        </w:rPr>
      </w:pPr>
      <w:r>
        <w:rPr>
          <w:rFonts w:hint="eastAsia" w:hAnsi="仿宋"/>
          <w:szCs w:val="30"/>
          <w:lang w:val="en-US" w:eastAsia="zh-CN"/>
        </w:rPr>
        <w:t>根据盈江县勐弄乡人民政府绩效目标申报表，盈江县勐弄乡勐典村2019年边疆党建长廊“四位一体”建设试点—勐弄乡农贸市场建设项目（村集体经济）申报</w:t>
      </w:r>
      <w:r>
        <w:rPr>
          <w:rFonts w:hint="eastAsia" w:hAnsi="仿宋"/>
          <w:szCs w:val="30"/>
        </w:rPr>
        <w:t>的绩效目标为</w:t>
      </w:r>
      <w:r>
        <w:rPr>
          <w:rFonts w:hint="eastAsia" w:hAnsi="仿宋"/>
          <w:szCs w:val="30"/>
          <w:lang w:eastAsia="zh-CN"/>
        </w:rPr>
        <w:t>：新建攻坚结构大棚900平方米，场地硬化900平方米，摊位80个，辐射勐典村9个自然村27个村民小组群众1148户4839人，通过项目实施有效提高现有市场容量，扩大四川规模，增加租赁收入，不</w:t>
      </w:r>
      <w:r>
        <w:rPr>
          <w:rFonts w:hint="eastAsia" w:hAnsi="仿宋"/>
          <w:szCs w:val="30"/>
          <w:lang w:val="en-US" w:eastAsia="zh-CN"/>
        </w:rPr>
        <w:t>仅</w:t>
      </w:r>
      <w:r>
        <w:rPr>
          <w:rFonts w:hint="eastAsia" w:hAnsi="仿宋"/>
          <w:szCs w:val="30"/>
          <w:lang w:eastAsia="zh-CN"/>
        </w:rPr>
        <w:t>提高群众收入，还可增加村集体经济收入，预计项目实施后，勐典村集体每年可产生集体经济收入11.84万元。</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盈江县勐弄乡人民政府</w:t>
      </w:r>
      <w:r>
        <w:rPr>
          <w:rFonts w:hint="eastAsia" w:ascii="仿宋" w:hAnsi="仿宋" w:eastAsia="仿宋"/>
          <w:sz w:val="30"/>
          <w:szCs w:val="30"/>
        </w:rPr>
        <w:t>根据绩效目标，设立了</w:t>
      </w:r>
      <w:r>
        <w:rPr>
          <w:rFonts w:hint="eastAsia" w:hAnsi="仿宋"/>
          <w:sz w:val="30"/>
          <w:szCs w:val="30"/>
          <w:lang w:val="en-US" w:eastAsia="zh-CN"/>
        </w:rPr>
        <w:t>10</w:t>
      </w:r>
      <w:r>
        <w:rPr>
          <w:rFonts w:hint="eastAsia" w:ascii="仿宋" w:hAnsi="仿宋" w:eastAsia="仿宋"/>
          <w:sz w:val="30"/>
          <w:szCs w:val="30"/>
        </w:rPr>
        <w:t>个绩效考核指标。</w:t>
      </w:r>
      <w:r>
        <w:rPr>
          <w:rFonts w:hint="eastAsia" w:hAnsi="仿宋"/>
          <w:sz w:val="30"/>
          <w:szCs w:val="30"/>
          <w:lang w:val="en-US" w:eastAsia="zh-CN"/>
        </w:rPr>
        <w:t>具体情况如下表所示：</w:t>
      </w:r>
    </w:p>
    <w:p>
      <w:pPr>
        <w:keepNext w:val="0"/>
        <w:keepLines w:val="0"/>
        <w:pageBreakBefore w:val="0"/>
        <w:widowControl w:val="0"/>
        <w:kinsoku/>
        <w:wordWrap/>
        <w:overflowPunct/>
        <w:topLinePunct w:val="0"/>
        <w:autoSpaceDE/>
        <w:autoSpaceDN/>
        <w:bidi w:val="0"/>
        <w:adjustRightInd/>
        <w:snapToGrid/>
        <w:spacing w:before="157" w:beforeLines="50" w:after="157" w:afterLines="50" w:line="579" w:lineRule="exact"/>
        <w:ind w:firstLine="0" w:firstLineChars="0"/>
        <w:jc w:val="center"/>
        <w:textAlignment w:val="auto"/>
        <w:rPr>
          <w:rFonts w:hint="default" w:hAnsi="仿宋"/>
          <w:sz w:val="30"/>
          <w:szCs w:val="30"/>
          <w:lang w:val="en-US" w:eastAsia="zh-CN"/>
        </w:rPr>
      </w:pPr>
      <w:r>
        <w:rPr>
          <w:rFonts w:hint="eastAsia" w:ascii="黑体" w:hAnsi="黑体" w:eastAsia="黑体"/>
          <w:sz w:val="24"/>
          <w:szCs w:val="24"/>
        </w:rPr>
        <w:t>表</w:t>
      </w:r>
      <w:r>
        <w:rPr>
          <w:rFonts w:hint="eastAsia" w:ascii="黑体" w:hAnsi="黑体" w:eastAsia="黑体"/>
          <w:sz w:val="24"/>
          <w:szCs w:val="24"/>
          <w:lang w:val="en-US" w:eastAsia="zh-CN"/>
        </w:rPr>
        <w:t>1</w:t>
      </w:r>
      <w:r>
        <w:rPr>
          <w:rFonts w:hint="eastAsia" w:ascii="黑体" w:hAnsi="黑体" w:eastAsia="黑体"/>
          <w:sz w:val="24"/>
          <w:szCs w:val="24"/>
        </w:rPr>
        <w:t>：预算申报绩效指标表</w:t>
      </w:r>
    </w:p>
    <w:tbl>
      <w:tblPr>
        <w:tblStyle w:val="6"/>
        <w:tblW w:w="8215" w:type="dxa"/>
        <w:jc w:val="center"/>
        <w:shd w:val="clear" w:color="auto" w:fill="auto"/>
        <w:tblLayout w:type="autofit"/>
        <w:tblCellMar>
          <w:top w:w="0" w:type="dxa"/>
          <w:left w:w="0" w:type="dxa"/>
          <w:bottom w:w="0" w:type="dxa"/>
          <w:right w:w="0" w:type="dxa"/>
        </w:tblCellMar>
      </w:tblPr>
      <w:tblGrid>
        <w:gridCol w:w="960"/>
        <w:gridCol w:w="1495"/>
        <w:gridCol w:w="3564"/>
        <w:gridCol w:w="2196"/>
      </w:tblGrid>
      <w:tr>
        <w:tblPrEx>
          <w:shd w:val="clear" w:color="auto" w:fill="auto"/>
          <w:tblCellMar>
            <w:top w:w="0" w:type="dxa"/>
            <w:left w:w="0" w:type="dxa"/>
            <w:bottom w:w="0" w:type="dxa"/>
            <w:right w:w="0" w:type="dxa"/>
          </w:tblCellMar>
        </w:tblPrEx>
        <w:trPr>
          <w:trHeight w:val="340" w:hRule="exact"/>
          <w:tblHeader/>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一级指标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二级指标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三级指标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指标值</w:t>
            </w:r>
          </w:p>
        </w:tc>
      </w:tr>
      <w:tr>
        <w:tblPrEx>
          <w:shd w:val="clear" w:color="auto" w:fill="auto"/>
          <w:tblCellMar>
            <w:top w:w="0" w:type="dxa"/>
            <w:left w:w="0" w:type="dxa"/>
            <w:bottom w:w="0" w:type="dxa"/>
            <w:right w:w="0" w:type="dxa"/>
          </w:tblCellMar>
        </w:tblPrEx>
        <w:trPr>
          <w:trHeight w:val="637" w:hRule="exact"/>
          <w:jc w:val="center"/>
        </w:trPr>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贫困地区贫困人口加入合作社、村集体经济组织人数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4839人</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资产入股贫困人口数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4839人</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时效指标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项目实施期限</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1年</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成本指标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大棚成本每平方米</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1111元</w:t>
            </w:r>
          </w:p>
        </w:tc>
      </w:tr>
      <w:tr>
        <w:tblPrEx>
          <w:shd w:val="clear" w:color="auto" w:fill="auto"/>
          <w:tblCellMar>
            <w:top w:w="0" w:type="dxa"/>
            <w:left w:w="0" w:type="dxa"/>
            <w:bottom w:w="0" w:type="dxa"/>
            <w:right w:w="0" w:type="dxa"/>
          </w:tblCellMar>
        </w:tblPrEx>
        <w:trPr>
          <w:trHeight w:val="340" w:hRule="exact"/>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效益指标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经济效益指标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村集体经济年收入</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25万</w:t>
            </w:r>
          </w:p>
        </w:tc>
      </w:tr>
      <w:tr>
        <w:tblPrEx>
          <w:tblCellMar>
            <w:top w:w="0" w:type="dxa"/>
            <w:left w:w="0" w:type="dxa"/>
            <w:bottom w:w="0" w:type="dxa"/>
            <w:right w:w="0" w:type="dxa"/>
          </w:tblCellMar>
        </w:tblPrEx>
        <w:trPr>
          <w:trHeight w:val="340" w:hRule="exact"/>
          <w:jc w:val="center"/>
        </w:trPr>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30"/>
                <w:sz w:val="20"/>
                <w:szCs w:val="20"/>
                <w:u w:val="none"/>
                <w:lang w:val="en-US" w:eastAsia="zh-CN" w:bidi="ar-SA"/>
              </w:rPr>
            </w:pPr>
            <w:r>
              <w:rPr>
                <w:rFonts w:hint="eastAsia" w:hAnsi="仿宋" w:cs="仿宋"/>
                <w:i w:val="0"/>
                <w:color w:val="000000"/>
                <w:sz w:val="20"/>
                <w:szCs w:val="20"/>
                <w:u w:val="none"/>
                <w:lang w:val="en-US" w:eastAsia="zh-CN"/>
              </w:rPr>
              <w:t>效益指标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kern w:val="30"/>
                <w:sz w:val="20"/>
                <w:szCs w:val="20"/>
                <w:u w:val="none"/>
                <w:lang w:val="en-US" w:eastAsia="zh-CN" w:bidi="ar-SA"/>
              </w:rPr>
            </w:pPr>
            <w:r>
              <w:rPr>
                <w:rFonts w:hint="eastAsia" w:hAnsi="仿宋" w:cs="仿宋"/>
                <w:i w:val="0"/>
                <w:color w:val="000000"/>
                <w:sz w:val="20"/>
                <w:szCs w:val="20"/>
                <w:u w:val="none"/>
                <w:lang w:val="en-US" w:eastAsia="zh-CN"/>
              </w:rPr>
              <w:t>经济效益指标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带动增加贫困人口全年总收入</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8万</w:t>
            </w:r>
          </w:p>
        </w:tc>
      </w:tr>
      <w:tr>
        <w:tblPrEx>
          <w:tblCellMar>
            <w:top w:w="0" w:type="dxa"/>
            <w:left w:w="0" w:type="dxa"/>
            <w:bottom w:w="0" w:type="dxa"/>
            <w:right w:w="0" w:type="dxa"/>
          </w:tblCellMar>
        </w:tblPrEx>
        <w:trPr>
          <w:trHeight w:val="333"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社会效益指标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带动建档立卡贫困人口脱贫数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1076人</w:t>
            </w:r>
          </w:p>
        </w:tc>
      </w:tr>
      <w:tr>
        <w:tblPrEx>
          <w:tblCellMar>
            <w:top w:w="0" w:type="dxa"/>
            <w:left w:w="0" w:type="dxa"/>
            <w:bottom w:w="0" w:type="dxa"/>
            <w:right w:w="0" w:type="dxa"/>
          </w:tblCellMar>
        </w:tblPrEx>
        <w:trPr>
          <w:trHeight w:val="340" w:hRule="exact"/>
          <w:jc w:val="center"/>
        </w:trPr>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受益建档立卡贫困人口数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1076人</w:t>
            </w:r>
          </w:p>
        </w:tc>
      </w:tr>
      <w:tr>
        <w:tblPrEx>
          <w:tblCellMar>
            <w:top w:w="0" w:type="dxa"/>
            <w:left w:w="0" w:type="dxa"/>
            <w:bottom w:w="0" w:type="dxa"/>
            <w:right w:w="0" w:type="dxa"/>
          </w:tblCellMar>
        </w:tblPrEx>
        <w:trPr>
          <w:trHeight w:val="340" w:hRule="exact"/>
          <w:jc w:val="center"/>
        </w:trPr>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受益贫困人口数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4839人</w:t>
            </w:r>
          </w:p>
        </w:tc>
      </w:tr>
      <w:tr>
        <w:tblPrEx>
          <w:tblCellMar>
            <w:top w:w="0" w:type="dxa"/>
            <w:left w:w="0" w:type="dxa"/>
            <w:bottom w:w="0" w:type="dxa"/>
            <w:right w:w="0" w:type="dxa"/>
          </w:tblCellMar>
        </w:tblPrEx>
        <w:trPr>
          <w:trHeight w:val="340" w:hRule="exact"/>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服务对象满意度指标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资产入股贫困人口满意度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rPr>
              <w:t>≥</w:t>
            </w:r>
            <w:r>
              <w:rPr>
                <w:rFonts w:hint="eastAsia" w:hAnsi="仿宋" w:cs="仿宋"/>
                <w:i w:val="0"/>
                <w:color w:val="000000"/>
                <w:sz w:val="20"/>
                <w:szCs w:val="20"/>
                <w:u w:val="none"/>
                <w:lang w:val="en-US" w:eastAsia="zh-CN"/>
              </w:rPr>
              <w:t>95%</w:t>
            </w:r>
          </w:p>
        </w:tc>
      </w:tr>
    </w:tbl>
    <w:p>
      <w:pPr>
        <w:spacing w:line="579" w:lineRule="exact"/>
        <w:ind w:firstLine="600" w:firstLineChars="200"/>
        <w:rPr>
          <w:rFonts w:hAnsi="仿宋"/>
          <w:color w:val="auto"/>
          <w:szCs w:val="30"/>
        </w:rPr>
      </w:pPr>
      <w:r>
        <w:rPr>
          <w:rFonts w:hint="eastAsia" w:hAnsi="仿宋"/>
          <w:color w:val="auto"/>
          <w:szCs w:val="30"/>
        </w:rPr>
        <w:t>2.绩效评价调整后的绩效指标情况</w:t>
      </w:r>
    </w:p>
    <w:p>
      <w:pPr>
        <w:spacing w:line="579" w:lineRule="exact"/>
        <w:ind w:firstLine="600" w:firstLineChars="200"/>
        <w:rPr>
          <w:rFonts w:hint="eastAsia" w:ascii="仿宋" w:hAnsi="仿宋" w:eastAsia="仿宋"/>
          <w:sz w:val="30"/>
          <w:szCs w:val="30"/>
        </w:rPr>
      </w:pPr>
      <w:r>
        <w:rPr>
          <w:rFonts w:hint="eastAsia" w:hAnsi="仿宋"/>
          <w:sz w:val="30"/>
          <w:szCs w:val="30"/>
          <w:lang w:val="en-US" w:eastAsia="zh-CN"/>
        </w:rPr>
        <w:t>盈江县勐弄乡人民政府</w:t>
      </w:r>
      <w:r>
        <w:rPr>
          <w:rFonts w:hint="eastAsia" w:ascii="仿宋" w:hAnsi="仿宋" w:eastAsia="仿宋" w:cs="仿宋"/>
          <w:kern w:val="30"/>
          <w:sz w:val="30"/>
          <w:szCs w:val="30"/>
        </w:rPr>
        <w:t>在</w:t>
      </w:r>
      <w:r>
        <w:rPr>
          <w:rFonts w:hint="eastAsia" w:hAnsi="仿宋" w:cs="仿宋"/>
          <w:kern w:val="30"/>
          <w:sz w:val="30"/>
          <w:szCs w:val="30"/>
          <w:lang w:val="en-US" w:eastAsia="zh-CN"/>
        </w:rPr>
        <w:t>申报</w:t>
      </w:r>
      <w:r>
        <w:rPr>
          <w:rFonts w:hint="eastAsia" w:ascii="仿宋" w:hAnsi="仿宋" w:eastAsia="仿宋" w:cs="仿宋"/>
          <w:kern w:val="30"/>
          <w:sz w:val="30"/>
          <w:szCs w:val="30"/>
        </w:rPr>
        <w:t>2019年预算绩效目标时</w:t>
      </w:r>
      <w:r>
        <w:rPr>
          <w:rFonts w:hint="eastAsia" w:hAnsi="仿宋" w:cs="仿宋"/>
          <w:kern w:val="30"/>
          <w:sz w:val="30"/>
          <w:szCs w:val="30"/>
          <w:lang w:val="en-US" w:eastAsia="zh-CN"/>
        </w:rPr>
        <w:t>绩效目标细化分解的绩效指标存在部分绩效指标与实施内容关联度不高、指标设置不够完善、合理及指标值无法衡量的情况，</w:t>
      </w:r>
      <w:r>
        <w:rPr>
          <w:rFonts w:hint="eastAsia" w:ascii="仿宋" w:hAnsi="仿宋" w:eastAsia="仿宋" w:cs="仿宋"/>
          <w:kern w:val="30"/>
          <w:sz w:val="30"/>
          <w:szCs w:val="30"/>
        </w:rPr>
        <w:t>本次绩效评价</w:t>
      </w:r>
      <w:r>
        <w:rPr>
          <w:rFonts w:hint="eastAsia" w:hAnsi="仿宋" w:cs="仿宋"/>
          <w:kern w:val="30"/>
          <w:sz w:val="30"/>
          <w:szCs w:val="30"/>
          <w:lang w:val="en-US" w:eastAsia="zh-CN"/>
        </w:rPr>
        <w:t>查阅了</w:t>
      </w:r>
      <w:r>
        <w:rPr>
          <w:rFonts w:hint="eastAsia" w:ascii="仿宋" w:hAnsi="仿宋" w:eastAsia="仿宋" w:cs="仿宋"/>
          <w:kern w:val="30"/>
          <w:sz w:val="30"/>
          <w:szCs w:val="30"/>
        </w:rPr>
        <w:t>项目申报表、实施方案等资料，结合项目情况，在与</w:t>
      </w:r>
      <w:r>
        <w:rPr>
          <w:rFonts w:hint="eastAsia" w:hAnsi="仿宋"/>
          <w:sz w:val="30"/>
          <w:szCs w:val="30"/>
          <w:lang w:val="en-US" w:eastAsia="zh-CN"/>
        </w:rPr>
        <w:t>盈江县勐弄乡人民政府</w:t>
      </w:r>
      <w:r>
        <w:rPr>
          <w:rFonts w:hint="eastAsia" w:ascii="仿宋" w:hAnsi="仿宋" w:eastAsia="仿宋" w:cs="仿宋"/>
          <w:kern w:val="30"/>
          <w:sz w:val="30"/>
          <w:szCs w:val="30"/>
        </w:rPr>
        <w:t>沟通一致的基础上，重新梳理</w:t>
      </w:r>
      <w:r>
        <w:rPr>
          <w:rFonts w:hint="eastAsia" w:hAnsi="仿宋"/>
          <w:szCs w:val="30"/>
          <w:lang w:val="en-US" w:eastAsia="zh-CN"/>
        </w:rPr>
        <w:t>盈江县勐弄乡勐典村2019年边疆党建长廊“四位一体”建设试点—勐弄乡农贸市场建设项目（村集体经济）</w:t>
      </w:r>
      <w:r>
        <w:rPr>
          <w:rFonts w:hint="eastAsia" w:ascii="仿宋" w:hAnsi="仿宋" w:eastAsia="仿宋" w:cs="仿宋"/>
          <w:kern w:val="30"/>
          <w:sz w:val="30"/>
          <w:szCs w:val="30"/>
        </w:rPr>
        <w:t>绩效目标。</w:t>
      </w:r>
      <w:r>
        <w:rPr>
          <w:rFonts w:hint="eastAsia" w:ascii="仿宋" w:hAnsi="仿宋" w:eastAsia="仿宋"/>
          <w:sz w:val="30"/>
          <w:szCs w:val="30"/>
        </w:rPr>
        <w:t>具体情况如下：</w:t>
      </w:r>
    </w:p>
    <w:p>
      <w:pPr>
        <w:spacing w:line="579" w:lineRule="exact"/>
        <w:ind w:firstLine="600" w:firstLineChars="200"/>
        <w:rPr>
          <w:rFonts w:ascii="楷体" w:hAnsi="楷体" w:eastAsia="楷体"/>
          <w:color w:val="000000" w:themeColor="text1"/>
          <w:szCs w:val="30"/>
          <w14:textFill>
            <w14:solidFill>
              <w14:schemeClr w14:val="tx1"/>
            </w14:solidFill>
          </w14:textFill>
        </w:rPr>
      </w:pPr>
      <w:r>
        <w:rPr>
          <w:rFonts w:hint="eastAsia" w:ascii="仿宋" w:hAnsi="仿宋" w:eastAsia="仿宋" w:cs="仿宋"/>
          <w:kern w:val="30"/>
          <w:sz w:val="30"/>
          <w:szCs w:val="30"/>
        </w:rPr>
        <w:t>通过</w:t>
      </w:r>
      <w:r>
        <w:rPr>
          <w:rFonts w:hint="eastAsia" w:hAnsi="仿宋"/>
          <w:szCs w:val="30"/>
          <w:lang w:val="en-US" w:eastAsia="zh-CN"/>
        </w:rPr>
        <w:t>盈江县勐弄乡勐典村2019年边疆党建长廊“四位一体”建设试点—勐弄乡农贸市场建设项目（村集体经济）</w:t>
      </w:r>
      <w:r>
        <w:rPr>
          <w:rFonts w:hint="eastAsia" w:ascii="仿宋" w:hAnsi="仿宋" w:eastAsia="仿宋" w:cs="仿宋"/>
          <w:kern w:val="30"/>
          <w:sz w:val="30"/>
          <w:szCs w:val="30"/>
        </w:rPr>
        <w:t>的实施，完成</w:t>
      </w:r>
      <w:r>
        <w:rPr>
          <w:rFonts w:hint="eastAsia" w:hAnsi="仿宋"/>
          <w:szCs w:val="30"/>
          <w:lang w:val="en-US" w:eastAsia="zh-CN"/>
        </w:rPr>
        <w:t>5米高钢架结构大棚900㎡、场地硬化C20砼900㎡、新建面积为300㎡的钢架结构商铺一层（18个铺面）、新建长1.5米宽0.8米的水泥现浇板摊位80个，项目实施后可增加村集体经济收入11.84万元，不仅有效解决了村集体无钱办事问题，而且助推了农村经济社会全面发展。</w:t>
      </w:r>
      <w:r>
        <w:rPr>
          <w:rFonts w:hint="eastAsia" w:ascii="仿宋" w:hAnsi="仿宋" w:eastAsia="仿宋" w:cs="仿宋"/>
          <w:kern w:val="30"/>
          <w:sz w:val="30"/>
          <w:szCs w:val="30"/>
        </w:rPr>
        <w:t>服务对象实施效果满意度达到9</w:t>
      </w:r>
      <w:r>
        <w:rPr>
          <w:rFonts w:hint="eastAsia" w:hAnsi="仿宋" w:cs="仿宋"/>
          <w:kern w:val="30"/>
          <w:sz w:val="30"/>
          <w:szCs w:val="30"/>
          <w:lang w:val="en-US" w:eastAsia="zh-CN"/>
        </w:rPr>
        <w:t>5</w:t>
      </w:r>
      <w:r>
        <w:rPr>
          <w:rFonts w:hint="eastAsia" w:ascii="仿宋" w:hAnsi="仿宋" w:eastAsia="仿宋" w:cs="仿宋"/>
          <w:kern w:val="30"/>
          <w:sz w:val="30"/>
          <w:szCs w:val="30"/>
        </w:rPr>
        <w:t>%以上。</w:t>
      </w:r>
      <w:r>
        <w:rPr>
          <w:rFonts w:hint="eastAsia" w:hAnsi="仿宋" w:cs="仿宋"/>
          <w:szCs w:val="30"/>
        </w:rPr>
        <w:t>调整后的绩效目标、绩效指标详见附件1：绩效评价绩效目标表。</w:t>
      </w:r>
      <w:bookmarkStart w:id="8" w:name="_Toc6712"/>
    </w:p>
    <w:p>
      <w:pPr>
        <w:spacing w:line="579" w:lineRule="exact"/>
        <w:ind w:firstLine="600" w:firstLineChars="200"/>
        <w:rPr>
          <w:rFonts w:hint="eastAsia" w:ascii="楷体" w:hAnsi="楷体" w:eastAsia="楷体"/>
          <w:color w:val="000000" w:themeColor="text1"/>
          <w:szCs w:val="30"/>
          <w14:textFill>
            <w14:solidFill>
              <w14:schemeClr w14:val="tx1"/>
            </w14:solidFill>
          </w14:textFill>
        </w:rPr>
      </w:pPr>
      <w:r>
        <w:rPr>
          <w:rFonts w:ascii="楷体" w:hAnsi="楷体" w:eastAsia="楷体"/>
          <w:color w:val="000000" w:themeColor="text1"/>
          <w:szCs w:val="30"/>
          <w14:textFill>
            <w14:solidFill>
              <w14:schemeClr w14:val="tx1"/>
            </w14:solidFill>
          </w14:textFill>
        </w:rPr>
        <w:fldChar w:fldCharType="begin"/>
      </w:r>
      <w:r>
        <w:rPr>
          <w:rFonts w:ascii="楷体" w:hAnsi="楷体" w:eastAsia="楷体"/>
          <w:color w:val="000000" w:themeColor="text1"/>
          <w:szCs w:val="30"/>
          <w14:textFill>
            <w14:solidFill>
              <w14:schemeClr w14:val="tx1"/>
            </w14:solidFill>
          </w14:textFill>
        </w:rPr>
        <w:instrText xml:space="preserve"> HYPERLINK \l "_Toc434746189" </w:instrText>
      </w:r>
      <w:r>
        <w:rPr>
          <w:rFonts w:ascii="楷体" w:hAnsi="楷体" w:eastAsia="楷体"/>
          <w:color w:val="000000" w:themeColor="text1"/>
          <w:szCs w:val="30"/>
          <w14:textFill>
            <w14:solidFill>
              <w14:schemeClr w14:val="tx1"/>
            </w14:solidFill>
          </w14:textFill>
        </w:rPr>
        <w:fldChar w:fldCharType="separate"/>
      </w:r>
      <w:bookmarkStart w:id="9" w:name="_Toc516669091"/>
      <w:r>
        <w:rPr>
          <w:rFonts w:hint="eastAsia" w:ascii="楷体" w:hAnsi="楷体" w:eastAsia="楷体"/>
          <w:color w:val="000000" w:themeColor="text1"/>
          <w:szCs w:val="30"/>
          <w14:textFill>
            <w14:solidFill>
              <w14:schemeClr w14:val="tx1"/>
            </w14:solidFill>
          </w14:textFill>
        </w:rPr>
        <w:t>（五）</w:t>
      </w:r>
      <w:r>
        <w:rPr>
          <w:rFonts w:ascii="楷体" w:hAnsi="楷体" w:eastAsia="楷体"/>
          <w:color w:val="000000" w:themeColor="text1"/>
          <w:szCs w:val="30"/>
          <w14:textFill>
            <w14:solidFill>
              <w14:schemeClr w14:val="tx1"/>
            </w14:solidFill>
          </w14:textFill>
        </w:rPr>
        <w:fldChar w:fldCharType="end"/>
      </w:r>
      <w:r>
        <w:rPr>
          <w:rFonts w:hint="eastAsia" w:ascii="楷体" w:hAnsi="楷体" w:eastAsia="楷体"/>
          <w:color w:val="000000" w:themeColor="text1"/>
          <w:szCs w:val="30"/>
          <w14:textFill>
            <w14:solidFill>
              <w14:schemeClr w14:val="tx1"/>
            </w14:solidFill>
          </w14:textFill>
        </w:rPr>
        <w:t>组织管理情况</w:t>
      </w:r>
      <w:bookmarkEnd w:id="8"/>
      <w:bookmarkEnd w:id="9"/>
    </w:p>
    <w:p>
      <w:pPr>
        <w:numPr>
          <w:ilvl w:val="0"/>
          <w:numId w:val="0"/>
        </w:numPr>
        <w:spacing w:line="579" w:lineRule="exact"/>
        <w:ind w:firstLine="600" w:firstLineChars="200"/>
        <w:rPr>
          <w:rFonts w:hint="eastAsia" w:hAnsi="仿宋" w:cs="仿宋"/>
          <w:szCs w:val="30"/>
        </w:rPr>
      </w:pPr>
      <w:r>
        <w:rPr>
          <w:rFonts w:hint="eastAsia" w:hAnsi="仿宋" w:cs="仿宋"/>
          <w:szCs w:val="30"/>
        </w:rPr>
        <w:t>1.项目组织情况</w:t>
      </w:r>
    </w:p>
    <w:p>
      <w:pPr>
        <w:numPr>
          <w:ilvl w:val="0"/>
          <w:numId w:val="0"/>
        </w:numPr>
        <w:spacing w:line="579" w:lineRule="exact"/>
        <w:ind w:firstLine="600" w:firstLineChars="200"/>
        <w:rPr>
          <w:rFonts w:hint="eastAsia" w:hAnsi="仿宋" w:cs="仿宋"/>
          <w:szCs w:val="30"/>
        </w:rPr>
      </w:pPr>
      <w:r>
        <w:rPr>
          <w:rFonts w:hint="eastAsia" w:hAnsi="仿宋" w:cs="仿宋"/>
          <w:szCs w:val="30"/>
        </w:rPr>
        <w:t>为确保</w:t>
      </w:r>
      <w:r>
        <w:rPr>
          <w:rFonts w:hint="eastAsia" w:hAnsi="仿宋"/>
          <w:szCs w:val="30"/>
          <w:lang w:val="en-US" w:eastAsia="zh-CN"/>
        </w:rPr>
        <w:t>盈江县勐弄乡勐典村2019年边疆党建长廊“四位一体”建设试点—勐弄乡农贸市场建设项目（村集体经济）</w:t>
      </w:r>
      <w:r>
        <w:rPr>
          <w:rFonts w:hint="eastAsia" w:hAnsi="仿宋" w:cs="仿宋"/>
          <w:szCs w:val="30"/>
        </w:rPr>
        <w:t>顺利实施，经</w:t>
      </w:r>
      <w:r>
        <w:rPr>
          <w:rFonts w:hint="eastAsia" w:hAnsi="仿宋"/>
          <w:sz w:val="30"/>
          <w:szCs w:val="30"/>
          <w:lang w:val="en-US" w:eastAsia="zh-CN"/>
        </w:rPr>
        <w:t>勐弄乡人民政府</w:t>
      </w:r>
      <w:r>
        <w:rPr>
          <w:rFonts w:hint="eastAsia" w:hAnsi="仿宋" w:cs="仿宋"/>
          <w:szCs w:val="30"/>
          <w:highlight w:val="none"/>
        </w:rPr>
        <w:t>研究</w:t>
      </w:r>
      <w:r>
        <w:rPr>
          <w:rFonts w:hint="eastAsia" w:hAnsi="仿宋" w:cs="仿宋"/>
          <w:szCs w:val="30"/>
          <w:highlight w:val="none"/>
          <w:lang w:val="en-US" w:eastAsia="zh-CN"/>
        </w:rPr>
        <w:t>决定成立边境地区转移支付领导小组，由副镇长任项目组组长、各相关单位为成员</w:t>
      </w:r>
      <w:r>
        <w:rPr>
          <w:rFonts w:hint="eastAsia" w:hAnsi="仿宋" w:cs="仿宋"/>
          <w:szCs w:val="30"/>
          <w:highlight w:val="none"/>
        </w:rPr>
        <w:t>。主要职责：审核、上报项目规划设计和概算文件；审核、上报年度</w:t>
      </w:r>
      <w:r>
        <w:rPr>
          <w:rFonts w:hint="eastAsia" w:hAnsi="仿宋" w:cs="仿宋"/>
          <w:szCs w:val="30"/>
        </w:rPr>
        <w:t>投资计划并落实年度资金；项目资金的筹集和管理；提出项目开工报告；研究解决建设过程中出现的重大问题；对投资计划和项目执行、资金使用情况进行检查、监督，负责组织项目初验；负责提出项目竣工验收申请报告，并对竣工项目进行验收或预验收。</w:t>
      </w:r>
    </w:p>
    <w:p>
      <w:pPr>
        <w:numPr>
          <w:ilvl w:val="0"/>
          <w:numId w:val="0"/>
        </w:numPr>
        <w:spacing w:line="579" w:lineRule="exact"/>
        <w:ind w:firstLine="600" w:firstLineChars="200"/>
        <w:rPr>
          <w:rFonts w:hint="eastAsia" w:hAnsi="仿宋" w:cs="仿宋"/>
          <w:szCs w:val="30"/>
        </w:rPr>
      </w:pPr>
      <w:r>
        <w:rPr>
          <w:rFonts w:hint="eastAsia" w:hAnsi="仿宋" w:cs="仿宋"/>
          <w:szCs w:val="30"/>
        </w:rPr>
        <w:t>2.项目管理情况</w:t>
      </w:r>
    </w:p>
    <w:p>
      <w:pPr>
        <w:ind w:firstLine="600" w:firstLineChars="200"/>
        <w:rPr>
          <w:rFonts w:hint="eastAsia" w:ascii="仿宋" w:hAnsi="仿宋" w:eastAsia="仿宋" w:cs="仿宋"/>
          <w:kern w:val="30"/>
          <w:sz w:val="30"/>
          <w:szCs w:val="30"/>
        </w:rPr>
      </w:pPr>
      <w:r>
        <w:rPr>
          <w:rFonts w:hint="eastAsia" w:hAnsi="仿宋"/>
          <w:szCs w:val="30"/>
          <w:lang w:val="en-US" w:eastAsia="zh-CN"/>
        </w:rPr>
        <w:t>严格项目管理，执行单位法人负责制、招投标制、工程监理制和合同制。在项目实施方案得到盈江县发展和改革局评审批复后，根据项目要求明确项目负责人为勐弄乡人民政府镇长，</w:t>
      </w:r>
      <w:r>
        <w:rPr>
          <w:rFonts w:hint="eastAsia" w:ascii="仿宋" w:hAnsi="仿宋" w:eastAsia="仿宋" w:cs="仿宋"/>
          <w:kern w:val="30"/>
          <w:sz w:val="30"/>
          <w:szCs w:val="30"/>
        </w:rPr>
        <w:t>按照《</w:t>
      </w:r>
      <w:r>
        <w:rPr>
          <w:rFonts w:hint="eastAsia" w:hAnsi="仿宋" w:cs="仿宋"/>
          <w:kern w:val="30"/>
          <w:sz w:val="30"/>
          <w:szCs w:val="30"/>
          <w:lang w:eastAsia="zh-CN"/>
        </w:rPr>
        <w:t>中华人民共和国招标投标法</w:t>
      </w:r>
      <w:r>
        <w:rPr>
          <w:rFonts w:hint="eastAsia" w:ascii="仿宋" w:hAnsi="仿宋" w:eastAsia="仿宋" w:cs="仿宋"/>
          <w:kern w:val="30"/>
          <w:sz w:val="30"/>
          <w:szCs w:val="30"/>
        </w:rPr>
        <w:t>》及国家有关招投标规定，委托招标代理公司开展招投标工作</w:t>
      </w:r>
      <w:r>
        <w:rPr>
          <w:rFonts w:hint="eastAsia" w:hAnsi="仿宋"/>
          <w:szCs w:val="30"/>
          <w:lang w:val="en-US" w:eastAsia="zh-CN"/>
        </w:rPr>
        <w:t>。在云南省政府采购系统进行招标公示，经评标委员一致通过，中标单位为：盈江县振盈建筑工程有限责任公司，与中标单位签订了施工合同。</w:t>
      </w:r>
      <w:r>
        <w:rPr>
          <w:rFonts w:hint="eastAsia" w:ascii="仿宋" w:hAnsi="仿宋" w:eastAsia="仿宋" w:cs="仿宋"/>
          <w:kern w:val="30"/>
          <w:sz w:val="30"/>
          <w:szCs w:val="30"/>
        </w:rPr>
        <w:t>项目实施过程中</w:t>
      </w:r>
      <w:r>
        <w:rPr>
          <w:rFonts w:hint="eastAsia" w:hAnsi="仿宋" w:cs="仿宋"/>
          <w:kern w:val="30"/>
          <w:sz w:val="30"/>
          <w:szCs w:val="30"/>
          <w:lang w:val="en-US" w:eastAsia="zh-CN"/>
        </w:rPr>
        <w:t>勐弄乡人民政府</w:t>
      </w:r>
      <w:r>
        <w:rPr>
          <w:rFonts w:hint="eastAsia" w:ascii="仿宋" w:hAnsi="仿宋" w:eastAsia="仿宋" w:cs="仿宋"/>
          <w:kern w:val="30"/>
          <w:sz w:val="30"/>
          <w:szCs w:val="30"/>
        </w:rPr>
        <w:t>相关人员采取定期或不定期听取汇报、现场勘验等方式，对项目实施的具体情况、完成进度、资金使用等内容进行监督检查</w:t>
      </w:r>
      <w:r>
        <w:rPr>
          <w:rFonts w:hint="eastAsia" w:hAnsi="仿宋" w:cs="仿宋"/>
          <w:kern w:val="30"/>
          <w:sz w:val="30"/>
          <w:szCs w:val="30"/>
          <w:lang w:eastAsia="zh-CN"/>
        </w:rPr>
        <w:t>。</w:t>
      </w:r>
      <w:r>
        <w:rPr>
          <w:rFonts w:hint="eastAsia" w:hAnsi="仿宋" w:cs="仿宋"/>
          <w:kern w:val="30"/>
          <w:sz w:val="30"/>
          <w:szCs w:val="30"/>
          <w:lang w:val="en-US" w:eastAsia="zh-CN"/>
        </w:rPr>
        <w:t>于项目开工前、完工后均在项目实施村进行公示</w:t>
      </w:r>
      <w:r>
        <w:rPr>
          <w:rFonts w:hint="eastAsia" w:ascii="仿宋" w:hAnsi="仿宋" w:eastAsia="仿宋" w:cs="仿宋"/>
          <w:kern w:val="30"/>
          <w:sz w:val="30"/>
          <w:szCs w:val="30"/>
        </w:rPr>
        <w:t>。</w:t>
      </w:r>
    </w:p>
    <w:p>
      <w:pPr>
        <w:numPr>
          <w:ilvl w:val="0"/>
          <w:numId w:val="0"/>
        </w:numPr>
        <w:spacing w:line="579" w:lineRule="exact"/>
        <w:ind w:firstLine="600" w:firstLineChars="200"/>
      </w:pPr>
      <w:r>
        <w:rPr>
          <w:rFonts w:hint="eastAsia" w:hAnsi="仿宋" w:cs="仿宋"/>
          <w:szCs w:val="30"/>
          <w:lang w:val="en-US" w:eastAsia="zh-CN"/>
        </w:rPr>
        <w:t>3</w:t>
      </w:r>
      <w:r>
        <w:rPr>
          <w:rFonts w:hint="eastAsia" w:hAnsi="仿宋" w:cs="仿宋"/>
          <w:szCs w:val="30"/>
        </w:rPr>
        <w:t>.</w:t>
      </w:r>
      <w:r>
        <w:rPr>
          <w:rFonts w:hint="eastAsia" w:hAnsi="仿宋" w:cs="仿宋"/>
          <w:szCs w:val="30"/>
          <w:lang w:val="en-US" w:eastAsia="zh-CN"/>
        </w:rPr>
        <w:t>资金</w:t>
      </w:r>
      <w:r>
        <w:rPr>
          <w:rFonts w:hint="eastAsia" w:hAnsi="仿宋" w:cs="仿宋"/>
          <w:szCs w:val="30"/>
        </w:rPr>
        <w:t>管理情况</w:t>
      </w:r>
    </w:p>
    <w:p>
      <w:pPr>
        <w:numPr>
          <w:ilvl w:val="-1"/>
          <w:numId w:val="0"/>
        </w:numPr>
        <w:spacing w:line="240" w:lineRule="auto"/>
        <w:ind w:firstLine="600" w:firstLineChars="200"/>
        <w:rPr>
          <w:rFonts w:hint="eastAsia" w:ascii="仿宋" w:hAnsi="仿宋" w:eastAsia="仿宋" w:cs="仿宋"/>
          <w:kern w:val="30"/>
          <w:sz w:val="30"/>
          <w:szCs w:val="30"/>
        </w:rPr>
      </w:pPr>
      <w:r>
        <w:rPr>
          <w:rFonts w:hint="eastAsia" w:ascii="仿宋" w:hAnsi="仿宋" w:eastAsia="仿宋" w:cs="仿宋"/>
          <w:kern w:val="30"/>
          <w:sz w:val="30"/>
          <w:szCs w:val="30"/>
        </w:rPr>
        <w:t>项目资金由领导小组办公室主管，</w:t>
      </w:r>
      <w:r>
        <w:rPr>
          <w:rFonts w:hint="eastAsia" w:hAnsi="仿宋" w:cs="仿宋"/>
          <w:kern w:val="30"/>
          <w:sz w:val="30"/>
          <w:szCs w:val="30"/>
          <w:lang w:val="en-US" w:eastAsia="zh-CN"/>
        </w:rPr>
        <w:t>严格</w:t>
      </w:r>
      <w:r>
        <w:rPr>
          <w:rFonts w:hint="eastAsia" w:ascii="仿宋" w:hAnsi="仿宋" w:eastAsia="仿宋" w:cs="仿宋"/>
          <w:kern w:val="30"/>
          <w:sz w:val="30"/>
          <w:szCs w:val="30"/>
        </w:rPr>
        <w:t>按照</w:t>
      </w:r>
      <w:r>
        <w:rPr>
          <w:rFonts w:hint="eastAsia"/>
          <w:lang w:eastAsia="zh-CN"/>
        </w:rPr>
        <w:t>盈江县人民政府办公室关于印发《盈江县统筹整合使用财政涉农资金管理暂行办法》的通知（盈政办发〔2018〕92号）</w:t>
      </w:r>
      <w:r>
        <w:rPr>
          <w:rFonts w:hint="eastAsia"/>
          <w:lang w:val="en-US" w:eastAsia="zh-CN"/>
        </w:rPr>
        <w:t>及《边境地区转移支付资金使用管理办法》</w:t>
      </w:r>
      <w:r>
        <w:rPr>
          <w:rFonts w:hint="eastAsia" w:ascii="仿宋" w:hAnsi="仿宋" w:eastAsia="仿宋" w:cs="仿宋"/>
          <w:kern w:val="30"/>
          <w:sz w:val="30"/>
          <w:szCs w:val="30"/>
        </w:rPr>
        <w:t>要求</w:t>
      </w:r>
      <w:r>
        <w:rPr>
          <w:rFonts w:hint="eastAsia" w:hAnsi="仿宋" w:cs="仿宋"/>
          <w:kern w:val="30"/>
          <w:sz w:val="30"/>
          <w:szCs w:val="30"/>
          <w:lang w:val="en-US" w:eastAsia="zh-CN"/>
        </w:rPr>
        <w:t>对项目资金进行专账管理、专款专用。</w:t>
      </w:r>
      <w:r>
        <w:rPr>
          <w:rFonts w:hint="eastAsia" w:ascii="仿宋" w:hAnsi="仿宋" w:eastAsia="仿宋" w:cs="仿宋"/>
          <w:kern w:val="30"/>
          <w:sz w:val="30"/>
          <w:szCs w:val="30"/>
        </w:rPr>
        <w:t>在项目实施过程中，严格执行报账制度，资金的拨付</w:t>
      </w:r>
      <w:r>
        <w:rPr>
          <w:rFonts w:hint="eastAsia" w:hAnsi="仿宋" w:cs="仿宋"/>
          <w:kern w:val="30"/>
          <w:sz w:val="30"/>
          <w:szCs w:val="30"/>
          <w:lang w:val="en-US" w:eastAsia="zh-CN"/>
        </w:rPr>
        <w:t>根据监理单位审核确定的工程量</w:t>
      </w:r>
      <w:r>
        <w:rPr>
          <w:rFonts w:hint="eastAsia" w:ascii="仿宋" w:hAnsi="仿宋" w:eastAsia="仿宋" w:cs="仿宋"/>
          <w:kern w:val="30"/>
          <w:sz w:val="30"/>
          <w:szCs w:val="30"/>
        </w:rPr>
        <w:t>按项目工程进度进行合理安排。</w:t>
      </w:r>
    </w:p>
    <w:p>
      <w:pPr>
        <w:spacing w:line="579" w:lineRule="exact"/>
        <w:ind w:firstLine="600" w:firstLineChars="200"/>
        <w:outlineLvl w:val="0"/>
        <w:rPr>
          <w:rFonts w:hint="eastAsia" w:ascii="黑体" w:hAnsi="黑体" w:eastAsia="黑体" w:cs="宋体"/>
          <w:szCs w:val="30"/>
        </w:rPr>
      </w:pPr>
      <w:r>
        <w:rPr>
          <w:rFonts w:hint="eastAsia" w:ascii="黑体" w:hAnsi="黑体" w:eastAsia="黑体" w:cs="宋体"/>
          <w:szCs w:val="30"/>
        </w:rPr>
        <w:t>二、绩效自评情况</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rPr>
        <w:t>（</w:t>
      </w:r>
      <w:r>
        <w:rPr>
          <w:rFonts w:hint="eastAsia" w:ascii="楷体" w:hAnsi="楷体" w:eastAsia="楷体" w:cs="Times New Roman"/>
          <w:kern w:val="2"/>
          <w:sz w:val="30"/>
          <w:szCs w:val="30"/>
          <w:lang w:val="en-US" w:eastAsia="zh-CN"/>
        </w:rPr>
        <w:t>一）绩效自评概述</w:t>
      </w:r>
    </w:p>
    <w:p>
      <w:pPr>
        <w:ind w:firstLine="600" w:firstLineChars="200"/>
        <w:rPr>
          <w:rFonts w:hint="eastAsia" w:hAnsi="仿宋" w:cs="仿宋"/>
          <w:sz w:val="30"/>
          <w:szCs w:val="30"/>
          <w:lang w:val="en-US" w:eastAsia="zh-CN"/>
        </w:rPr>
      </w:pPr>
      <w:r>
        <w:rPr>
          <w:rFonts w:hint="eastAsia" w:hAnsi="仿宋" w:cs="仿宋"/>
          <w:sz w:val="30"/>
          <w:szCs w:val="30"/>
          <w:lang w:val="en-US" w:eastAsia="zh-CN"/>
        </w:rPr>
        <w:t>盈江县勐弄乡人民政府按</w:t>
      </w:r>
      <w:r>
        <w:rPr>
          <w:rFonts w:hint="eastAsia" w:ascii="仿宋" w:hAnsi="仿宋" w:eastAsia="仿宋" w:cs="仿宋"/>
          <w:sz w:val="30"/>
          <w:szCs w:val="30"/>
          <w:lang w:val="en-US" w:eastAsia="zh-CN"/>
        </w:rPr>
        <w:t>《盈江县财政局关于对2019年度部分项目开展绩效自评的通知》（盈财发〔2020〕180号）</w:t>
      </w:r>
      <w:r>
        <w:rPr>
          <w:rFonts w:hint="eastAsia" w:hAnsi="仿宋" w:cs="仿宋"/>
          <w:sz w:val="30"/>
          <w:szCs w:val="30"/>
          <w:lang w:val="en-US" w:eastAsia="zh-CN"/>
        </w:rPr>
        <w:t>要求，于2020年11月对</w:t>
      </w:r>
      <w:r>
        <w:rPr>
          <w:rFonts w:hint="eastAsia" w:hAnsi="仿宋"/>
          <w:szCs w:val="30"/>
          <w:lang w:val="en-US" w:eastAsia="zh-CN"/>
        </w:rPr>
        <w:t>盈江县勐弄乡勐典村2019年边疆党建长廊“四位一体”建设试点—勐弄乡农贸市场建设项目（村集体经济）</w:t>
      </w:r>
      <w:r>
        <w:rPr>
          <w:rFonts w:hint="eastAsia" w:hAnsi="仿宋" w:cs="仿宋"/>
          <w:sz w:val="30"/>
          <w:szCs w:val="30"/>
          <w:lang w:val="en-US" w:eastAsia="zh-CN"/>
        </w:rPr>
        <w:t>开展了绩效自评工作。</w:t>
      </w:r>
      <w:bookmarkStart w:id="10" w:name="_Toc56861567"/>
      <w:r>
        <w:rPr>
          <w:rFonts w:hint="eastAsia" w:ascii="仿宋" w:hAnsi="仿宋" w:eastAsia="仿宋" w:cs="仿宋"/>
          <w:kern w:val="30"/>
          <w:sz w:val="30"/>
          <w:szCs w:val="30"/>
        </w:rPr>
        <w:t>依据项目情况及绩效目标设置绩效自评指标体系进行评价，绩效自评指标体系设立了产出、效益和满意度</w:t>
      </w:r>
      <w:r>
        <w:rPr>
          <w:rFonts w:hint="eastAsia" w:hAnsi="仿宋" w:cs="仿宋"/>
          <w:kern w:val="30"/>
          <w:sz w:val="30"/>
          <w:szCs w:val="30"/>
          <w:lang w:val="en-US" w:eastAsia="zh-CN"/>
        </w:rPr>
        <w:t>3</w:t>
      </w:r>
      <w:r>
        <w:rPr>
          <w:rFonts w:hint="eastAsia" w:ascii="仿宋" w:hAnsi="仿宋" w:eastAsia="仿宋" w:cs="仿宋"/>
          <w:kern w:val="30"/>
          <w:sz w:val="30"/>
          <w:szCs w:val="30"/>
        </w:rPr>
        <w:t>个一级指标、</w:t>
      </w:r>
      <w:r>
        <w:rPr>
          <w:rFonts w:hint="eastAsia" w:hAnsi="仿宋" w:cs="仿宋"/>
          <w:kern w:val="30"/>
          <w:sz w:val="30"/>
          <w:szCs w:val="30"/>
          <w:lang w:val="en-US" w:eastAsia="zh-CN"/>
        </w:rPr>
        <w:t>6</w:t>
      </w:r>
      <w:r>
        <w:rPr>
          <w:rFonts w:hint="eastAsia" w:ascii="仿宋" w:hAnsi="仿宋" w:eastAsia="仿宋" w:cs="仿宋"/>
          <w:kern w:val="30"/>
          <w:sz w:val="30"/>
          <w:szCs w:val="30"/>
        </w:rPr>
        <w:t>个二级指标，1</w:t>
      </w:r>
      <w:r>
        <w:rPr>
          <w:rFonts w:hint="eastAsia" w:hAnsi="仿宋" w:cs="仿宋"/>
          <w:kern w:val="30"/>
          <w:sz w:val="30"/>
          <w:szCs w:val="30"/>
          <w:lang w:val="en-US" w:eastAsia="zh-CN"/>
        </w:rPr>
        <w:t>0</w:t>
      </w:r>
      <w:r>
        <w:rPr>
          <w:rFonts w:hint="eastAsia" w:ascii="仿宋" w:hAnsi="仿宋" w:eastAsia="仿宋" w:cs="仿宋"/>
          <w:kern w:val="30"/>
          <w:sz w:val="30"/>
          <w:szCs w:val="30"/>
        </w:rPr>
        <w:t>个三级指标，</w:t>
      </w:r>
      <w:r>
        <w:rPr>
          <w:rFonts w:hint="eastAsia" w:hAnsi="仿宋" w:cs="仿宋"/>
          <w:kern w:val="30"/>
          <w:sz w:val="30"/>
          <w:szCs w:val="30"/>
          <w:lang w:val="en-US" w:eastAsia="zh-CN"/>
        </w:rPr>
        <w:t>但</w:t>
      </w:r>
      <w:r>
        <w:rPr>
          <w:rFonts w:hint="eastAsia" w:hAnsi="仿宋" w:cs="仿宋"/>
          <w:sz w:val="30"/>
          <w:szCs w:val="30"/>
          <w:lang w:val="en-US" w:eastAsia="zh-CN"/>
        </w:rPr>
        <w:t>编制的自评报告、自评指标体系均无自评分值体现，自评报告不符合要求。</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sz w:val="30"/>
          <w:szCs w:val="30"/>
        </w:rPr>
        <w:t>（二）绩效自评结论</w:t>
      </w:r>
      <w:bookmarkEnd w:id="10"/>
    </w:p>
    <w:p>
      <w:pPr>
        <w:numPr>
          <w:ilvl w:val="0"/>
          <w:numId w:val="0"/>
        </w:numPr>
        <w:spacing w:line="579" w:lineRule="exact"/>
        <w:ind w:firstLine="600" w:firstLineChars="200"/>
        <w:rPr>
          <w:rFonts w:hint="default" w:hAnsi="仿宋" w:cs="仿宋"/>
          <w:sz w:val="30"/>
          <w:szCs w:val="30"/>
          <w:lang w:val="en-US" w:eastAsia="zh-CN"/>
        </w:rPr>
      </w:pPr>
      <w:r>
        <w:rPr>
          <w:rFonts w:hint="eastAsia" w:hAnsi="仿宋"/>
          <w:szCs w:val="30"/>
          <w:lang w:val="en-US" w:eastAsia="zh-CN"/>
        </w:rPr>
        <w:t>盈江县勐弄乡勐典村2019年边疆党建长廊“四位一体”建设试点—勐弄乡农贸市场建设项目（村集体经济）无</w:t>
      </w:r>
      <w:r>
        <w:rPr>
          <w:rFonts w:hint="eastAsia" w:ascii="仿宋" w:hAnsi="仿宋" w:eastAsia="仿宋" w:cs="仿宋"/>
          <w:sz w:val="30"/>
          <w:szCs w:val="30"/>
          <w:lang w:val="en-US" w:eastAsia="zh-CN"/>
        </w:rPr>
        <w:t>自评得分。项目自评报告（表）无自评结论，经查阅绩效自评报告及项目</w:t>
      </w:r>
      <w:r>
        <w:rPr>
          <w:rFonts w:hint="eastAsia" w:hAnsi="仿宋" w:cs="仿宋"/>
          <w:sz w:val="30"/>
          <w:szCs w:val="30"/>
          <w:lang w:val="en-US" w:eastAsia="zh-CN"/>
        </w:rPr>
        <w:t>资料</w:t>
      </w:r>
      <w:r>
        <w:rPr>
          <w:rFonts w:hint="eastAsia" w:ascii="仿宋" w:hAnsi="仿宋" w:eastAsia="仿宋" w:cs="仿宋"/>
          <w:sz w:val="30"/>
          <w:szCs w:val="30"/>
          <w:lang w:val="en-US" w:eastAsia="zh-CN"/>
        </w:rPr>
        <w:t>，整理后自评结论为：</w:t>
      </w:r>
      <w:r>
        <w:rPr>
          <w:rFonts w:hint="eastAsia" w:hAnsi="仿宋" w:cs="仿宋"/>
          <w:sz w:val="30"/>
          <w:szCs w:val="30"/>
          <w:lang w:val="en-US" w:eastAsia="zh-CN"/>
        </w:rPr>
        <w:t>通过项目实施，完成了1#地坪硬化1173㎡、2#地坪硬化361.56㎡，1#市场大棚1008㎡、2#市场大棚360㎡，但未完成商铺及摊位建设目标，社会、经济效益不明显。具体情况如下：</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1.经济效益方面。村集体经济年收入≥25万及带动增加贫困人口全年总收入≥8万两个指标均未完成。</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2.社会效益方面。带动建档立卡贫困人口脱贫数≥1076人、受益建档立卡贫困人口数≥1076人及受益贫困人口数≥4839人，三个指标因勐弄乡勐典村农贸市场商铺及摊位均未建设完成，尚未投入使用，无预期目标收入，社会效益无法体现。</w:t>
      </w:r>
    </w:p>
    <w:p>
      <w:pPr>
        <w:overflowPunct w:val="0"/>
        <w:spacing w:line="570" w:lineRule="exact"/>
        <w:ind w:firstLine="629"/>
        <w:outlineLvl w:val="0"/>
        <w:rPr>
          <w:rFonts w:ascii="黑体" w:hAnsi="黑体" w:eastAsia="黑体"/>
          <w:sz w:val="30"/>
          <w:szCs w:val="30"/>
        </w:rPr>
      </w:pPr>
      <w:bookmarkStart w:id="11" w:name="_Toc51333616"/>
      <w:r>
        <w:rPr>
          <w:rFonts w:hint="eastAsia" w:ascii="黑体" w:hAnsi="黑体" w:eastAsia="黑体"/>
          <w:sz w:val="30"/>
          <w:szCs w:val="30"/>
        </w:rPr>
        <w:t>三、绩效评价组织情况</w:t>
      </w:r>
      <w:bookmarkEnd w:id="11"/>
    </w:p>
    <w:p>
      <w:pPr>
        <w:spacing w:line="570" w:lineRule="exact"/>
        <w:ind w:firstLine="600" w:firstLineChars="200"/>
        <w:outlineLvl w:val="1"/>
        <w:rPr>
          <w:rFonts w:ascii="楷体" w:hAnsi="楷体" w:eastAsia="楷体"/>
          <w:sz w:val="30"/>
          <w:szCs w:val="30"/>
        </w:rPr>
      </w:pPr>
      <w:bookmarkStart w:id="12" w:name="_Toc9439743"/>
      <w:bookmarkStart w:id="13" w:name="_Toc51333617"/>
      <w:r>
        <w:rPr>
          <w:rFonts w:hint="eastAsia" w:ascii="楷体" w:hAnsi="楷体" w:eastAsia="楷体"/>
          <w:sz w:val="30"/>
          <w:szCs w:val="30"/>
        </w:rPr>
        <w:t>（一）绩效评价依据</w:t>
      </w:r>
      <w:bookmarkEnd w:id="12"/>
      <w:bookmarkEnd w:id="13"/>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1.《中华人民共和国预算法》</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2.</w:t>
      </w:r>
      <w:r>
        <w:rPr>
          <w:rFonts w:hint="eastAsia" w:ascii="仿宋" w:hAnsi="仿宋" w:eastAsia="仿宋"/>
          <w:sz w:val="30"/>
          <w:szCs w:val="30"/>
          <w:lang w:val="en-US" w:eastAsia="zh-CN"/>
        </w:rPr>
        <w:t>《中共云南省委 云南省人民政府印发</w:t>
      </w:r>
      <w:r>
        <w:rPr>
          <w:rFonts w:hint="eastAsia" w:hAnsi="仿宋"/>
          <w:sz w:val="30"/>
          <w:szCs w:val="30"/>
          <w:lang w:val="en-US" w:eastAsia="zh-CN"/>
        </w:rPr>
        <w:t>的</w:t>
      </w:r>
      <w:r>
        <w:rPr>
          <w:rFonts w:hint="eastAsia" w:ascii="仿宋" w:hAnsi="仿宋" w:eastAsia="仿宋"/>
          <w:sz w:val="30"/>
          <w:szCs w:val="30"/>
          <w:lang w:val="en-US" w:eastAsia="zh-CN"/>
        </w:rPr>
        <w:t>关于全面实施预算绩效管理的实施意见》</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ascii="仿宋" w:hAnsi="仿宋" w:eastAsia="仿宋"/>
          <w:sz w:val="30"/>
          <w:szCs w:val="30"/>
        </w:rPr>
        <w:t>3</w:t>
      </w:r>
      <w:r>
        <w:rPr>
          <w:rFonts w:hint="eastAsia" w:ascii="仿宋" w:hAnsi="仿宋" w:eastAsia="仿宋"/>
          <w:sz w:val="30"/>
          <w:szCs w:val="30"/>
        </w:rPr>
        <w:t>.</w:t>
      </w:r>
      <w:r>
        <w:rPr>
          <w:rFonts w:hint="eastAsia" w:hAnsi="仿宋"/>
          <w:szCs w:val="30"/>
          <w:lang w:val="en-US" w:eastAsia="zh-CN"/>
        </w:rPr>
        <w:t>《盈江县发展和改革局关于勐弄乡勐典村2019年边疆党建长廊“四位一体”建设试点项目可行性研究报告的批复》（盈发改投资复〔2019〕307号）</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hint="eastAsia" w:hAnsi="仿宋"/>
          <w:sz w:val="30"/>
          <w:szCs w:val="30"/>
          <w:lang w:val="en-US" w:eastAsia="zh-CN"/>
        </w:rPr>
        <w:t>4.</w:t>
      </w:r>
      <w:r>
        <w:rPr>
          <w:rFonts w:hint="eastAsia" w:hAnsi="仿宋"/>
          <w:szCs w:val="30"/>
          <w:lang w:val="en-US" w:eastAsia="zh-CN"/>
        </w:rPr>
        <w:t>《德宏州盈江县勐弄乡勐典村2019年边疆党建长廊“四位一体”建设试点项目实施方案》</w:t>
      </w:r>
      <w:r>
        <w:rPr>
          <w:rFonts w:hint="eastAsia" w:hAnsi="仿宋"/>
          <w:sz w:val="30"/>
          <w:szCs w:val="30"/>
          <w:lang w:eastAsia="zh-CN"/>
        </w:rPr>
        <w:t>；</w:t>
      </w:r>
    </w:p>
    <w:p>
      <w:pPr>
        <w:ind w:firstLine="600" w:firstLineChars="200"/>
        <w:rPr>
          <w:rFonts w:hint="eastAsia" w:hAnsi="仿宋" w:cs="仿宋"/>
          <w:kern w:val="30"/>
          <w:sz w:val="30"/>
          <w:szCs w:val="30"/>
          <w:highlight w:val="none"/>
          <w:lang w:eastAsia="zh-CN"/>
        </w:rPr>
      </w:pPr>
      <w:r>
        <w:rPr>
          <w:rFonts w:hint="eastAsia" w:hAnsi="仿宋"/>
          <w:sz w:val="30"/>
          <w:szCs w:val="30"/>
          <w:highlight w:val="none"/>
          <w:lang w:val="en-US" w:eastAsia="zh-CN"/>
        </w:rPr>
        <w:t>5.</w:t>
      </w:r>
      <w:r>
        <w:rPr>
          <w:rFonts w:hint="eastAsia" w:ascii="仿宋" w:hAnsi="仿宋" w:eastAsia="仿宋" w:cs="仿宋"/>
          <w:kern w:val="30"/>
          <w:sz w:val="30"/>
          <w:szCs w:val="30"/>
          <w:highlight w:val="none"/>
        </w:rPr>
        <w:t>《盈江县财政局关于下达2019年统筹整合第</w:t>
      </w:r>
      <w:r>
        <w:rPr>
          <w:rFonts w:hint="eastAsia" w:hAnsi="仿宋" w:cs="仿宋"/>
          <w:kern w:val="30"/>
          <w:sz w:val="30"/>
          <w:szCs w:val="30"/>
          <w:highlight w:val="none"/>
          <w:lang w:val="en-US" w:eastAsia="zh-CN"/>
        </w:rPr>
        <w:t>五</w:t>
      </w:r>
      <w:r>
        <w:rPr>
          <w:rFonts w:hint="eastAsia" w:ascii="仿宋" w:hAnsi="仿宋" w:eastAsia="仿宋" w:cs="仿宋"/>
          <w:kern w:val="30"/>
          <w:sz w:val="30"/>
          <w:szCs w:val="30"/>
          <w:highlight w:val="none"/>
        </w:rPr>
        <w:t>批脱贫攻坚项目资金的通知》（盈财整合〔2019〕</w:t>
      </w:r>
      <w:r>
        <w:rPr>
          <w:rFonts w:hint="eastAsia" w:hAnsi="仿宋" w:cs="仿宋"/>
          <w:kern w:val="30"/>
          <w:sz w:val="30"/>
          <w:szCs w:val="30"/>
          <w:highlight w:val="none"/>
          <w:lang w:val="en-US" w:eastAsia="zh-CN"/>
        </w:rPr>
        <w:t>69</w:t>
      </w:r>
      <w:r>
        <w:rPr>
          <w:rFonts w:hint="eastAsia" w:ascii="仿宋" w:hAnsi="仿宋" w:eastAsia="仿宋" w:cs="仿宋"/>
          <w:kern w:val="30"/>
          <w:sz w:val="30"/>
          <w:szCs w:val="30"/>
          <w:highlight w:val="none"/>
        </w:rPr>
        <w:t>号）</w:t>
      </w:r>
      <w:r>
        <w:rPr>
          <w:rFonts w:hint="eastAsia" w:hAnsi="仿宋" w:cs="仿宋"/>
          <w:kern w:val="30"/>
          <w:sz w:val="30"/>
          <w:szCs w:val="30"/>
          <w:highlight w:val="none"/>
          <w:lang w:eastAsia="zh-CN"/>
        </w:rPr>
        <w:t>；</w:t>
      </w:r>
    </w:p>
    <w:p>
      <w:pPr>
        <w:ind w:firstLine="600" w:firstLineChars="200"/>
        <w:rPr>
          <w:rFonts w:hint="eastAsia" w:hAnsi="仿宋" w:cs="仿宋"/>
          <w:kern w:val="30"/>
          <w:sz w:val="30"/>
          <w:szCs w:val="30"/>
          <w:lang w:eastAsia="zh-CN"/>
        </w:rPr>
      </w:pPr>
      <w:r>
        <w:rPr>
          <w:rFonts w:hint="eastAsia" w:hAnsi="仿宋" w:cs="仿宋"/>
          <w:kern w:val="30"/>
          <w:sz w:val="30"/>
          <w:szCs w:val="30"/>
          <w:lang w:val="en-US" w:eastAsia="zh-CN"/>
        </w:rPr>
        <w:t>6.</w:t>
      </w:r>
      <w:r>
        <w:rPr>
          <w:rFonts w:hint="eastAsia" w:ascii="仿宋" w:hAnsi="仿宋" w:eastAsia="仿宋" w:cs="仿宋"/>
          <w:kern w:val="30"/>
          <w:sz w:val="30"/>
          <w:szCs w:val="30"/>
        </w:rPr>
        <w:t>《中共盈江县委盈江县人民政府关于全面实施预算绩效管理的实施方案》(盈发〔2020〕17号)</w:t>
      </w:r>
      <w:r>
        <w:rPr>
          <w:rFonts w:hint="eastAsia" w:hAnsi="仿宋" w:cs="仿宋"/>
          <w:kern w:val="30"/>
          <w:sz w:val="30"/>
          <w:szCs w:val="30"/>
          <w:lang w:eastAsia="zh-CN"/>
        </w:rPr>
        <w:t>；</w:t>
      </w:r>
    </w:p>
    <w:p>
      <w:pPr>
        <w:spacing w:line="579" w:lineRule="exact"/>
        <w:ind w:firstLine="600" w:firstLineChars="200"/>
        <w:rPr>
          <w:rFonts w:hint="eastAsia" w:hAnsi="仿宋"/>
          <w:sz w:val="30"/>
          <w:szCs w:val="30"/>
          <w:lang w:eastAsia="zh-CN"/>
        </w:rPr>
      </w:pPr>
      <w:r>
        <w:rPr>
          <w:rFonts w:hint="eastAsia" w:hAnsi="仿宋"/>
          <w:sz w:val="30"/>
          <w:szCs w:val="30"/>
          <w:lang w:val="en-US" w:eastAsia="zh-CN"/>
        </w:rPr>
        <w:t>7.</w:t>
      </w:r>
      <w:r>
        <w:rPr>
          <w:rFonts w:hint="eastAsia" w:ascii="仿宋" w:hAnsi="仿宋" w:eastAsia="仿宋"/>
          <w:sz w:val="30"/>
          <w:szCs w:val="30"/>
        </w:rPr>
        <w:t>《德宏州财政局 德宏州委宣传部 德宏州审计局关于印发德宏州全面实施预算绩效管理工作推进预算方案的通知》(德财〔2020〕81号)</w:t>
      </w:r>
      <w:r>
        <w:rPr>
          <w:rFonts w:hint="eastAsia" w:hAnsi="仿宋"/>
          <w:sz w:val="30"/>
          <w:szCs w:val="30"/>
          <w:lang w:eastAsia="zh-CN"/>
        </w:rPr>
        <w:t>；</w:t>
      </w:r>
    </w:p>
    <w:p>
      <w:pPr>
        <w:spacing w:line="579" w:lineRule="exact"/>
        <w:ind w:firstLine="600" w:firstLineChars="200"/>
        <w:rPr>
          <w:rFonts w:hint="eastAsia" w:hAnsi="仿宋"/>
          <w:sz w:val="30"/>
          <w:szCs w:val="30"/>
          <w:lang w:val="en-US" w:eastAsia="zh-CN"/>
        </w:rPr>
      </w:pPr>
      <w:r>
        <w:rPr>
          <w:rFonts w:hint="eastAsia"/>
          <w:lang w:val="en-US" w:eastAsia="zh-CN"/>
        </w:rPr>
        <w:t>8.《边境地区转移支付资金使用管理办法》；</w:t>
      </w:r>
    </w:p>
    <w:p>
      <w:pPr>
        <w:spacing w:line="579" w:lineRule="exact"/>
        <w:ind w:firstLine="600" w:firstLineChars="200"/>
        <w:rPr>
          <w:rFonts w:hint="eastAsia" w:ascii="仿宋" w:hAnsi="仿宋" w:eastAsia="仿宋"/>
          <w:sz w:val="30"/>
          <w:szCs w:val="30"/>
          <w:lang w:val="en-US" w:eastAsia="zh-CN"/>
        </w:rPr>
      </w:pPr>
      <w:r>
        <w:rPr>
          <w:rFonts w:hint="eastAsia" w:hAnsi="仿宋"/>
          <w:sz w:val="30"/>
          <w:szCs w:val="30"/>
          <w:lang w:val="en-US" w:eastAsia="zh-CN"/>
        </w:rPr>
        <w:t>9.</w:t>
      </w:r>
      <w:r>
        <w:rPr>
          <w:rFonts w:ascii="仿宋" w:hAnsi="仿宋" w:eastAsia="仿宋"/>
          <w:sz w:val="30"/>
          <w:szCs w:val="30"/>
        </w:rPr>
        <w:t>其它相关依据文件</w:t>
      </w:r>
      <w:r>
        <w:rPr>
          <w:rFonts w:hint="eastAsia" w:hAnsi="仿宋"/>
          <w:sz w:val="30"/>
          <w:szCs w:val="30"/>
          <w:lang w:eastAsia="zh-CN"/>
        </w:rPr>
        <w:t>。</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lang w:val="en-US" w:eastAsia="zh-CN"/>
        </w:rPr>
        <w:t>（二）绩效评价方法</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次绩效评价遵循共性与个性相结合、定量与定性相结合、审阅自评总结和数据分析相结合，对收集的相关基础资料、数据，在归集、整理、分析的基础上，运用资料审阅法、比较分析法和公众问卷调查法等方法，系统、科学的反映评价项目综合绩效情况。</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资料审阅方面，主要获取自评报告及佐证资料、工作总结、项目过程资料、资金使用账表、会计凭证等材料进行研究评价；比较分析方面，主要依据预算批复下达文件、政策文件</w:t>
      </w:r>
      <w:r>
        <w:rPr>
          <w:rFonts w:hint="eastAsia" w:hAnsi="仿宋" w:cs="仿宋"/>
          <w:sz w:val="30"/>
          <w:szCs w:val="30"/>
          <w:lang w:val="en-US" w:eastAsia="zh-CN"/>
        </w:rPr>
        <w:t>及实施方案</w:t>
      </w:r>
      <w:r>
        <w:rPr>
          <w:rFonts w:hint="eastAsia" w:ascii="仿宋" w:hAnsi="仿宋" w:eastAsia="仿宋" w:cs="仿宋"/>
          <w:sz w:val="30"/>
          <w:szCs w:val="30"/>
          <w:lang w:val="en-US" w:eastAsia="zh-CN"/>
        </w:rPr>
        <w:t>，对照项目实际完成内容，评价项目是否按照相关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问卷调查方面，通过现场调查</w:t>
      </w:r>
      <w:r>
        <w:rPr>
          <w:rFonts w:hint="eastAsia" w:hAnsi="仿宋" w:cs="仿宋"/>
          <w:sz w:val="30"/>
          <w:szCs w:val="30"/>
          <w:lang w:val="en-US" w:eastAsia="zh-CN"/>
        </w:rPr>
        <w:t>、</w:t>
      </w:r>
      <w:r>
        <w:rPr>
          <w:rFonts w:hint="eastAsia" w:ascii="仿宋" w:hAnsi="仿宋" w:eastAsia="仿宋" w:cs="仿宋"/>
          <w:sz w:val="30"/>
          <w:szCs w:val="30"/>
          <w:lang w:val="en-US" w:eastAsia="zh-CN"/>
        </w:rPr>
        <w:t>座谈、发放调查问卷等方式，了解被评价单位工作开展情况，发现项目管理、实施过程中存在的问题，寻求完善相关政策和实施的建议，着重对项目产出和效果情况进行调查了解，为项目实施效果提供定性与定量评价的基础。</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cs="Times New Roman"/>
          <w:kern w:val="2"/>
          <w:sz w:val="30"/>
          <w:szCs w:val="30"/>
          <w:lang w:val="en-US" w:eastAsia="zh-CN"/>
        </w:rPr>
        <w:t>（三）绩效评价指标体系</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1.绩效评价指标</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根据《云南省项目支出绩效评价管理办法》（云财绩〔2020〕11 号</w:t>
      </w:r>
      <w:r>
        <w:rPr>
          <w:rFonts w:ascii="仿宋" w:hAnsi="仿宋" w:eastAsia="仿宋"/>
          <w:sz w:val="30"/>
          <w:szCs w:val="30"/>
        </w:rPr>
        <w:t>）</w:t>
      </w:r>
      <w:r>
        <w:rPr>
          <w:rFonts w:hint="eastAsia" w:ascii="仿宋" w:hAnsi="仿宋" w:eastAsia="仿宋"/>
          <w:sz w:val="30"/>
          <w:szCs w:val="30"/>
        </w:rPr>
        <w:t>及</w:t>
      </w:r>
      <w:r>
        <w:rPr>
          <w:rFonts w:hint="eastAsia" w:ascii="仿宋" w:hAnsi="仿宋" w:eastAsia="仿宋" w:cs="仿宋"/>
          <w:kern w:val="30"/>
          <w:sz w:val="30"/>
          <w:szCs w:val="30"/>
        </w:rPr>
        <w:t>《中共盈江县委盈江县人民政府关于全面实施预算绩效管理的实施方案》(盈发〔2020〕17号)</w:t>
      </w:r>
      <w:r>
        <w:rPr>
          <w:rFonts w:hint="eastAsia" w:ascii="仿宋" w:hAnsi="仿宋" w:eastAsia="仿宋"/>
          <w:sz w:val="30"/>
          <w:szCs w:val="30"/>
        </w:rPr>
        <w:t>的相关要求，</w:t>
      </w:r>
      <w:r>
        <w:rPr>
          <w:rFonts w:ascii="仿宋" w:hAnsi="仿宋" w:eastAsia="仿宋"/>
          <w:sz w:val="30"/>
          <w:szCs w:val="30"/>
        </w:rPr>
        <w:t>综合考虑项目绩效目标、项目管理特点、项目实施内容制定了绩效评价指标体系。</w:t>
      </w:r>
      <w:r>
        <w:rPr>
          <w:rFonts w:hint="eastAsia" w:ascii="仿宋" w:hAnsi="仿宋" w:eastAsia="仿宋"/>
          <w:sz w:val="30"/>
          <w:szCs w:val="30"/>
        </w:rPr>
        <w:t>设置决策、过程、产出、效果</w:t>
      </w:r>
      <w:r>
        <w:rPr>
          <w:rFonts w:ascii="仿宋" w:hAnsi="仿宋" w:eastAsia="仿宋"/>
          <w:sz w:val="30"/>
          <w:szCs w:val="30"/>
        </w:rPr>
        <w:t>4个</w:t>
      </w:r>
      <w:r>
        <w:rPr>
          <w:rFonts w:hint="eastAsia" w:ascii="仿宋" w:hAnsi="仿宋" w:eastAsia="仿宋"/>
          <w:sz w:val="30"/>
          <w:szCs w:val="30"/>
        </w:rPr>
        <w:t>一级指标，并按照15%、</w:t>
      </w:r>
      <w:r>
        <w:rPr>
          <w:rFonts w:hint="eastAsia" w:hAnsi="仿宋"/>
          <w:sz w:val="30"/>
          <w:szCs w:val="30"/>
          <w:lang w:val="en-US" w:eastAsia="zh-CN"/>
        </w:rPr>
        <w:t>3</w:t>
      </w:r>
      <w:r>
        <w:rPr>
          <w:rFonts w:hint="eastAsia" w:ascii="仿宋" w:hAnsi="仿宋" w:eastAsia="仿宋"/>
          <w:sz w:val="30"/>
          <w:szCs w:val="30"/>
        </w:rPr>
        <w:t>0%、</w:t>
      </w:r>
      <w:r>
        <w:rPr>
          <w:rFonts w:hint="eastAsia" w:hAnsi="仿宋"/>
          <w:sz w:val="30"/>
          <w:szCs w:val="30"/>
          <w:lang w:val="en-US" w:eastAsia="zh-CN"/>
        </w:rPr>
        <w:t>35</w:t>
      </w:r>
      <w:r>
        <w:rPr>
          <w:rFonts w:hint="eastAsia" w:ascii="仿宋" w:hAnsi="仿宋" w:eastAsia="仿宋"/>
          <w:sz w:val="30"/>
          <w:szCs w:val="30"/>
        </w:rPr>
        <w:t>%和</w:t>
      </w:r>
      <w:r>
        <w:rPr>
          <w:rFonts w:hint="eastAsia" w:hAnsi="仿宋"/>
          <w:sz w:val="30"/>
          <w:szCs w:val="30"/>
          <w:lang w:val="en-US" w:eastAsia="zh-CN"/>
        </w:rPr>
        <w:t>20</w:t>
      </w:r>
      <w:r>
        <w:rPr>
          <w:rFonts w:hint="eastAsia" w:ascii="仿宋" w:hAnsi="仿宋" w:eastAsia="仿宋"/>
          <w:sz w:val="30"/>
          <w:szCs w:val="30"/>
        </w:rPr>
        <w:t>%的权重进行评分。具体评分标准根据评价指标体系各项指标对应的考核内容和范围进行确定。</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“决策”指标由“项目立项、绩效目标、资金投入”</w:t>
      </w:r>
      <w:r>
        <w:rPr>
          <w:rFonts w:ascii="仿宋" w:hAnsi="仿宋" w:eastAsia="仿宋"/>
          <w:sz w:val="30"/>
          <w:szCs w:val="30"/>
        </w:rPr>
        <w:t>3</w:t>
      </w:r>
      <w:r>
        <w:rPr>
          <w:rFonts w:hint="eastAsia" w:ascii="仿宋" w:hAnsi="仿宋" w:eastAsia="仿宋"/>
          <w:sz w:val="30"/>
          <w:szCs w:val="30"/>
        </w:rPr>
        <w:t>个二级指标构成，同时将</w:t>
      </w:r>
      <w:r>
        <w:rPr>
          <w:rFonts w:ascii="仿宋" w:hAnsi="仿宋" w:eastAsia="仿宋"/>
          <w:sz w:val="30"/>
          <w:szCs w:val="30"/>
        </w:rPr>
        <w:t>3</w:t>
      </w:r>
      <w:r>
        <w:rPr>
          <w:rFonts w:hint="eastAsia" w:ascii="仿宋" w:hAnsi="仿宋" w:eastAsia="仿宋"/>
          <w:sz w:val="30"/>
          <w:szCs w:val="30"/>
        </w:rPr>
        <w:t>个二级指标细化为</w:t>
      </w:r>
      <w:r>
        <w:rPr>
          <w:rFonts w:ascii="仿宋" w:hAnsi="仿宋" w:eastAsia="仿宋"/>
          <w:sz w:val="30"/>
          <w:szCs w:val="30"/>
        </w:rPr>
        <w:t>6</w:t>
      </w:r>
      <w:r>
        <w:rPr>
          <w:rFonts w:hint="eastAsia" w:ascii="仿宋" w:hAnsi="仿宋" w:eastAsia="仿宋"/>
          <w:sz w:val="30"/>
          <w:szCs w:val="30"/>
        </w:rPr>
        <w:t>个三级指标，2</w:t>
      </w:r>
      <w:r>
        <w:rPr>
          <w:rFonts w:ascii="仿宋" w:hAnsi="仿宋" w:eastAsia="仿宋"/>
          <w:sz w:val="30"/>
          <w:szCs w:val="30"/>
        </w:rPr>
        <w:t>1</w:t>
      </w:r>
      <w:r>
        <w:rPr>
          <w:rFonts w:hint="eastAsia" w:ascii="仿宋" w:hAnsi="仿宋" w:eastAsia="仿宋"/>
          <w:sz w:val="30"/>
          <w:szCs w:val="30"/>
        </w:rPr>
        <w:t>个评分项，均为定性评分项。主要考核项目</w:t>
      </w:r>
      <w:r>
        <w:rPr>
          <w:rFonts w:hint="eastAsia" w:ascii="仿宋" w:hAnsi="仿宋" w:eastAsia="仿宋"/>
          <w:sz w:val="30"/>
          <w:szCs w:val="30"/>
          <w:lang w:val="en-US" w:eastAsia="zh-CN"/>
        </w:rPr>
        <w:t>立项依据充分性</w:t>
      </w:r>
      <w:r>
        <w:rPr>
          <w:rFonts w:hint="eastAsia" w:ascii="仿宋" w:hAnsi="仿宋" w:eastAsia="仿宋"/>
          <w:sz w:val="30"/>
          <w:szCs w:val="30"/>
          <w:lang w:eastAsia="zh-CN"/>
        </w:rPr>
        <w:t>、</w:t>
      </w:r>
      <w:r>
        <w:rPr>
          <w:rFonts w:hint="eastAsia" w:ascii="仿宋" w:hAnsi="仿宋" w:eastAsia="仿宋"/>
          <w:sz w:val="30"/>
          <w:szCs w:val="30"/>
        </w:rPr>
        <w:t>立项规范性、绩效目标合理性、绩效指标明确性、预算编制科学性、资金分配合理性等情况。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“过程”指标由“项目管理、资金管理”2个二级指标构成，同时将2个二级指标分解为</w:t>
      </w:r>
      <w:r>
        <w:rPr>
          <w:rFonts w:hint="eastAsia" w:hAnsi="仿宋"/>
          <w:sz w:val="30"/>
          <w:szCs w:val="30"/>
          <w:lang w:val="en-US" w:eastAsia="zh-CN"/>
        </w:rPr>
        <w:t>10</w:t>
      </w:r>
      <w:r>
        <w:rPr>
          <w:rFonts w:hint="eastAsia" w:ascii="仿宋" w:hAnsi="仿宋" w:eastAsia="仿宋"/>
          <w:sz w:val="30"/>
          <w:szCs w:val="30"/>
        </w:rPr>
        <w:t>个三级指标，2</w:t>
      </w:r>
      <w:r>
        <w:rPr>
          <w:rFonts w:hint="eastAsia" w:hAnsi="仿宋"/>
          <w:sz w:val="30"/>
          <w:szCs w:val="30"/>
          <w:lang w:val="en-US" w:eastAsia="zh-CN"/>
        </w:rPr>
        <w:t>3</w:t>
      </w:r>
      <w:r>
        <w:rPr>
          <w:rFonts w:hint="eastAsia" w:ascii="仿宋" w:hAnsi="仿宋" w:eastAsia="仿宋"/>
          <w:sz w:val="30"/>
          <w:szCs w:val="30"/>
        </w:rPr>
        <w:t>个评分项，其中包含</w:t>
      </w:r>
      <w:r>
        <w:rPr>
          <w:rFonts w:hint="eastAsia" w:hAnsi="仿宋"/>
          <w:sz w:val="30"/>
          <w:szCs w:val="30"/>
          <w:lang w:val="en-US" w:eastAsia="zh-CN"/>
        </w:rPr>
        <w:t>3</w:t>
      </w:r>
      <w:r>
        <w:rPr>
          <w:rFonts w:hint="eastAsia" w:ascii="仿宋" w:hAnsi="仿宋" w:eastAsia="仿宋"/>
          <w:sz w:val="30"/>
          <w:szCs w:val="30"/>
        </w:rPr>
        <w:t>个定量评分项和</w:t>
      </w:r>
      <w:r>
        <w:rPr>
          <w:rFonts w:hint="eastAsia" w:hAnsi="仿宋"/>
          <w:sz w:val="30"/>
          <w:szCs w:val="30"/>
          <w:lang w:val="en-US" w:eastAsia="zh-CN"/>
        </w:rPr>
        <w:t>20</w:t>
      </w:r>
      <w:r>
        <w:rPr>
          <w:rFonts w:hint="eastAsia" w:ascii="仿宋" w:hAnsi="仿宋" w:eastAsia="仿宋"/>
          <w:sz w:val="30"/>
          <w:szCs w:val="30"/>
        </w:rPr>
        <w:t>个定性评分项。主要考核项目管理制度健全性、制度执行有效性、</w:t>
      </w:r>
      <w:r>
        <w:rPr>
          <w:rFonts w:hint="eastAsia" w:ascii="仿宋" w:hAnsi="仿宋" w:eastAsia="仿宋"/>
          <w:sz w:val="30"/>
          <w:szCs w:val="30"/>
          <w:lang w:eastAsia="zh-CN"/>
        </w:rPr>
        <w:t>项目执行一致性</w:t>
      </w:r>
      <w:r>
        <w:rPr>
          <w:rFonts w:hint="eastAsia" w:ascii="仿宋" w:hAnsi="仿宋" w:eastAsia="仿宋"/>
          <w:sz w:val="30"/>
          <w:szCs w:val="30"/>
        </w:rPr>
        <w:t>、</w:t>
      </w:r>
      <w:r>
        <w:rPr>
          <w:rFonts w:hint="eastAsia" w:ascii="仿宋" w:hAnsi="仿宋" w:eastAsia="仿宋"/>
          <w:sz w:val="30"/>
          <w:szCs w:val="30"/>
          <w:lang w:val="en-US" w:eastAsia="zh-CN"/>
        </w:rPr>
        <w:t>绩效自评报告</w:t>
      </w:r>
      <w:r>
        <w:rPr>
          <w:rFonts w:hint="eastAsia" w:ascii="仿宋" w:hAnsi="仿宋" w:eastAsia="仿宋"/>
          <w:sz w:val="30"/>
          <w:szCs w:val="30"/>
        </w:rPr>
        <w:t>、</w:t>
      </w:r>
      <w:r>
        <w:rPr>
          <w:rFonts w:hint="eastAsia" w:hAnsi="仿宋"/>
          <w:sz w:val="30"/>
          <w:szCs w:val="30"/>
          <w:lang w:val="en-US" w:eastAsia="zh-CN"/>
        </w:rPr>
        <w:t>项目验收规范性、项目建设安全性、监督检查</w:t>
      </w:r>
      <w:r>
        <w:rPr>
          <w:rFonts w:hint="eastAsia" w:hAnsi="仿宋"/>
          <w:sz w:val="30"/>
          <w:szCs w:val="30"/>
          <w:lang w:eastAsia="zh-CN"/>
        </w:rPr>
        <w:t>、</w:t>
      </w:r>
      <w:r>
        <w:rPr>
          <w:rFonts w:hint="eastAsia" w:ascii="仿宋" w:hAnsi="仿宋" w:eastAsia="仿宋"/>
          <w:sz w:val="30"/>
          <w:szCs w:val="30"/>
        </w:rPr>
        <w:t>资金到位率、预算执行率、资金使用合规性等情况。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“产出”指标包括“产出数量、产出质量、产出时效、产出成本”</w:t>
      </w:r>
      <w:r>
        <w:rPr>
          <w:rFonts w:ascii="仿宋" w:hAnsi="仿宋" w:eastAsia="仿宋"/>
          <w:sz w:val="30"/>
          <w:szCs w:val="30"/>
        </w:rPr>
        <w:t>4</w:t>
      </w:r>
      <w:r>
        <w:rPr>
          <w:rFonts w:hint="eastAsia" w:ascii="仿宋" w:hAnsi="仿宋" w:eastAsia="仿宋"/>
          <w:sz w:val="30"/>
          <w:szCs w:val="30"/>
        </w:rPr>
        <w:t>个二级指标构成，同时将</w:t>
      </w:r>
      <w:r>
        <w:rPr>
          <w:rFonts w:ascii="仿宋" w:hAnsi="仿宋" w:eastAsia="仿宋"/>
          <w:sz w:val="30"/>
          <w:szCs w:val="30"/>
        </w:rPr>
        <w:t>4</w:t>
      </w:r>
      <w:r>
        <w:rPr>
          <w:rFonts w:hint="eastAsia" w:ascii="仿宋" w:hAnsi="仿宋" w:eastAsia="仿宋"/>
          <w:sz w:val="30"/>
          <w:szCs w:val="30"/>
        </w:rPr>
        <w:t>个二级指标分解为</w:t>
      </w:r>
      <w:r>
        <w:rPr>
          <w:rFonts w:hint="eastAsia" w:hAnsi="仿宋"/>
          <w:sz w:val="30"/>
          <w:szCs w:val="30"/>
          <w:lang w:val="en-US" w:eastAsia="zh-CN"/>
        </w:rPr>
        <w:t>4</w:t>
      </w:r>
      <w:r>
        <w:rPr>
          <w:rFonts w:hint="eastAsia" w:ascii="仿宋" w:hAnsi="仿宋" w:eastAsia="仿宋"/>
          <w:sz w:val="30"/>
          <w:szCs w:val="30"/>
        </w:rPr>
        <w:t>个三级指标，</w:t>
      </w:r>
      <w:r>
        <w:rPr>
          <w:rFonts w:hint="eastAsia" w:ascii="仿宋" w:hAnsi="仿宋" w:eastAsia="仿宋"/>
          <w:sz w:val="30"/>
          <w:szCs w:val="30"/>
          <w:lang w:val="en-US" w:eastAsia="zh-CN"/>
        </w:rPr>
        <w:t>1</w:t>
      </w:r>
      <w:r>
        <w:rPr>
          <w:rFonts w:hint="eastAsia" w:hAnsi="仿宋"/>
          <w:sz w:val="30"/>
          <w:szCs w:val="30"/>
          <w:lang w:val="en-US" w:eastAsia="zh-CN"/>
        </w:rPr>
        <w:t>3</w:t>
      </w:r>
      <w:r>
        <w:rPr>
          <w:rFonts w:hint="eastAsia" w:ascii="仿宋" w:hAnsi="仿宋" w:eastAsia="仿宋"/>
          <w:sz w:val="30"/>
          <w:szCs w:val="30"/>
        </w:rPr>
        <w:t>个评分项，</w:t>
      </w:r>
      <w:r>
        <w:rPr>
          <w:rFonts w:hint="eastAsia" w:hAnsi="仿宋"/>
          <w:sz w:val="30"/>
          <w:szCs w:val="30"/>
          <w:lang w:val="en-US" w:eastAsia="zh-CN"/>
        </w:rPr>
        <w:t>均为</w:t>
      </w:r>
      <w:r>
        <w:rPr>
          <w:rFonts w:hint="eastAsia" w:ascii="仿宋" w:hAnsi="仿宋" w:eastAsia="仿宋"/>
          <w:sz w:val="30"/>
          <w:szCs w:val="30"/>
        </w:rPr>
        <w:t>定量评分项。主要综合考核新建农贸市场完成情况</w:t>
      </w:r>
      <w:r>
        <w:rPr>
          <w:rFonts w:hint="eastAsia" w:hAnsi="仿宋"/>
          <w:sz w:val="30"/>
          <w:szCs w:val="30"/>
          <w:lang w:eastAsia="zh-CN"/>
        </w:rPr>
        <w:t>、完成及时率、单位建设成本、质量达标率</w:t>
      </w:r>
      <w:r>
        <w:rPr>
          <w:rFonts w:hint="eastAsia" w:ascii="仿宋" w:hAnsi="仿宋" w:eastAsia="仿宋"/>
          <w:sz w:val="30"/>
          <w:szCs w:val="30"/>
        </w:rPr>
        <w:t>等方面的情况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“效果”指标由“经济效益、社会效益、</w:t>
      </w:r>
      <w:r>
        <w:rPr>
          <w:rFonts w:hint="eastAsia" w:ascii="仿宋" w:hAnsi="仿宋" w:eastAsia="仿宋"/>
          <w:sz w:val="30"/>
          <w:szCs w:val="30"/>
          <w:lang w:val="en-US" w:eastAsia="zh-CN"/>
        </w:rPr>
        <w:t>可持续影响、</w:t>
      </w:r>
      <w:r>
        <w:rPr>
          <w:rFonts w:hint="eastAsia" w:ascii="仿宋" w:hAnsi="仿宋" w:eastAsia="仿宋"/>
          <w:sz w:val="30"/>
          <w:szCs w:val="30"/>
        </w:rPr>
        <w:t>满意度”</w:t>
      </w:r>
      <w:r>
        <w:rPr>
          <w:rFonts w:hint="eastAsia" w:hAnsi="仿宋"/>
          <w:sz w:val="30"/>
          <w:szCs w:val="30"/>
          <w:lang w:val="en-US" w:eastAsia="zh-CN"/>
        </w:rPr>
        <w:t>4</w:t>
      </w:r>
      <w:r>
        <w:rPr>
          <w:rFonts w:hint="eastAsia" w:ascii="仿宋" w:hAnsi="仿宋" w:eastAsia="仿宋"/>
          <w:sz w:val="30"/>
          <w:szCs w:val="30"/>
        </w:rPr>
        <w:t>个二级指标构成，同时将</w:t>
      </w:r>
      <w:r>
        <w:rPr>
          <w:rFonts w:hint="eastAsia" w:hAnsi="仿宋"/>
          <w:sz w:val="30"/>
          <w:szCs w:val="30"/>
          <w:lang w:val="en-US" w:eastAsia="zh-CN"/>
        </w:rPr>
        <w:t>4</w:t>
      </w:r>
      <w:r>
        <w:rPr>
          <w:rFonts w:hint="eastAsia" w:ascii="仿宋" w:hAnsi="仿宋" w:eastAsia="仿宋"/>
          <w:sz w:val="30"/>
          <w:szCs w:val="30"/>
        </w:rPr>
        <w:t>个二级指标细化为</w:t>
      </w:r>
      <w:r>
        <w:rPr>
          <w:rFonts w:hint="eastAsia" w:hAnsi="仿宋"/>
          <w:sz w:val="30"/>
          <w:szCs w:val="30"/>
          <w:lang w:val="en-US" w:eastAsia="zh-CN"/>
        </w:rPr>
        <w:t>5</w:t>
      </w:r>
      <w:r>
        <w:rPr>
          <w:rFonts w:hint="eastAsia" w:ascii="仿宋" w:hAnsi="仿宋" w:eastAsia="仿宋"/>
          <w:sz w:val="30"/>
          <w:szCs w:val="30"/>
        </w:rPr>
        <w:t>个三级指标，</w:t>
      </w:r>
      <w:r>
        <w:rPr>
          <w:rFonts w:hint="eastAsia" w:hAnsi="仿宋"/>
          <w:sz w:val="30"/>
          <w:szCs w:val="30"/>
          <w:lang w:val="en-US" w:eastAsia="zh-CN"/>
        </w:rPr>
        <w:t>9</w:t>
      </w:r>
      <w:r>
        <w:rPr>
          <w:rFonts w:hint="eastAsia" w:ascii="仿宋" w:hAnsi="仿宋" w:eastAsia="仿宋"/>
          <w:sz w:val="30"/>
          <w:szCs w:val="30"/>
        </w:rPr>
        <w:t>个评分项，其中包含</w:t>
      </w:r>
      <w:r>
        <w:rPr>
          <w:rFonts w:hint="eastAsia" w:hAnsi="仿宋"/>
          <w:sz w:val="30"/>
          <w:szCs w:val="30"/>
          <w:lang w:val="en-US" w:eastAsia="zh-CN"/>
        </w:rPr>
        <w:t>7</w:t>
      </w:r>
      <w:r>
        <w:rPr>
          <w:rFonts w:hint="eastAsia" w:ascii="仿宋" w:hAnsi="仿宋" w:eastAsia="仿宋"/>
          <w:sz w:val="30"/>
          <w:szCs w:val="30"/>
        </w:rPr>
        <w:t>个定量评分项和</w:t>
      </w:r>
      <w:r>
        <w:rPr>
          <w:rFonts w:hint="eastAsia" w:hAnsi="仿宋"/>
          <w:sz w:val="30"/>
          <w:szCs w:val="30"/>
          <w:lang w:val="en-US" w:eastAsia="zh-CN"/>
        </w:rPr>
        <w:t>2</w:t>
      </w:r>
      <w:r>
        <w:rPr>
          <w:rFonts w:hint="eastAsia" w:ascii="仿宋" w:hAnsi="仿宋" w:eastAsia="仿宋"/>
          <w:sz w:val="30"/>
          <w:szCs w:val="30"/>
        </w:rPr>
        <w:t>个定性评分项。主要综合考核村集体经济收入增加情况</w:t>
      </w:r>
      <w:r>
        <w:rPr>
          <w:rFonts w:hint="eastAsia" w:hAnsi="仿宋"/>
          <w:sz w:val="30"/>
          <w:szCs w:val="30"/>
          <w:lang w:eastAsia="zh-CN"/>
        </w:rPr>
        <w:t>、生活便捷程度、对农村公益</w:t>
      </w:r>
      <w:r>
        <w:rPr>
          <w:rFonts w:hint="eastAsia" w:hAnsi="仿宋"/>
          <w:sz w:val="30"/>
          <w:szCs w:val="30"/>
          <w:lang w:val="en-US" w:eastAsia="zh-CN"/>
        </w:rPr>
        <w:t>及</w:t>
      </w:r>
      <w:r>
        <w:rPr>
          <w:rFonts w:hint="eastAsia" w:hAnsi="仿宋"/>
          <w:sz w:val="30"/>
          <w:szCs w:val="30"/>
          <w:lang w:eastAsia="zh-CN"/>
        </w:rPr>
        <w:t>扶贫济困等事业发展的促进作用、项目后续管理情况</w:t>
      </w:r>
      <w:r>
        <w:rPr>
          <w:rFonts w:hint="eastAsia" w:ascii="仿宋" w:hAnsi="仿宋" w:eastAsia="仿宋"/>
          <w:sz w:val="30"/>
          <w:szCs w:val="30"/>
          <w:lang w:val="en-US" w:eastAsia="zh-CN"/>
        </w:rPr>
        <w:t>及</w:t>
      </w:r>
      <w:r>
        <w:rPr>
          <w:rFonts w:hint="eastAsia" w:ascii="仿宋" w:hAnsi="仿宋" w:eastAsia="仿宋"/>
          <w:sz w:val="30"/>
          <w:szCs w:val="30"/>
        </w:rPr>
        <w:t>受益对象满意度等情况。</w:t>
      </w:r>
    </w:p>
    <w:p>
      <w:pPr>
        <w:ind w:firstLine="600" w:firstLineChars="200"/>
        <w:rPr>
          <w:rFonts w:ascii="仿宋" w:hAnsi="仿宋" w:eastAsia="仿宋"/>
          <w:sz w:val="30"/>
          <w:szCs w:val="30"/>
        </w:rPr>
      </w:pPr>
      <w:r>
        <w:rPr>
          <w:rFonts w:hint="eastAsia" w:ascii="仿宋" w:hAnsi="仿宋" w:eastAsia="仿宋"/>
          <w:sz w:val="30"/>
          <w:szCs w:val="30"/>
        </w:rPr>
        <w:t>2.评价标准</w:t>
      </w:r>
    </w:p>
    <w:p>
      <w:pPr>
        <w:spacing w:line="579" w:lineRule="exact"/>
        <w:ind w:firstLine="648"/>
        <w:rPr>
          <w:rFonts w:ascii="仿宋" w:hAnsi="仿宋" w:eastAsia="仿宋"/>
          <w:sz w:val="30"/>
          <w:szCs w:val="30"/>
        </w:rPr>
      </w:pPr>
      <w:r>
        <w:rPr>
          <w:rFonts w:hint="eastAsia" w:ascii="仿宋" w:hAnsi="仿宋" w:eastAsia="仿宋"/>
          <w:sz w:val="30"/>
          <w:szCs w:val="30"/>
        </w:rPr>
        <w:t>主要采取定性与定量相结合的评分标准，共设置</w:t>
      </w:r>
      <w:r>
        <w:rPr>
          <w:rFonts w:hint="eastAsia" w:hAnsi="仿宋"/>
          <w:sz w:val="30"/>
          <w:szCs w:val="30"/>
          <w:lang w:val="en-US" w:eastAsia="zh-CN"/>
        </w:rPr>
        <w:t>66</w:t>
      </w:r>
      <w:r>
        <w:rPr>
          <w:rFonts w:hint="eastAsia" w:ascii="仿宋" w:hAnsi="仿宋" w:eastAsia="仿宋"/>
          <w:sz w:val="30"/>
          <w:szCs w:val="30"/>
        </w:rPr>
        <w:t>个评分项，其中</w:t>
      </w:r>
      <w:r>
        <w:rPr>
          <w:rFonts w:ascii="仿宋" w:hAnsi="仿宋" w:eastAsia="仿宋"/>
          <w:sz w:val="30"/>
          <w:szCs w:val="30"/>
        </w:rPr>
        <w:t>2</w:t>
      </w:r>
      <w:r>
        <w:rPr>
          <w:rFonts w:hint="eastAsia" w:hAnsi="仿宋"/>
          <w:sz w:val="30"/>
          <w:szCs w:val="30"/>
          <w:lang w:val="en-US" w:eastAsia="zh-CN"/>
        </w:rPr>
        <w:t>3</w:t>
      </w:r>
      <w:r>
        <w:rPr>
          <w:rFonts w:hint="eastAsia" w:ascii="仿宋" w:hAnsi="仿宋" w:eastAsia="仿宋"/>
          <w:sz w:val="30"/>
          <w:szCs w:val="30"/>
        </w:rPr>
        <w:t>个定量标准、</w:t>
      </w:r>
      <w:r>
        <w:rPr>
          <w:rFonts w:hint="eastAsia" w:hAnsi="仿宋"/>
          <w:sz w:val="30"/>
          <w:szCs w:val="30"/>
          <w:lang w:val="en-US" w:eastAsia="zh-CN"/>
        </w:rPr>
        <w:t>43</w:t>
      </w:r>
      <w:r>
        <w:rPr>
          <w:rFonts w:hint="eastAsia" w:ascii="仿宋" w:hAnsi="仿宋" w:eastAsia="仿宋"/>
          <w:sz w:val="30"/>
          <w:szCs w:val="30"/>
        </w:rPr>
        <w:t>个定性标准。定性标准采用两段评分法和分段评分法，定量标准采用百分比计算得分法和分段评分法等进</w:t>
      </w:r>
      <w:r>
        <w:rPr>
          <w:rFonts w:hint="eastAsia" w:ascii="仿宋" w:hAnsi="仿宋" w:eastAsia="仿宋" w:cs="Times New Roman"/>
          <w:sz w:val="30"/>
          <w:szCs w:val="30"/>
        </w:rPr>
        <w:t>行评分，具体评价标准详见附件</w:t>
      </w:r>
      <w:r>
        <w:rPr>
          <w:rFonts w:hint="eastAsia" w:ascii="仿宋" w:hAnsi="仿宋" w:eastAsia="仿宋" w:cs="Times New Roman"/>
          <w:sz w:val="30"/>
          <w:szCs w:val="30"/>
          <w:lang w:val="en-US" w:eastAsia="zh-CN"/>
        </w:rPr>
        <w:t>2</w:t>
      </w:r>
      <w:r>
        <w:rPr>
          <w:rFonts w:hint="eastAsia" w:hAnsi="仿宋" w:cs="Times New Roman"/>
          <w:sz w:val="30"/>
          <w:szCs w:val="30"/>
          <w:lang w:val="en-US" w:eastAsia="zh-CN"/>
        </w:rPr>
        <w:t>：盈江县勐弄乡勐典村2019年边疆党建长廊“四位一体”建设试点—勐弄乡农贸市场建设项目（村集体经济）绩效再评价指标体系及评分表</w:t>
      </w:r>
      <w:r>
        <w:rPr>
          <w:rFonts w:hint="eastAsia" w:ascii="仿宋" w:hAnsi="仿宋" w:eastAsia="仿宋" w:cs="Times New Roman"/>
          <w:sz w:val="30"/>
          <w:szCs w:val="30"/>
        </w:rPr>
        <w:t>。</w:t>
      </w:r>
    </w:p>
    <w:p>
      <w:p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sz w:val="30"/>
          <w:szCs w:val="30"/>
        </w:rPr>
        <w:t>本次评价采用百分制，各级指标依据其指标权重确定分值，评价人员根据评价情况对各级指标进行评分，最终得分由各级评价指标得分加总。根据最终得分情况将评价标准分为四个等级：优（得分≥90分）</w:t>
      </w:r>
      <w:r>
        <w:rPr>
          <w:rFonts w:hint="eastAsia" w:hAnsi="仿宋"/>
          <w:sz w:val="30"/>
          <w:szCs w:val="30"/>
          <w:lang w:eastAsia="zh-CN"/>
        </w:rPr>
        <w:t>、</w:t>
      </w:r>
      <w:r>
        <w:rPr>
          <w:rFonts w:hint="eastAsia" w:ascii="仿宋" w:hAnsi="仿宋" w:eastAsia="仿宋"/>
          <w:sz w:val="30"/>
          <w:szCs w:val="30"/>
        </w:rPr>
        <w:t>良（80分≤得分＜90分）</w:t>
      </w:r>
      <w:r>
        <w:rPr>
          <w:rFonts w:hint="eastAsia" w:hAnsi="仿宋"/>
          <w:sz w:val="30"/>
          <w:szCs w:val="30"/>
          <w:lang w:eastAsia="zh-CN"/>
        </w:rPr>
        <w:t>、</w:t>
      </w:r>
      <w:r>
        <w:rPr>
          <w:rFonts w:hint="eastAsia" w:ascii="仿宋" w:hAnsi="仿宋" w:eastAsia="仿宋"/>
          <w:sz w:val="30"/>
          <w:szCs w:val="30"/>
        </w:rPr>
        <w:t>中（60≤得分＜80分）</w:t>
      </w:r>
      <w:r>
        <w:rPr>
          <w:rFonts w:hint="eastAsia" w:hAnsi="仿宋"/>
          <w:sz w:val="30"/>
          <w:szCs w:val="30"/>
          <w:lang w:eastAsia="zh-CN"/>
        </w:rPr>
        <w:t>、</w:t>
      </w:r>
      <w:r>
        <w:rPr>
          <w:rFonts w:hint="eastAsia" w:ascii="仿宋" w:hAnsi="仿宋" w:eastAsia="仿宋"/>
          <w:sz w:val="30"/>
          <w:szCs w:val="30"/>
        </w:rPr>
        <w:t>差（得分＜60分）。</w:t>
      </w:r>
    </w:p>
    <w:p>
      <w:pPr>
        <w:spacing w:line="570" w:lineRule="exact"/>
        <w:ind w:firstLine="600" w:firstLineChars="200"/>
        <w:outlineLvl w:val="1"/>
        <w:rPr>
          <w:rFonts w:ascii="楷体" w:hAnsi="楷体" w:eastAsia="楷体"/>
          <w:sz w:val="30"/>
          <w:szCs w:val="30"/>
        </w:rPr>
      </w:pPr>
      <w:bookmarkStart w:id="14" w:name="_Toc51333620"/>
      <w:r>
        <w:rPr>
          <w:rFonts w:hint="eastAsia" w:ascii="楷体" w:hAnsi="楷体" w:eastAsia="楷体"/>
          <w:sz w:val="30"/>
          <w:szCs w:val="30"/>
        </w:rPr>
        <w:t>（四）绩效评价检查范围</w:t>
      </w:r>
      <w:bookmarkEnd w:id="14"/>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本次绩效评价拟对</w:t>
      </w:r>
      <w:r>
        <w:rPr>
          <w:rFonts w:hint="eastAsia" w:hAnsi="仿宋"/>
          <w:szCs w:val="30"/>
          <w:lang w:val="en-US" w:eastAsia="zh-CN"/>
        </w:rPr>
        <w:t>盈江县勐弄乡勐典村2019年边疆党建长廊“四位一体”建设试点—勐弄乡农贸市场建设项目（村集体经济）</w:t>
      </w:r>
      <w:r>
        <w:rPr>
          <w:rFonts w:hint="eastAsia" w:hAnsi="仿宋"/>
          <w:sz w:val="30"/>
          <w:szCs w:val="30"/>
          <w:lang w:val="en-US" w:eastAsia="zh-CN"/>
        </w:rPr>
        <w:t>实际下达资金</w:t>
      </w:r>
      <w:r>
        <w:rPr>
          <w:rFonts w:hint="eastAsia" w:hAnsi="仿宋"/>
          <w:szCs w:val="30"/>
          <w:lang w:val="en-US" w:eastAsia="zh-CN"/>
        </w:rPr>
        <w:t>100.00</w:t>
      </w:r>
      <w:r>
        <w:rPr>
          <w:rFonts w:hint="eastAsia" w:ascii="仿宋" w:hAnsi="仿宋" w:eastAsia="仿宋"/>
          <w:sz w:val="30"/>
          <w:szCs w:val="30"/>
        </w:rPr>
        <w:t>万元进行评价。</w:t>
      </w:r>
    </w:p>
    <w:p>
      <w:pPr>
        <w:spacing w:line="579" w:lineRule="exact"/>
        <w:ind w:firstLine="600" w:firstLineChars="200"/>
        <w:outlineLvl w:val="0"/>
        <w:rPr>
          <w:rFonts w:ascii="黑体" w:hAnsi="宋体" w:eastAsia="黑体" w:cs="宋体"/>
          <w:szCs w:val="30"/>
        </w:rPr>
      </w:pPr>
      <w:bookmarkStart w:id="15" w:name="_Toc516669100"/>
      <w:bookmarkStart w:id="16" w:name="_Toc13577"/>
      <w:r>
        <w:rPr>
          <w:rFonts w:hint="eastAsia" w:ascii="黑体" w:hAnsi="宋体" w:eastAsia="黑体" w:cs="宋体"/>
          <w:szCs w:val="30"/>
        </w:rPr>
        <w:t>四、绩效评价结论</w:t>
      </w:r>
      <w:bookmarkEnd w:id="15"/>
      <w:bookmarkEnd w:id="16"/>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17" w:name="_Toc9249"/>
      <w:bookmarkStart w:id="18" w:name="_Toc516669101"/>
      <w:r>
        <w:rPr>
          <w:rFonts w:hint="eastAsia" w:ascii="楷体" w:hAnsi="楷体" w:eastAsia="楷体"/>
          <w:color w:val="000000" w:themeColor="text1"/>
          <w:szCs w:val="30"/>
          <w14:textFill>
            <w14:solidFill>
              <w14:schemeClr w14:val="tx1"/>
            </w14:solidFill>
          </w14:textFill>
        </w:rPr>
        <w:t>（一）绩效评价综合结论</w:t>
      </w:r>
      <w:bookmarkEnd w:id="17"/>
      <w:bookmarkEnd w:id="18"/>
    </w:p>
    <w:p>
      <w:pPr>
        <w:spacing w:line="579" w:lineRule="exact"/>
        <w:ind w:firstLine="600" w:firstLineChars="200"/>
        <w:rPr>
          <w:rFonts w:hint="eastAsia" w:hAnsi="仿宋"/>
          <w:szCs w:val="30"/>
        </w:rPr>
      </w:pPr>
      <w:r>
        <w:rPr>
          <w:rFonts w:hint="eastAsia" w:hAnsi="仿宋"/>
          <w:szCs w:val="30"/>
          <w:lang w:val="en-US" w:eastAsia="zh-CN"/>
        </w:rPr>
        <w:t>盈江县勐弄乡勐典村2019年边疆党建长廊“四位一体”建设试点—勐弄乡农贸市场建设项目（村集体经济）</w:t>
      </w:r>
      <w:r>
        <w:rPr>
          <w:rFonts w:hint="eastAsia" w:hAnsi="仿宋"/>
          <w:szCs w:val="30"/>
        </w:rPr>
        <w:t>绩效评价得分</w:t>
      </w:r>
      <w:r>
        <w:rPr>
          <w:rFonts w:hint="eastAsia" w:hAnsi="仿宋"/>
          <w:szCs w:val="30"/>
          <w:lang w:val="en-US" w:eastAsia="zh-CN"/>
        </w:rPr>
        <w:t>66.63</w:t>
      </w:r>
      <w:r>
        <w:rPr>
          <w:rFonts w:hint="eastAsia" w:hAnsi="仿宋"/>
          <w:szCs w:val="30"/>
        </w:rPr>
        <w:t>分，评价等级为“</w:t>
      </w:r>
      <w:r>
        <w:rPr>
          <w:rFonts w:hint="eastAsia" w:hAnsi="仿宋"/>
          <w:szCs w:val="30"/>
          <w:lang w:val="en-US" w:eastAsia="zh-CN"/>
        </w:rPr>
        <w:t>中</w:t>
      </w:r>
      <w:r>
        <w:rPr>
          <w:rFonts w:hint="eastAsia" w:hAnsi="仿宋"/>
          <w:szCs w:val="30"/>
        </w:rPr>
        <w:t>”。一级指标具体得分情况详见下表：</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hAnsi="仿宋"/>
          <w:szCs w:val="30"/>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2</w:t>
      </w:r>
      <w:r>
        <w:rPr>
          <w:rFonts w:hint="eastAsia" w:ascii="黑体" w:hAnsi="黑体" w:eastAsia="黑体" w:cs="宋体"/>
          <w:bCs/>
          <w:sz w:val="24"/>
          <w:szCs w:val="24"/>
          <w:lang w:eastAsia="zh-CN"/>
        </w:rPr>
        <w:t>：</w:t>
      </w:r>
      <w:r>
        <w:rPr>
          <w:rFonts w:hint="eastAsia" w:ascii="黑体" w:hAnsi="黑体" w:eastAsia="黑体" w:cs="宋体"/>
          <w:bCs/>
          <w:sz w:val="24"/>
          <w:szCs w:val="24"/>
        </w:rPr>
        <w:t>绩效评价得分情况表</w:t>
      </w:r>
    </w:p>
    <w:tbl>
      <w:tblPr>
        <w:tblStyle w:val="6"/>
        <w:tblW w:w="8311" w:type="dxa"/>
        <w:tblInd w:w="0" w:type="dxa"/>
        <w:shd w:val="clear" w:color="auto" w:fill="auto"/>
        <w:tblLayout w:type="fixed"/>
        <w:tblCellMar>
          <w:top w:w="0" w:type="dxa"/>
          <w:left w:w="0" w:type="dxa"/>
          <w:bottom w:w="0" w:type="dxa"/>
          <w:right w:w="0" w:type="dxa"/>
        </w:tblCellMar>
      </w:tblPr>
      <w:tblGrid>
        <w:gridCol w:w="1903"/>
        <w:gridCol w:w="1836"/>
        <w:gridCol w:w="2412"/>
        <w:gridCol w:w="2160"/>
      </w:tblGrid>
      <w:tr>
        <w:tblPrEx>
          <w:shd w:val="clear" w:color="auto" w:fill="auto"/>
          <w:tblCellMar>
            <w:top w:w="0" w:type="dxa"/>
            <w:left w:w="0" w:type="dxa"/>
            <w:bottom w:w="0" w:type="dxa"/>
            <w:right w:w="0" w:type="dxa"/>
          </w:tblCellMar>
        </w:tblPrEx>
        <w:trPr>
          <w:trHeight w:val="340" w:hRule="exact"/>
          <w:tblHeader/>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指标分值</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评价得分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得分率</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决策</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12.50</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83.33</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过程</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3</w:t>
            </w:r>
            <w:r>
              <w:rPr>
                <w:rFonts w:hint="eastAsia" w:ascii="仿宋" w:hAnsi="仿宋" w:eastAsia="仿宋" w:cs="仿宋"/>
                <w:i w:val="0"/>
                <w:color w:val="000000"/>
                <w:kern w:val="0"/>
                <w:sz w:val="21"/>
                <w:szCs w:val="21"/>
                <w:u w:val="none"/>
                <w:lang w:val="en-US" w:eastAsia="zh-CN" w:bidi="ar"/>
              </w:rPr>
              <w:t>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18.50</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61.67</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产出</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25.00</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71.43</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效果</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30"/>
                <w:sz w:val="21"/>
                <w:szCs w:val="21"/>
                <w:u w:val="none"/>
                <w:lang w:val="en-US" w:eastAsia="zh-CN" w:bidi="ar-SA"/>
              </w:rPr>
            </w:pPr>
            <w:r>
              <w:rPr>
                <w:rFonts w:hint="eastAsia" w:hAnsi="仿宋" w:cs="仿宋"/>
                <w:i w:val="0"/>
                <w:color w:val="000000"/>
                <w:kern w:val="0"/>
                <w:sz w:val="21"/>
                <w:szCs w:val="21"/>
                <w:u w:val="none"/>
                <w:lang w:val="en-US" w:eastAsia="zh-CN" w:bidi="ar"/>
              </w:rPr>
              <w:t>10.63</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53.15</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 计</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hAnsi="仿宋" w:cs="仿宋"/>
                <w:b/>
                <w:i w:val="0"/>
                <w:color w:val="000000"/>
                <w:kern w:val="0"/>
                <w:sz w:val="21"/>
                <w:szCs w:val="21"/>
                <w:u w:val="none"/>
                <w:lang w:val="en-US" w:eastAsia="zh-CN" w:bidi="ar"/>
              </w:rPr>
              <w:t>66.63</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66.63</w:t>
            </w:r>
            <w:r>
              <w:rPr>
                <w:rFonts w:hint="eastAsia" w:ascii="仿宋" w:hAnsi="仿宋" w:eastAsia="仿宋" w:cs="仿宋"/>
                <w:b/>
                <w:i w:val="0"/>
                <w:color w:val="000000"/>
                <w:kern w:val="0"/>
                <w:sz w:val="21"/>
                <w:szCs w:val="21"/>
                <w:u w:val="none"/>
                <w:lang w:val="en-US" w:eastAsia="zh-CN" w:bidi="ar"/>
              </w:rPr>
              <w:t>%</w:t>
            </w:r>
          </w:p>
        </w:tc>
      </w:tr>
    </w:tbl>
    <w:p>
      <w:pPr>
        <w:numPr>
          <w:ilvl w:val="0"/>
          <w:numId w:val="0"/>
        </w:numPr>
        <w:spacing w:line="579" w:lineRule="exact"/>
        <w:ind w:firstLine="600" w:firstLineChars="200"/>
        <w:rPr>
          <w:rFonts w:hint="default" w:hAnsi="仿宋" w:cs="仿宋"/>
          <w:sz w:val="30"/>
          <w:szCs w:val="30"/>
          <w:lang w:val="en-US" w:eastAsia="zh-CN"/>
        </w:rPr>
      </w:pPr>
      <w:r>
        <w:rPr>
          <w:rFonts w:hint="eastAsia" w:hAnsi="仿宋"/>
          <w:szCs w:val="30"/>
          <w:lang w:val="en-US" w:eastAsia="zh-CN"/>
        </w:rPr>
        <w:t>盈江县勐弄乡勐典村2019年边疆党建长廊“四位一体”建设试点—勐弄乡农贸市场建设项目（村集体经济）</w:t>
      </w:r>
      <w:r>
        <w:rPr>
          <w:rFonts w:hint="eastAsia" w:ascii="仿宋" w:hAnsi="仿宋" w:eastAsia="仿宋"/>
          <w:sz w:val="30"/>
          <w:szCs w:val="30"/>
        </w:rPr>
        <w:t>立项符合国民经济发展、行业发展规划及</w:t>
      </w:r>
      <w:r>
        <w:rPr>
          <w:rFonts w:hint="eastAsia" w:hAnsi="仿宋"/>
          <w:szCs w:val="30"/>
          <w:lang w:val="en-US" w:eastAsia="zh-CN"/>
        </w:rPr>
        <w:t>盈江县发展和改革局</w:t>
      </w:r>
      <w:r>
        <w:rPr>
          <w:rFonts w:hint="eastAsia" w:ascii="仿宋" w:hAnsi="仿宋" w:eastAsia="仿宋"/>
          <w:sz w:val="30"/>
          <w:szCs w:val="30"/>
        </w:rPr>
        <w:t>建设任务要求。盈江县</w:t>
      </w:r>
      <w:r>
        <w:rPr>
          <w:rFonts w:hint="eastAsia" w:hAnsi="仿宋"/>
          <w:sz w:val="30"/>
          <w:szCs w:val="30"/>
          <w:lang w:val="en-US" w:eastAsia="zh-CN"/>
        </w:rPr>
        <w:t>勐弄乡人民政府</w:t>
      </w:r>
      <w:r>
        <w:rPr>
          <w:rFonts w:hint="eastAsia" w:ascii="仿宋" w:hAnsi="仿宋" w:eastAsia="仿宋"/>
          <w:sz w:val="30"/>
          <w:szCs w:val="30"/>
        </w:rPr>
        <w:t>作为项目实施责任主体，制定了项目实施方案，并严格按照实施方案执行相关工作。</w:t>
      </w:r>
      <w:r>
        <w:rPr>
          <w:rFonts w:hint="eastAsia" w:hAnsi="仿宋" w:cs="仿宋"/>
          <w:sz w:val="30"/>
          <w:szCs w:val="30"/>
          <w:lang w:val="en-US" w:eastAsia="zh-CN"/>
        </w:rPr>
        <w:t>通过项目实施，完成了钢结构大棚建设</w:t>
      </w:r>
      <w:r>
        <w:rPr>
          <w:rFonts w:hint="eastAsia" w:ascii="仿宋" w:hAnsi="仿宋" w:eastAsia="仿宋" w:cs="仿宋"/>
          <w:sz w:val="30"/>
          <w:szCs w:val="30"/>
          <w:lang w:val="en-US" w:eastAsia="zh-CN"/>
        </w:rPr>
        <w:t>≥</w:t>
      </w:r>
      <w:r>
        <w:rPr>
          <w:rFonts w:hint="eastAsia" w:hAnsi="仿宋" w:cs="仿宋"/>
          <w:sz w:val="30"/>
          <w:szCs w:val="30"/>
          <w:lang w:val="en-US" w:eastAsia="zh-CN"/>
        </w:rPr>
        <w:t>900</w:t>
      </w:r>
      <w:r>
        <w:rPr>
          <w:rFonts w:hint="eastAsia" w:ascii="宋体" w:hAnsi="宋体" w:eastAsia="宋体" w:cs="宋体"/>
          <w:sz w:val="30"/>
          <w:szCs w:val="30"/>
          <w:lang w:val="en-US" w:eastAsia="zh-CN"/>
        </w:rPr>
        <w:t>㎡</w:t>
      </w:r>
      <w:r>
        <w:rPr>
          <w:rFonts w:hint="eastAsia" w:hAnsi="仿宋" w:cs="仿宋"/>
          <w:sz w:val="30"/>
          <w:szCs w:val="30"/>
          <w:lang w:val="en-US" w:eastAsia="zh-CN"/>
        </w:rPr>
        <w:t>的目标，但预计18间商铺及80个摊位尚未建设，新建农贸市场暂无法投入使用，经济效益及社会效益无从体现。</w:t>
      </w:r>
    </w:p>
    <w:p>
      <w:pPr>
        <w:numPr>
          <w:ilvl w:val="0"/>
          <w:numId w:val="0"/>
        </w:numPr>
        <w:spacing w:line="579" w:lineRule="exact"/>
        <w:ind w:firstLine="600" w:firstLineChars="200"/>
        <w:rPr>
          <w:rFonts w:ascii="仿宋" w:hAnsi="仿宋" w:eastAsia="仿宋"/>
          <w:sz w:val="30"/>
          <w:szCs w:val="30"/>
        </w:rPr>
      </w:pPr>
      <w:r>
        <w:rPr>
          <w:rFonts w:hint="eastAsia" w:ascii="仿宋" w:hAnsi="仿宋" w:eastAsia="仿宋"/>
          <w:sz w:val="30"/>
          <w:szCs w:val="30"/>
        </w:rPr>
        <w:t>项目实施过程中仍存</w:t>
      </w:r>
      <w:r>
        <w:rPr>
          <w:rFonts w:hint="eastAsia" w:hAnsi="仿宋"/>
          <w:sz w:val="30"/>
          <w:szCs w:val="30"/>
          <w:lang w:val="en-US" w:eastAsia="zh-CN"/>
        </w:rPr>
        <w:t>项目未按要求公示，</w:t>
      </w:r>
      <w:r>
        <w:rPr>
          <w:rFonts w:hint="eastAsia" w:ascii="仿宋" w:hAnsi="仿宋" w:eastAsia="仿宋"/>
          <w:sz w:val="30"/>
          <w:szCs w:val="30"/>
        </w:rPr>
        <w:t>项目绩效目标与预期产出差异较大</w:t>
      </w:r>
      <w:r>
        <w:rPr>
          <w:rFonts w:hint="eastAsia" w:hAnsi="仿宋"/>
          <w:sz w:val="30"/>
          <w:szCs w:val="30"/>
          <w:lang w:eastAsia="zh-CN"/>
        </w:rPr>
        <w:t>，</w:t>
      </w:r>
      <w:r>
        <w:rPr>
          <w:rFonts w:hint="eastAsia" w:ascii="仿宋" w:hAnsi="仿宋" w:eastAsia="仿宋"/>
          <w:sz w:val="30"/>
          <w:szCs w:val="30"/>
        </w:rPr>
        <w:t>绩效目标申报不够完整、清晰、合理</w:t>
      </w:r>
      <w:r>
        <w:rPr>
          <w:rFonts w:hint="eastAsia" w:hAnsi="仿宋"/>
          <w:sz w:val="30"/>
          <w:szCs w:val="30"/>
          <w:lang w:eastAsia="zh-CN"/>
        </w:rPr>
        <w:t>、</w:t>
      </w:r>
      <w:r>
        <w:rPr>
          <w:rFonts w:hint="eastAsia" w:hAnsi="仿宋"/>
          <w:sz w:val="30"/>
          <w:szCs w:val="30"/>
          <w:lang w:val="en-US" w:eastAsia="zh-CN"/>
        </w:rPr>
        <w:t>规范</w:t>
      </w:r>
      <w:r>
        <w:rPr>
          <w:rFonts w:hint="eastAsia" w:hAnsi="仿宋"/>
          <w:sz w:val="30"/>
          <w:szCs w:val="30"/>
          <w:lang w:eastAsia="zh-CN"/>
        </w:rPr>
        <w:t>，</w:t>
      </w:r>
      <w:r>
        <w:rPr>
          <w:rFonts w:hint="eastAsia" w:hAnsi="仿宋"/>
          <w:sz w:val="30"/>
          <w:szCs w:val="30"/>
          <w:lang w:val="en-US" w:eastAsia="zh-CN"/>
        </w:rPr>
        <w:t>部分指标无法衡量</w:t>
      </w:r>
      <w:r>
        <w:rPr>
          <w:rFonts w:hint="eastAsia" w:hAnsi="仿宋"/>
          <w:sz w:val="30"/>
          <w:szCs w:val="30"/>
          <w:lang w:eastAsia="zh-CN"/>
        </w:rPr>
        <w:t>，</w:t>
      </w:r>
      <w:r>
        <w:rPr>
          <w:rFonts w:hint="eastAsia" w:ascii="仿宋" w:hAnsi="仿宋" w:eastAsia="仿宋" w:cs="仿宋"/>
          <w:sz w:val="30"/>
          <w:szCs w:val="30"/>
        </w:rPr>
        <w:t>绩效自评工作落实不到位</w:t>
      </w:r>
      <w:r>
        <w:rPr>
          <w:rFonts w:hint="eastAsia" w:hAnsi="仿宋" w:cs="仿宋"/>
          <w:sz w:val="30"/>
          <w:szCs w:val="30"/>
          <w:lang w:eastAsia="zh-CN"/>
        </w:rPr>
        <w:t>，</w:t>
      </w:r>
      <w:r>
        <w:rPr>
          <w:rFonts w:hint="eastAsia" w:ascii="仿宋" w:hAnsi="仿宋" w:eastAsia="仿宋"/>
          <w:sz w:val="30"/>
          <w:szCs w:val="30"/>
        </w:rPr>
        <w:t>项目</w:t>
      </w:r>
      <w:r>
        <w:rPr>
          <w:rFonts w:hint="eastAsia" w:hAnsi="仿宋"/>
          <w:sz w:val="30"/>
          <w:szCs w:val="30"/>
          <w:lang w:val="en-US" w:eastAsia="zh-CN"/>
        </w:rPr>
        <w:t>验收不规范、</w:t>
      </w:r>
      <w:r>
        <w:rPr>
          <w:rFonts w:hint="eastAsia" w:ascii="仿宋" w:hAnsi="仿宋" w:eastAsia="仿宋"/>
          <w:sz w:val="30"/>
          <w:szCs w:val="30"/>
        </w:rPr>
        <w:t>过程管理不到位</w:t>
      </w:r>
      <w:r>
        <w:rPr>
          <w:rFonts w:hint="eastAsia" w:hAnsi="仿宋"/>
          <w:sz w:val="30"/>
          <w:szCs w:val="30"/>
          <w:lang w:eastAsia="zh-CN"/>
        </w:rPr>
        <w:t>，</w:t>
      </w:r>
      <w:r>
        <w:rPr>
          <w:rFonts w:hint="eastAsia" w:ascii="仿宋" w:hAnsi="仿宋" w:eastAsia="仿宋"/>
          <w:sz w:val="30"/>
          <w:szCs w:val="30"/>
        </w:rPr>
        <w:t>资金拨付依据不充分</w:t>
      </w:r>
      <w:r>
        <w:rPr>
          <w:rFonts w:hint="eastAsia" w:hAnsi="仿宋"/>
          <w:sz w:val="30"/>
          <w:szCs w:val="30"/>
          <w:lang w:val="en-US" w:eastAsia="zh-CN"/>
        </w:rPr>
        <w:t>及项目实施保障力度不足</w:t>
      </w:r>
      <w:r>
        <w:rPr>
          <w:rFonts w:hint="eastAsia" w:ascii="仿宋" w:hAnsi="仿宋" w:eastAsia="仿宋" w:cs="仿宋"/>
          <w:sz w:val="30"/>
          <w:szCs w:val="30"/>
        </w:rPr>
        <w:t>等问题。</w:t>
      </w:r>
    </w:p>
    <w:p>
      <w:pPr>
        <w:spacing w:line="579" w:lineRule="exact"/>
        <w:ind w:firstLine="600" w:firstLineChars="200"/>
        <w:outlineLvl w:val="1"/>
        <w:rPr>
          <w:rFonts w:ascii="楷体" w:hAnsi="楷体" w:eastAsia="楷体"/>
          <w:color w:val="000000" w:themeColor="text1"/>
          <w:szCs w:val="30"/>
          <w:highlight w:val="none"/>
          <w14:textFill>
            <w14:solidFill>
              <w14:schemeClr w14:val="tx1"/>
            </w14:solidFill>
          </w14:textFill>
        </w:rPr>
      </w:pPr>
      <w:bookmarkStart w:id="19" w:name="_Toc16011"/>
      <w:bookmarkStart w:id="20" w:name="_Toc510075321"/>
      <w:r>
        <w:rPr>
          <w:rFonts w:hint="eastAsia" w:ascii="楷体" w:hAnsi="楷体" w:eastAsia="楷体"/>
          <w:color w:val="000000" w:themeColor="text1"/>
          <w:szCs w:val="30"/>
          <w:highlight w:val="none"/>
          <w14:textFill>
            <w14:solidFill>
              <w14:schemeClr w14:val="tx1"/>
            </w14:solidFill>
          </w14:textFill>
        </w:rPr>
        <w:t>（二）绩效目标实现情况</w:t>
      </w:r>
      <w:bookmarkEnd w:id="19"/>
      <w:bookmarkEnd w:id="20"/>
    </w:p>
    <w:p>
      <w:pPr>
        <w:spacing w:line="579" w:lineRule="exact"/>
        <w:ind w:firstLine="600" w:firstLineChars="200"/>
        <w:rPr>
          <w:rFonts w:hint="eastAsia" w:hAnsi="仿宋"/>
          <w:szCs w:val="30"/>
        </w:rPr>
      </w:pPr>
      <w:bookmarkStart w:id="21" w:name="_Toc501404211"/>
      <w:bookmarkStart w:id="22" w:name="_Toc501568976"/>
      <w:bookmarkStart w:id="23" w:name="_Toc501568879"/>
      <w:r>
        <w:rPr>
          <w:rFonts w:hint="eastAsia" w:hAnsi="仿宋"/>
          <w:szCs w:val="30"/>
          <w:highlight w:val="none"/>
          <w:lang w:val="en-US" w:eastAsia="zh-CN"/>
        </w:rPr>
        <w:t>盈江县勐弄乡勐典村2019年边疆</w:t>
      </w:r>
      <w:r>
        <w:rPr>
          <w:rFonts w:hint="eastAsia" w:hAnsi="仿宋"/>
          <w:szCs w:val="30"/>
          <w:lang w:val="en-US" w:eastAsia="zh-CN"/>
        </w:rPr>
        <w:t>党建长廊“四位一体”建设试点—勐弄乡农贸市场建设项目（村集体经济）9</w:t>
      </w:r>
      <w:r>
        <w:rPr>
          <w:rFonts w:hint="eastAsia" w:hAnsi="仿宋"/>
          <w:szCs w:val="30"/>
        </w:rPr>
        <w:t>项绩效目标，完成</w:t>
      </w:r>
      <w:r>
        <w:rPr>
          <w:rFonts w:hint="eastAsia" w:hAnsi="仿宋"/>
          <w:szCs w:val="30"/>
          <w:lang w:val="en-US" w:eastAsia="zh-CN"/>
        </w:rPr>
        <w:t>2</w:t>
      </w:r>
      <w:r>
        <w:rPr>
          <w:rFonts w:hint="eastAsia" w:hAnsi="仿宋"/>
          <w:szCs w:val="30"/>
        </w:rPr>
        <w:t>项，部分完成</w:t>
      </w:r>
      <w:r>
        <w:rPr>
          <w:rFonts w:hint="eastAsia" w:hAnsi="仿宋"/>
          <w:szCs w:val="30"/>
          <w:lang w:val="en-US" w:eastAsia="zh-CN"/>
        </w:rPr>
        <w:t>4</w:t>
      </w:r>
      <w:r>
        <w:rPr>
          <w:rFonts w:hint="eastAsia" w:hAnsi="仿宋"/>
          <w:szCs w:val="30"/>
        </w:rPr>
        <w:t>项，未完成</w:t>
      </w:r>
      <w:r>
        <w:rPr>
          <w:rFonts w:hint="eastAsia" w:hAnsi="仿宋"/>
          <w:szCs w:val="30"/>
          <w:lang w:val="en-US" w:eastAsia="zh-CN"/>
        </w:rPr>
        <w:t>3</w:t>
      </w:r>
      <w:r>
        <w:rPr>
          <w:rFonts w:hint="eastAsia" w:hAnsi="仿宋"/>
          <w:szCs w:val="30"/>
        </w:rPr>
        <w:t>项，具体如下：</w:t>
      </w:r>
      <w:bookmarkEnd w:id="21"/>
      <w:bookmarkEnd w:id="22"/>
      <w:bookmarkEnd w:id="23"/>
      <w:bookmarkStart w:id="24" w:name="_Hlk525314457"/>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宋体"/>
          <w:bCs/>
          <w:sz w:val="24"/>
          <w:szCs w:val="24"/>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3:</w:t>
      </w:r>
      <w:r>
        <w:rPr>
          <w:rFonts w:ascii="黑体" w:hAnsi="黑体" w:eastAsia="黑体" w:cs="宋体"/>
          <w:bCs/>
          <w:sz w:val="24"/>
          <w:szCs w:val="24"/>
        </w:rPr>
        <w:t xml:space="preserve"> </w:t>
      </w:r>
      <w:r>
        <w:rPr>
          <w:rFonts w:hint="eastAsia" w:ascii="黑体" w:hAnsi="黑体" w:eastAsia="黑体" w:cs="宋体"/>
          <w:bCs/>
          <w:sz w:val="24"/>
          <w:szCs w:val="24"/>
        </w:rPr>
        <w:t>绩效指标完成情况表</w:t>
      </w:r>
      <w:bookmarkEnd w:id="24"/>
    </w:p>
    <w:tbl>
      <w:tblPr>
        <w:tblStyle w:val="6"/>
        <w:tblW w:w="8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625"/>
        <w:gridCol w:w="937"/>
        <w:gridCol w:w="1213"/>
        <w:gridCol w:w="1212"/>
        <w:gridCol w:w="938"/>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0" w:hRule="atLeast"/>
          <w:tblHeader/>
        </w:trPr>
        <w:tc>
          <w:tcPr>
            <w:tcW w:w="2775"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绩效指标</w:t>
            </w:r>
          </w:p>
        </w:tc>
        <w:tc>
          <w:tcPr>
            <w:tcW w:w="121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指标值</w:t>
            </w:r>
          </w:p>
        </w:tc>
        <w:tc>
          <w:tcPr>
            <w:tcW w:w="93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指标实现情况</w:t>
            </w:r>
          </w:p>
        </w:tc>
        <w:tc>
          <w:tcPr>
            <w:tcW w:w="336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0" w:hRule="atLeast"/>
          <w:tblHeader/>
        </w:trPr>
        <w:tc>
          <w:tcPr>
            <w:tcW w:w="62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一级指标</w:t>
            </w: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二级指标</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三级指标</w:t>
            </w:r>
          </w:p>
        </w:tc>
        <w:tc>
          <w:tcPr>
            <w:tcW w:w="121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93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336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80" w:hRule="atLeast"/>
        </w:trPr>
        <w:tc>
          <w:tcPr>
            <w:tcW w:w="62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产出（35分）</w:t>
            </w: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产出数量</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(18分)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新建农贸市场完成情况</w:t>
            </w: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≥900㎡,≥5m</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已完成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新建钢架结构大棚面积≥900㎡，高≥5m。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80" w:hRule="atLeast"/>
        </w:trPr>
        <w:tc>
          <w:tcPr>
            <w:tcW w:w="625" w:type="dxa"/>
            <w:vMerge w:val="restart"/>
            <w:shd w:val="clear" w:color="auto" w:fill="auto"/>
            <w:tcMar>
              <w:top w:w="15" w:type="dxa"/>
              <w:left w:w="15" w:type="dxa"/>
              <w:right w:w="15" w:type="dxa"/>
            </w:tcMar>
            <w:vAlign w:val="center"/>
          </w:tcPr>
          <w:p>
            <w:pPr>
              <w:jc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产出（35分）</w:t>
            </w:r>
          </w:p>
          <w:p>
            <w:pPr>
              <w:jc w:val="center"/>
              <w:rPr>
                <w:rFonts w:hint="eastAsia" w:ascii="仿宋" w:hAnsi="仿宋" w:eastAsia="仿宋" w:cs="仿宋"/>
                <w:i w:val="0"/>
                <w:color w:val="000000"/>
                <w:sz w:val="20"/>
                <w:szCs w:val="20"/>
                <w:u w:val="none"/>
              </w:rPr>
            </w:pPr>
          </w:p>
        </w:tc>
        <w:tc>
          <w:tcPr>
            <w:tcW w:w="93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产出数量</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(18分)</w:t>
            </w:r>
          </w:p>
        </w:tc>
        <w:tc>
          <w:tcPr>
            <w:tcW w:w="1213"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新建农贸市场完成情况</w:t>
            </w: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≥900㎡,≥20cm</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已完成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场地硬化面积≥900㎡，厚20cm。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0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21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①≥300㎡，≥18间；</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②≥80个</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部分完成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w:t>
            </w:r>
            <w:r>
              <w:rPr>
                <w:rFonts w:hint="eastAsia" w:hAnsi="仿宋" w:cs="仿宋"/>
                <w:i w:val="0"/>
                <w:color w:val="000000"/>
                <w:kern w:val="0"/>
                <w:sz w:val="20"/>
                <w:szCs w:val="20"/>
                <w:u w:val="none"/>
                <w:lang w:val="en-US" w:eastAsia="zh-CN" w:bidi="ar"/>
              </w:rPr>
              <w:t>计划</w:t>
            </w:r>
            <w:r>
              <w:rPr>
                <w:rFonts w:hint="eastAsia" w:ascii="仿宋" w:hAnsi="仿宋" w:eastAsia="仿宋" w:cs="仿宋"/>
                <w:i w:val="0"/>
                <w:color w:val="000000"/>
                <w:kern w:val="0"/>
                <w:sz w:val="20"/>
                <w:szCs w:val="20"/>
                <w:u w:val="none"/>
                <w:lang w:val="en-US" w:eastAsia="zh-CN" w:bidi="ar"/>
              </w:rPr>
              <w:t>新建商铺面积≥300㎡，商铺数量≥18间；</w:t>
            </w:r>
            <w:r>
              <w:rPr>
                <w:rFonts w:hint="eastAsia" w:hAnsi="仿宋" w:cs="仿宋"/>
                <w:i w:val="0"/>
                <w:color w:val="000000"/>
                <w:kern w:val="0"/>
                <w:sz w:val="20"/>
                <w:szCs w:val="20"/>
                <w:u w:val="none"/>
                <w:lang w:val="en-US" w:eastAsia="zh-CN" w:bidi="ar"/>
              </w:rPr>
              <w:t>实际建设商铺面积361.56㎡，商铺未建设；</w:t>
            </w:r>
            <w:r>
              <w:rPr>
                <w:rFonts w:hint="eastAsia" w:ascii="仿宋" w:hAnsi="仿宋" w:eastAsia="仿宋" w:cs="仿宋"/>
                <w:i w:val="0"/>
                <w:color w:val="000000"/>
                <w:kern w:val="0"/>
                <w:sz w:val="20"/>
                <w:szCs w:val="20"/>
                <w:u w:val="none"/>
                <w:lang w:val="en-US" w:eastAsia="zh-CN" w:bidi="ar"/>
              </w:rPr>
              <w:t>②</w:t>
            </w:r>
            <w:r>
              <w:rPr>
                <w:rFonts w:hint="eastAsia" w:hAnsi="仿宋" w:cs="仿宋"/>
                <w:i w:val="0"/>
                <w:color w:val="000000"/>
                <w:kern w:val="0"/>
                <w:sz w:val="20"/>
                <w:szCs w:val="20"/>
                <w:u w:val="none"/>
                <w:lang w:val="en-US" w:eastAsia="zh-CN" w:bidi="ar"/>
              </w:rPr>
              <w:t>计划</w:t>
            </w:r>
            <w:r>
              <w:rPr>
                <w:rFonts w:hint="eastAsia" w:ascii="仿宋" w:hAnsi="仿宋" w:eastAsia="仿宋" w:cs="仿宋"/>
                <w:i w:val="0"/>
                <w:color w:val="000000"/>
                <w:kern w:val="0"/>
                <w:sz w:val="20"/>
                <w:szCs w:val="20"/>
                <w:u w:val="none"/>
                <w:lang w:val="en-US" w:eastAsia="zh-CN" w:bidi="ar"/>
              </w:rPr>
              <w:t>新建水泥现浇板摊位数量≥80个，且每个摊位长1.5米，宽0.8米</w:t>
            </w:r>
            <w:r>
              <w:rPr>
                <w:rFonts w:hint="eastAsia" w:hAnsi="仿宋" w:cs="仿宋"/>
                <w:i w:val="0"/>
                <w:color w:val="000000"/>
                <w:kern w:val="0"/>
                <w:sz w:val="20"/>
                <w:szCs w:val="20"/>
                <w:u w:val="none"/>
                <w:lang w:val="en-US" w:eastAsia="zh-CN" w:bidi="ar"/>
              </w:rPr>
              <w:t>，实际未建设</w:t>
            </w:r>
            <w:r>
              <w:rPr>
                <w:rFonts w:hint="eastAsia" w:ascii="仿宋" w:hAnsi="仿宋" w:eastAsia="仿宋" w:cs="仿宋"/>
                <w:i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68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产出时效</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（5分）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完成及时率</w:t>
            </w: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完成及时率=1-（实际完成时间-计划完成时间）/计划完成时间*100%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实际完成时间：项目实施单位完成该项目实际所耗用的时间。</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计划完成时间：按照项目实施计划或相关规定完成该项目所需的时间。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0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产出成本（6分）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单位建设成本</w:t>
            </w: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①≤730元/㎡；②≤1000元/㎡；③≤500元/个。</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部分完成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①钢架结构大棚及场地硬化单位建设成本≤730元/㎡；②新建钢架结构商铺建设成本≤1000元/㎡；③新建摊位建设成本≤500元/个。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16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产出质量</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质量达标率</w:t>
            </w:r>
          </w:p>
        </w:tc>
        <w:tc>
          <w:tcPr>
            <w:tcW w:w="121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已完成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质量达标率=（质量达标产出数/实际产出数）×100%。 </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质量达标产出数：一定时期（本年度或项目期）内实际达到既定质量标准的产品或服务数量。</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既定质量标准是指项目实施单位设立绩效目标时依据计划标准、行业标准、历史标准或其他标准而设定的绩效指标值。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97" w:hRule="atLeast"/>
        </w:trPr>
        <w:tc>
          <w:tcPr>
            <w:tcW w:w="625"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（20分）</w:t>
            </w: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经济效益（6分）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村集体经济收入增加情况</w:t>
            </w:r>
          </w:p>
        </w:tc>
        <w:tc>
          <w:tcPr>
            <w:tcW w:w="121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≥11.84万元</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①临街铺面每年实现收入≥4.32万元；</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②其他铺面每年实现收入≥4.32万元；</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③摊位每年实现收入≥3.2万元。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社会效益（5分)</w:t>
            </w:r>
          </w:p>
        </w:tc>
        <w:tc>
          <w:tcPr>
            <w:tcW w:w="1213"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生活便捷程度</w:t>
            </w:r>
          </w:p>
        </w:tc>
        <w:tc>
          <w:tcPr>
            <w:tcW w:w="121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明显改善</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部分完成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主要通过问卷调查设置相应问题，对项目区社会群众进行访谈调查，结合统计数据等资料反映项目实施对“群众生活便捷程度”。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4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213"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对农村公益、扶贫济困等事业发展的促进作用</w:t>
            </w:r>
          </w:p>
        </w:tc>
        <w:tc>
          <w:tcPr>
            <w:tcW w:w="121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明显促进</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项目实施后所得收入，是否用于农村公益、扶贫济困等事业发展。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80" w:hRule="atLeast"/>
        </w:trPr>
        <w:tc>
          <w:tcPr>
            <w:tcW w:w="62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可持续性影响（3分）</w:t>
            </w:r>
          </w:p>
        </w:tc>
        <w:tc>
          <w:tcPr>
            <w:tcW w:w="1213"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项目后续管理情况</w:t>
            </w:r>
          </w:p>
        </w:tc>
        <w:tc>
          <w:tcPr>
            <w:tcW w:w="121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安排专人管理且办理移交手续</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部分完成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项目完工后是否安排专人对工程进行日常检查维护。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42" w:hRule="atLeast"/>
        </w:trPr>
        <w:tc>
          <w:tcPr>
            <w:tcW w:w="62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效果</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（20分）</w:t>
            </w:r>
          </w:p>
        </w:tc>
        <w:tc>
          <w:tcPr>
            <w:tcW w:w="93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(6分)</w:t>
            </w:r>
          </w:p>
        </w:tc>
        <w:tc>
          <w:tcPr>
            <w:tcW w:w="1213"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受益对象满意度</w:t>
            </w:r>
          </w:p>
        </w:tc>
        <w:tc>
          <w:tcPr>
            <w:tcW w:w="121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≥95%</w:t>
            </w:r>
          </w:p>
        </w:tc>
        <w:tc>
          <w:tcPr>
            <w:tcW w:w="93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已完成</w:t>
            </w:r>
          </w:p>
        </w:tc>
        <w:tc>
          <w:tcPr>
            <w:tcW w:w="3362"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社会公众或服务对象是指因该项目实施而受到影响的部门（单位）、群体或个人。一般采取社会调查的方式。</w:t>
            </w:r>
          </w:p>
        </w:tc>
      </w:tr>
    </w:tbl>
    <w:p>
      <w:pPr>
        <w:spacing w:line="579" w:lineRule="exact"/>
        <w:ind w:firstLine="600" w:firstLineChars="200"/>
        <w:outlineLvl w:val="0"/>
        <w:rPr>
          <w:rFonts w:ascii="黑体" w:hAnsi="宋体" w:eastAsia="黑体" w:cs="宋体"/>
          <w:color w:val="000000" w:themeColor="text1"/>
          <w:szCs w:val="30"/>
          <w:highlight w:val="none"/>
          <w14:textFill>
            <w14:solidFill>
              <w14:schemeClr w14:val="tx1"/>
            </w14:solidFill>
          </w14:textFill>
        </w:rPr>
      </w:pPr>
      <w:bookmarkStart w:id="25" w:name="_Toc516669104"/>
      <w:bookmarkStart w:id="26" w:name="_Toc19436"/>
      <w:r>
        <w:rPr>
          <w:rFonts w:hint="eastAsia" w:ascii="黑体" w:hAnsi="宋体" w:eastAsia="黑体" w:cs="宋体"/>
          <w:color w:val="000000" w:themeColor="text1"/>
          <w:szCs w:val="30"/>
          <w:highlight w:val="none"/>
          <w14:textFill>
            <w14:solidFill>
              <w14:schemeClr w14:val="tx1"/>
            </w14:solidFill>
          </w14:textFill>
        </w:rPr>
        <w:t>五、绩效评价情况分析</w:t>
      </w:r>
      <w:bookmarkEnd w:id="25"/>
      <w:bookmarkEnd w:id="26"/>
    </w:p>
    <w:p>
      <w:pPr>
        <w:spacing w:line="579" w:lineRule="exact"/>
        <w:ind w:firstLine="600" w:firstLineChars="200"/>
        <w:outlineLvl w:val="1"/>
        <w:rPr>
          <w:rFonts w:hint="eastAsia" w:ascii="楷体" w:hAnsi="楷体" w:eastAsia="楷体"/>
          <w:color w:val="000000" w:themeColor="text1"/>
          <w:szCs w:val="30"/>
          <w14:textFill>
            <w14:solidFill>
              <w14:schemeClr w14:val="tx1"/>
            </w14:solidFill>
          </w14:textFill>
        </w:rPr>
      </w:pPr>
      <w:bookmarkStart w:id="27" w:name="_Toc4835"/>
      <w:bookmarkStart w:id="28" w:name="_Toc516669105"/>
      <w:r>
        <w:rPr>
          <w:rFonts w:hint="eastAsia" w:ascii="楷体" w:hAnsi="楷体" w:eastAsia="楷体"/>
          <w:color w:val="000000" w:themeColor="text1"/>
          <w:szCs w:val="30"/>
          <w14:textFill>
            <w14:solidFill>
              <w14:schemeClr w14:val="tx1"/>
            </w14:solidFill>
          </w14:textFill>
        </w:rPr>
        <w:t>（一）</w:t>
      </w:r>
      <w:r>
        <w:rPr>
          <w:rFonts w:hint="eastAsia" w:ascii="楷体" w:hAnsi="楷体" w:eastAsia="楷体"/>
          <w:color w:val="000000" w:themeColor="text1"/>
          <w:szCs w:val="30"/>
          <w:lang w:val="en-US" w:eastAsia="zh-CN"/>
          <w14:textFill>
            <w14:solidFill>
              <w14:schemeClr w14:val="tx1"/>
            </w14:solidFill>
          </w14:textFill>
        </w:rPr>
        <w:t>决策</w:t>
      </w:r>
      <w:r>
        <w:rPr>
          <w:rFonts w:hint="eastAsia" w:ascii="楷体" w:hAnsi="楷体" w:eastAsia="楷体"/>
          <w:color w:val="000000" w:themeColor="text1"/>
          <w:szCs w:val="30"/>
          <w14:textFill>
            <w14:solidFill>
              <w14:schemeClr w14:val="tx1"/>
            </w14:solidFill>
          </w14:textFill>
        </w:rPr>
        <w:t>情况分析</w:t>
      </w:r>
      <w:bookmarkEnd w:id="27"/>
      <w:bookmarkEnd w:id="28"/>
    </w:p>
    <w:p>
      <w:pPr>
        <w:spacing w:line="579" w:lineRule="exact"/>
        <w:ind w:firstLine="600" w:firstLineChars="200"/>
        <w:outlineLvl w:val="1"/>
        <w:rPr>
          <w:rFonts w:hint="eastAsia" w:ascii="仿宋" w:hAnsi="仿宋" w:eastAsia="仿宋" w:cs="Times New Roman"/>
          <w:color w:val="auto"/>
          <w:sz w:val="30"/>
          <w:szCs w:val="30"/>
        </w:rPr>
      </w:pPr>
      <w:r>
        <w:rPr>
          <w:rFonts w:hint="eastAsia" w:ascii="仿宋" w:hAnsi="仿宋" w:eastAsia="仿宋" w:cs="Times New Roman"/>
          <w:color w:val="auto"/>
          <w:sz w:val="30"/>
          <w:szCs w:val="30"/>
        </w:rPr>
        <w:t>项目</w:t>
      </w:r>
      <w:r>
        <w:rPr>
          <w:rFonts w:hint="eastAsia" w:hAnsi="仿宋" w:cs="Times New Roman"/>
          <w:color w:val="auto"/>
          <w:sz w:val="30"/>
          <w:szCs w:val="30"/>
          <w:lang w:val="en-US" w:eastAsia="zh-CN"/>
        </w:rPr>
        <w:t>决策</w:t>
      </w:r>
      <w:r>
        <w:rPr>
          <w:rFonts w:hint="eastAsia" w:ascii="仿宋" w:hAnsi="仿宋" w:eastAsia="仿宋" w:cs="Times New Roman"/>
          <w:color w:val="auto"/>
          <w:sz w:val="30"/>
          <w:szCs w:val="30"/>
        </w:rPr>
        <w:t>情况包括项目立项</w:t>
      </w:r>
      <w:r>
        <w:rPr>
          <w:rFonts w:hint="eastAsia" w:hAnsi="仿宋" w:cs="Times New Roman"/>
          <w:color w:val="auto"/>
          <w:sz w:val="30"/>
          <w:szCs w:val="30"/>
          <w:lang w:eastAsia="zh-CN"/>
        </w:rPr>
        <w:t>、</w:t>
      </w:r>
      <w:r>
        <w:rPr>
          <w:rFonts w:hint="eastAsia" w:hAnsi="仿宋" w:cs="Times New Roman"/>
          <w:color w:val="auto"/>
          <w:sz w:val="30"/>
          <w:szCs w:val="30"/>
          <w:lang w:val="en-US" w:eastAsia="zh-CN"/>
        </w:rPr>
        <w:t>绩效目标</w:t>
      </w:r>
      <w:r>
        <w:rPr>
          <w:rFonts w:hint="eastAsia" w:ascii="仿宋" w:hAnsi="仿宋" w:eastAsia="仿宋" w:cs="Times New Roman"/>
          <w:color w:val="auto"/>
          <w:sz w:val="30"/>
          <w:szCs w:val="30"/>
        </w:rPr>
        <w:t>和资金</w:t>
      </w:r>
      <w:r>
        <w:rPr>
          <w:rFonts w:hint="eastAsia" w:hAnsi="仿宋" w:cs="Times New Roman"/>
          <w:color w:val="auto"/>
          <w:sz w:val="30"/>
          <w:szCs w:val="30"/>
          <w:lang w:val="en-US" w:eastAsia="zh-CN"/>
        </w:rPr>
        <w:t>投入三个</w:t>
      </w:r>
      <w:r>
        <w:rPr>
          <w:rFonts w:hint="eastAsia" w:ascii="仿宋" w:hAnsi="仿宋" w:eastAsia="仿宋" w:cs="Times New Roman"/>
          <w:color w:val="auto"/>
          <w:sz w:val="30"/>
          <w:szCs w:val="30"/>
        </w:rPr>
        <w:t>方面。该项满分为15分，评价得分</w:t>
      </w:r>
      <w:r>
        <w:rPr>
          <w:rFonts w:hint="eastAsia" w:hAnsi="仿宋" w:cs="Times New Roman"/>
          <w:color w:val="auto"/>
          <w:sz w:val="30"/>
          <w:szCs w:val="30"/>
          <w:lang w:val="en-US" w:eastAsia="zh-CN"/>
        </w:rPr>
        <w:t>12.50 </w:t>
      </w:r>
      <w:r>
        <w:rPr>
          <w:rFonts w:hint="eastAsia" w:ascii="仿宋" w:hAnsi="仿宋" w:eastAsia="仿宋" w:cs="Times New Roman"/>
          <w:color w:val="auto"/>
          <w:sz w:val="30"/>
          <w:szCs w:val="30"/>
        </w:rPr>
        <w:t>分，得分率</w:t>
      </w:r>
      <w:r>
        <w:rPr>
          <w:rFonts w:hint="eastAsia" w:hAnsi="仿宋" w:cs="Times New Roman"/>
          <w:color w:val="auto"/>
          <w:sz w:val="30"/>
          <w:szCs w:val="30"/>
          <w:lang w:val="en-US" w:eastAsia="zh-CN"/>
        </w:rPr>
        <w:t>83.33%</w:t>
      </w:r>
      <w:r>
        <w:rPr>
          <w:rFonts w:hint="eastAsia" w:ascii="仿宋" w:hAnsi="仿宋" w:eastAsia="仿宋" w:cs="Times New Roman"/>
          <w:color w:val="auto"/>
          <w:sz w:val="30"/>
          <w:szCs w:val="30"/>
        </w:rPr>
        <w:t>。具体评价投入情况分析如下：</w:t>
      </w:r>
    </w:p>
    <w:p>
      <w:pPr>
        <w:spacing w:line="579" w:lineRule="exact"/>
        <w:ind w:firstLine="600" w:firstLineChars="200"/>
        <w:rPr>
          <w:rFonts w:ascii="仿宋" w:hAnsi="仿宋" w:eastAsia="仿宋"/>
          <w:color w:val="auto"/>
          <w:sz w:val="30"/>
          <w:szCs w:val="30"/>
        </w:rPr>
      </w:pPr>
      <w:r>
        <w:rPr>
          <w:rFonts w:hint="eastAsia" w:hAnsi="仿宋" w:cs="Times New Roman"/>
          <w:color w:val="auto"/>
          <w:sz w:val="30"/>
          <w:szCs w:val="30"/>
          <w:lang w:val="en-US" w:eastAsia="zh-CN"/>
        </w:rPr>
        <w:t>1.</w:t>
      </w:r>
      <w:r>
        <w:rPr>
          <w:rFonts w:ascii="仿宋" w:hAnsi="仿宋" w:eastAsia="仿宋"/>
          <w:color w:val="auto"/>
          <w:sz w:val="30"/>
          <w:szCs w:val="30"/>
        </w:rPr>
        <w:t>项目立项方面</w:t>
      </w:r>
    </w:p>
    <w:p>
      <w:pPr>
        <w:spacing w:line="579" w:lineRule="exact"/>
        <w:ind w:firstLine="600" w:firstLineChars="200"/>
        <w:rPr>
          <w:rFonts w:hint="eastAsia" w:ascii="仿宋" w:hAnsi="仿宋" w:eastAsia="仿宋"/>
          <w:sz w:val="30"/>
          <w:szCs w:val="30"/>
        </w:rPr>
      </w:pPr>
      <w:r>
        <w:rPr>
          <w:rFonts w:hint="eastAsia" w:ascii="仿宋" w:hAnsi="仿宋" w:eastAsia="仿宋"/>
          <w:color w:val="auto"/>
          <w:sz w:val="30"/>
          <w:szCs w:val="30"/>
        </w:rPr>
        <w:t>项目立项依据充分，符合国家法律法规、国民经济发展规划、行业发展规划和政策要求，与部门职责范围相符，属于部门履职</w:t>
      </w:r>
      <w:r>
        <w:rPr>
          <w:rFonts w:hint="eastAsia" w:ascii="仿宋" w:hAnsi="仿宋" w:eastAsia="仿宋"/>
          <w:sz w:val="30"/>
          <w:szCs w:val="30"/>
        </w:rPr>
        <w:t>所需。</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绩效目标方面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ascii="仿宋" w:hAnsi="仿宋" w:eastAsia="仿宋"/>
          <w:sz w:val="30"/>
          <w:szCs w:val="30"/>
        </w:rPr>
        <w:t>申报了绩效目标</w:t>
      </w:r>
      <w:r>
        <w:rPr>
          <w:rFonts w:hint="eastAsia" w:hAnsi="仿宋"/>
          <w:sz w:val="30"/>
          <w:szCs w:val="30"/>
          <w:lang w:eastAsia="zh-CN"/>
        </w:rPr>
        <w:t>，</w:t>
      </w:r>
      <w:r>
        <w:rPr>
          <w:rFonts w:hint="eastAsia" w:hAnsi="仿宋"/>
          <w:sz w:val="30"/>
          <w:szCs w:val="30"/>
          <w:lang w:val="en-US" w:eastAsia="zh-CN"/>
        </w:rPr>
        <w:t>并将绩效目标进一步分解为绩效</w:t>
      </w:r>
      <w:r>
        <w:rPr>
          <w:rFonts w:hint="eastAsia" w:ascii="仿宋" w:hAnsi="仿宋" w:eastAsia="仿宋"/>
          <w:sz w:val="30"/>
          <w:szCs w:val="30"/>
        </w:rPr>
        <w:t>指标，但</w:t>
      </w:r>
      <w:r>
        <w:rPr>
          <w:rFonts w:hint="eastAsia" w:ascii="仿宋" w:hAnsi="仿宋" w:eastAsia="仿宋" w:cs="仿宋"/>
          <w:sz w:val="30"/>
          <w:szCs w:val="30"/>
        </w:rPr>
        <w:t>绩效目标细化分解的绩效指标</w:t>
      </w:r>
      <w:r>
        <w:rPr>
          <w:rFonts w:hint="eastAsia" w:hAnsi="仿宋" w:cs="仿宋"/>
          <w:sz w:val="30"/>
          <w:szCs w:val="30"/>
          <w:lang w:val="en-US" w:eastAsia="zh-CN"/>
        </w:rPr>
        <w:t>与项目实施内容关联度不高，部分绩效指标设置不合理，指标值无法衡量，</w:t>
      </w:r>
      <w:r>
        <w:rPr>
          <w:rFonts w:hint="eastAsia" w:ascii="仿宋" w:hAnsi="仿宋" w:eastAsia="仿宋" w:cs="仿宋"/>
          <w:sz w:val="30"/>
          <w:szCs w:val="30"/>
        </w:rPr>
        <w:t>缺乏考核项目产出关键性指标，</w:t>
      </w:r>
      <w:r>
        <w:rPr>
          <w:rFonts w:hint="eastAsia" w:hAnsi="仿宋" w:cs="仿宋"/>
          <w:sz w:val="30"/>
          <w:szCs w:val="30"/>
          <w:lang w:val="en-US" w:eastAsia="zh-CN"/>
        </w:rPr>
        <w:t>项目绩效目标与预期产出差异较大</w:t>
      </w:r>
      <w:r>
        <w:rPr>
          <w:rFonts w:hint="eastAsia" w:hAnsi="仿宋" w:cs="仿宋"/>
          <w:b w:val="0"/>
          <w:bCs w:val="0"/>
          <w:sz w:val="30"/>
          <w:szCs w:val="30"/>
          <w:lang w:val="en-US" w:eastAsia="zh-CN"/>
        </w:rPr>
        <w:t>。</w:t>
      </w:r>
    </w:p>
    <w:p>
      <w:pPr>
        <w:spacing w:line="579" w:lineRule="exact"/>
        <w:ind w:firstLine="600" w:firstLineChars="200"/>
        <w:outlineLvl w:val="1"/>
        <w:rPr>
          <w:rFonts w:ascii="仿宋" w:hAnsi="仿宋" w:eastAsia="仿宋"/>
          <w:color w:val="auto"/>
          <w:sz w:val="30"/>
          <w:szCs w:val="30"/>
        </w:rPr>
      </w:pPr>
      <w:r>
        <w:rPr>
          <w:rFonts w:ascii="仿宋" w:hAnsi="仿宋" w:eastAsia="仿宋"/>
          <w:color w:val="auto"/>
          <w:sz w:val="30"/>
          <w:szCs w:val="30"/>
        </w:rPr>
        <w:t>3.资金</w:t>
      </w:r>
      <w:r>
        <w:rPr>
          <w:rFonts w:hint="eastAsia" w:ascii="仿宋" w:hAnsi="仿宋" w:eastAsia="仿宋"/>
          <w:color w:val="auto"/>
          <w:sz w:val="30"/>
          <w:szCs w:val="30"/>
        </w:rPr>
        <w:t>投入</w:t>
      </w:r>
      <w:r>
        <w:rPr>
          <w:rFonts w:ascii="仿宋" w:hAnsi="仿宋" w:eastAsia="仿宋"/>
          <w:color w:val="auto"/>
          <w:sz w:val="30"/>
          <w:szCs w:val="30"/>
        </w:rPr>
        <w:t>方面</w:t>
      </w:r>
    </w:p>
    <w:p>
      <w:pPr>
        <w:spacing w:line="579" w:lineRule="exact"/>
        <w:ind w:firstLine="600" w:firstLineChars="200"/>
        <w:outlineLvl w:val="1"/>
        <w:rPr>
          <w:rFonts w:hint="eastAsia" w:ascii="仿宋" w:hAnsi="仿宋" w:eastAsia="仿宋"/>
          <w:color w:val="auto"/>
          <w:sz w:val="30"/>
          <w:szCs w:val="30"/>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hAnsi="仿宋"/>
          <w:szCs w:val="30"/>
          <w:lang w:val="en-US" w:eastAsia="zh-CN"/>
        </w:rPr>
        <w:t>资金分配符合统筹整合财政涉农资金、专项扶贫资金管理需求，预算编制不够科学合理</w:t>
      </w:r>
      <w:r>
        <w:rPr>
          <w:rFonts w:hint="eastAsia" w:hAnsi="仿宋"/>
          <w:color w:val="auto"/>
          <w:sz w:val="30"/>
          <w:szCs w:val="30"/>
          <w:lang w:val="en-US" w:eastAsia="zh-CN"/>
        </w:rPr>
        <w:t>，预算确定的项目投资额与工作任务不匹配。涉农统筹整合资金及时足额到位，尚有</w:t>
      </w:r>
      <w:r>
        <w:rPr>
          <w:rFonts w:hint="eastAsia" w:hAnsi="仿宋"/>
          <w:szCs w:val="30"/>
          <w:lang w:val="en-US" w:eastAsia="zh-CN"/>
        </w:rPr>
        <w:t>盈江县工业和商务科技局乡镇农贸市场补助资金30.00万元</w:t>
      </w:r>
      <w:r>
        <w:rPr>
          <w:rFonts w:hint="eastAsia" w:hAnsi="仿宋"/>
          <w:color w:val="auto"/>
          <w:sz w:val="30"/>
          <w:szCs w:val="30"/>
          <w:lang w:val="en-US" w:eastAsia="zh-CN"/>
        </w:rPr>
        <w:t>未到位，导致项目无法按方案批复的内容实施</w:t>
      </w:r>
      <w:r>
        <w:rPr>
          <w:rFonts w:hint="default" w:ascii="仿宋" w:hAnsi="仿宋" w:eastAsia="仿宋"/>
          <w:color w:val="auto"/>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29" w:name="_Toc51333627"/>
      <w:r>
        <w:rPr>
          <w:rFonts w:hint="eastAsia" w:ascii="楷体" w:hAnsi="楷体" w:eastAsia="楷体"/>
          <w:sz w:val="30"/>
          <w:szCs w:val="30"/>
        </w:rPr>
        <w:t>（二）过程情况分析</w:t>
      </w:r>
      <w:bookmarkEnd w:id="29"/>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项目过程包括项目管理和</w:t>
      </w:r>
      <w:r>
        <w:rPr>
          <w:rFonts w:hint="eastAsia" w:hAnsi="仿宋"/>
          <w:color w:val="auto"/>
          <w:sz w:val="30"/>
          <w:szCs w:val="30"/>
          <w:lang w:val="en-US" w:eastAsia="zh-CN"/>
        </w:rPr>
        <w:t>资金</w:t>
      </w:r>
      <w:r>
        <w:rPr>
          <w:rFonts w:hint="eastAsia" w:ascii="仿宋" w:hAnsi="仿宋" w:eastAsia="仿宋"/>
          <w:color w:val="auto"/>
          <w:sz w:val="30"/>
          <w:szCs w:val="30"/>
        </w:rPr>
        <w:t>管理两方面。该项满分为</w:t>
      </w:r>
      <w:r>
        <w:rPr>
          <w:rFonts w:hint="eastAsia" w:hAnsi="仿宋"/>
          <w:color w:val="auto"/>
          <w:sz w:val="30"/>
          <w:szCs w:val="30"/>
          <w:lang w:val="en-US" w:eastAsia="zh-CN"/>
        </w:rPr>
        <w:t>30</w:t>
      </w:r>
      <w:r>
        <w:rPr>
          <w:rFonts w:ascii="仿宋" w:hAnsi="仿宋" w:eastAsia="仿宋"/>
          <w:color w:val="auto"/>
          <w:sz w:val="30"/>
          <w:szCs w:val="30"/>
        </w:rPr>
        <w:t>分，</w:t>
      </w:r>
      <w:r>
        <w:rPr>
          <w:rFonts w:hint="eastAsia" w:ascii="仿宋" w:hAnsi="仿宋" w:eastAsia="仿宋"/>
          <w:color w:val="auto"/>
          <w:sz w:val="30"/>
          <w:szCs w:val="30"/>
        </w:rPr>
        <w:t>绩效</w:t>
      </w:r>
      <w:r>
        <w:rPr>
          <w:rFonts w:ascii="仿宋" w:hAnsi="仿宋" w:eastAsia="仿宋"/>
          <w:color w:val="auto"/>
          <w:sz w:val="30"/>
          <w:szCs w:val="30"/>
        </w:rPr>
        <w:t>评价得分</w:t>
      </w:r>
      <w:r>
        <w:rPr>
          <w:rFonts w:hint="eastAsia" w:ascii="仿宋" w:hAnsi="仿宋" w:eastAsia="仿宋"/>
          <w:color w:val="auto"/>
          <w:sz w:val="30"/>
          <w:szCs w:val="30"/>
        </w:rPr>
        <w:t>为</w:t>
      </w:r>
      <w:r>
        <w:rPr>
          <w:rFonts w:hint="eastAsia" w:hAnsi="仿宋"/>
          <w:color w:val="auto"/>
          <w:sz w:val="30"/>
          <w:szCs w:val="30"/>
          <w:lang w:val="en-US" w:eastAsia="zh-CN"/>
        </w:rPr>
        <w:t>18.50</w:t>
      </w:r>
      <w:r>
        <w:rPr>
          <w:rFonts w:ascii="仿宋" w:hAnsi="仿宋" w:eastAsia="仿宋"/>
          <w:color w:val="auto"/>
          <w:sz w:val="30"/>
          <w:szCs w:val="30"/>
        </w:rPr>
        <w:t>分，得分率</w:t>
      </w:r>
      <w:r>
        <w:rPr>
          <w:rFonts w:hint="eastAsia" w:hAnsi="仿宋"/>
          <w:color w:val="auto"/>
          <w:sz w:val="30"/>
          <w:szCs w:val="30"/>
          <w:lang w:val="en-US" w:eastAsia="zh-CN"/>
        </w:rPr>
        <w:t>61.67%</w:t>
      </w:r>
      <w:r>
        <w:rPr>
          <w:rFonts w:hint="eastAsia" w:ascii="仿宋" w:hAnsi="仿宋" w:eastAsia="仿宋"/>
          <w:color w:val="auto"/>
          <w:sz w:val="30"/>
          <w:szCs w:val="30"/>
        </w:rPr>
        <w:t>。</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评价过程情况分析如下：</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1.项目管理方面</w:t>
      </w:r>
    </w:p>
    <w:p>
      <w:pPr>
        <w:spacing w:line="579" w:lineRule="exact"/>
        <w:ind w:firstLine="600" w:firstLineChars="200"/>
        <w:rPr>
          <w:rFonts w:hint="eastAsia" w:ascii="仿宋" w:hAnsi="仿宋" w:eastAsia="仿宋" w:cs="仿宋"/>
          <w:sz w:val="30"/>
          <w:szCs w:val="30"/>
        </w:rPr>
      </w:pPr>
      <w:r>
        <w:rPr>
          <w:rFonts w:hint="eastAsia" w:ascii="仿宋" w:hAnsi="仿宋" w:eastAsia="仿宋"/>
          <w:sz w:val="30"/>
          <w:szCs w:val="30"/>
        </w:rPr>
        <w:t>项目实施单位建立有健全的组织机构，职能职责明确，组织机构保障较好，能适应项目需求</w:t>
      </w:r>
      <w:r>
        <w:rPr>
          <w:rFonts w:hint="eastAsia" w:hAnsi="仿宋"/>
          <w:sz w:val="30"/>
          <w:szCs w:val="30"/>
          <w:lang w:eastAsia="zh-CN"/>
        </w:rPr>
        <w:t>。</w:t>
      </w:r>
      <w:r>
        <w:rPr>
          <w:rFonts w:hint="eastAsia" w:hAnsi="仿宋" w:cs="仿宋"/>
          <w:kern w:val="30"/>
          <w:sz w:val="30"/>
          <w:szCs w:val="30"/>
          <w:lang w:val="en-US" w:eastAsia="zh-CN"/>
        </w:rPr>
        <w:t>项目</w:t>
      </w:r>
      <w:r>
        <w:rPr>
          <w:rFonts w:hint="eastAsia" w:hAnsi="仿宋"/>
          <w:sz w:val="30"/>
          <w:szCs w:val="30"/>
          <w:lang w:val="en-US" w:eastAsia="zh-CN"/>
        </w:rPr>
        <w:t>严格</w:t>
      </w:r>
      <w:r>
        <w:rPr>
          <w:rFonts w:hint="eastAsia" w:ascii="仿宋" w:hAnsi="仿宋" w:eastAsia="仿宋"/>
          <w:sz w:val="30"/>
          <w:szCs w:val="30"/>
        </w:rPr>
        <w:t>按照《盈江县人民政府办公室关于印发盈江县统筹整合使用财政涉农资金管理暂行办法的通知》（盈政办发〔2018〕92号）的相关管理办法</w:t>
      </w:r>
      <w:r>
        <w:rPr>
          <w:rFonts w:hint="eastAsia" w:hAnsi="仿宋"/>
          <w:szCs w:val="30"/>
          <w:lang w:val="en-US" w:eastAsia="zh-CN"/>
        </w:rPr>
        <w:t>实施。项目管理</w:t>
      </w:r>
      <w:r>
        <w:rPr>
          <w:rFonts w:hint="eastAsia" w:hAnsi="仿宋" w:cs="仿宋"/>
          <w:kern w:val="30"/>
          <w:sz w:val="30"/>
          <w:szCs w:val="30"/>
          <w:lang w:val="en-US" w:eastAsia="zh-CN"/>
        </w:rPr>
        <w:t>执行</w:t>
      </w:r>
      <w:r>
        <w:rPr>
          <w:rFonts w:hint="eastAsia" w:ascii="仿宋" w:hAnsi="仿宋" w:eastAsia="仿宋" w:cs="仿宋"/>
          <w:kern w:val="30"/>
          <w:sz w:val="30"/>
          <w:szCs w:val="30"/>
        </w:rPr>
        <w:t>项目法人制、招投标制、合同制</w:t>
      </w:r>
      <w:r>
        <w:rPr>
          <w:rFonts w:hint="eastAsia" w:hAnsi="仿宋" w:cs="仿宋"/>
          <w:kern w:val="30"/>
          <w:sz w:val="30"/>
          <w:szCs w:val="30"/>
          <w:lang w:eastAsia="zh-CN"/>
        </w:rPr>
        <w:t>。</w:t>
      </w:r>
      <w:r>
        <w:rPr>
          <w:rFonts w:hint="eastAsia" w:hAnsi="仿宋" w:cs="仿宋"/>
          <w:kern w:val="30"/>
          <w:sz w:val="30"/>
          <w:szCs w:val="30"/>
          <w:lang w:val="en-US" w:eastAsia="zh-CN"/>
        </w:rPr>
        <w:t>项目建设过程中实施单位</w:t>
      </w:r>
      <w:r>
        <w:rPr>
          <w:rFonts w:hint="eastAsia" w:ascii="仿宋" w:hAnsi="仿宋" w:eastAsia="仿宋" w:cs="仿宋"/>
          <w:kern w:val="30"/>
          <w:sz w:val="30"/>
          <w:szCs w:val="30"/>
        </w:rPr>
        <w:t>定期或不定期</w:t>
      </w:r>
      <w:r>
        <w:rPr>
          <w:rFonts w:hint="eastAsia" w:hAnsi="仿宋" w:cs="仿宋"/>
          <w:kern w:val="30"/>
          <w:sz w:val="30"/>
          <w:szCs w:val="30"/>
          <w:lang w:val="en-US" w:eastAsia="zh-CN"/>
        </w:rPr>
        <w:t>的</w:t>
      </w:r>
      <w:r>
        <w:rPr>
          <w:rFonts w:hint="eastAsia" w:ascii="仿宋" w:hAnsi="仿宋" w:eastAsia="仿宋" w:cs="仿宋"/>
          <w:kern w:val="30"/>
          <w:sz w:val="30"/>
          <w:szCs w:val="30"/>
        </w:rPr>
        <w:t>对项目实施情况进行监督检查</w:t>
      </w:r>
      <w:r>
        <w:rPr>
          <w:rFonts w:hint="eastAsia" w:hAnsi="仿宋" w:cs="仿宋"/>
          <w:kern w:val="30"/>
          <w:sz w:val="30"/>
          <w:szCs w:val="30"/>
          <w:lang w:eastAsia="zh-CN"/>
        </w:rPr>
        <w:t>。</w:t>
      </w:r>
      <w:r>
        <w:rPr>
          <w:rFonts w:hint="eastAsia" w:hAnsi="仿宋"/>
          <w:szCs w:val="30"/>
          <w:lang w:val="en-US" w:eastAsia="zh-CN"/>
        </w:rPr>
        <w:t>项目实施内容与计划内容不一致未见相关变更审批程序</w:t>
      </w:r>
      <w:r>
        <w:rPr>
          <w:rFonts w:hint="eastAsia" w:hAnsi="仿宋" w:cs="仿宋"/>
          <w:sz w:val="30"/>
          <w:szCs w:val="30"/>
          <w:lang w:eastAsia="zh-CN"/>
        </w:rPr>
        <w:t>；</w:t>
      </w:r>
      <w:r>
        <w:rPr>
          <w:rFonts w:hint="eastAsia" w:hAnsi="仿宋" w:cs="仿宋"/>
          <w:sz w:val="30"/>
          <w:szCs w:val="30"/>
          <w:lang w:val="en-US" w:eastAsia="zh-CN"/>
        </w:rPr>
        <w:t>项目过程管理未见监理资料及财务决算相关资料</w:t>
      </w:r>
      <w:r>
        <w:rPr>
          <w:rFonts w:hint="eastAsia" w:hAnsi="仿宋" w:cs="仿宋"/>
          <w:sz w:val="30"/>
          <w:szCs w:val="30"/>
          <w:lang w:eastAsia="zh-CN"/>
        </w:rPr>
        <w:t>；</w:t>
      </w:r>
      <w:r>
        <w:rPr>
          <w:rFonts w:hint="eastAsia" w:hAnsi="仿宋"/>
          <w:szCs w:val="30"/>
          <w:lang w:val="en-US" w:eastAsia="zh-CN"/>
        </w:rPr>
        <w:t>项目未执行信息公开、公示程序；项目验收程序不规范</w:t>
      </w:r>
      <w:r>
        <w:rPr>
          <w:rFonts w:hint="eastAsia" w:ascii="仿宋" w:hAnsi="仿宋" w:eastAsia="仿宋" w:cs="仿宋"/>
          <w:sz w:val="30"/>
          <w:szCs w:val="30"/>
        </w:rPr>
        <w:t>。</w:t>
      </w:r>
    </w:p>
    <w:p>
      <w:pPr>
        <w:ind w:firstLine="600" w:firstLineChars="200"/>
        <w:rPr>
          <w:rFonts w:hint="eastAsia" w:ascii="仿宋" w:hAnsi="仿宋" w:eastAsia="仿宋" w:cs="仿宋"/>
          <w:sz w:val="30"/>
          <w:szCs w:val="30"/>
        </w:rPr>
      </w:pPr>
      <w:r>
        <w:rPr>
          <w:rFonts w:hint="eastAsia" w:hAnsi="仿宋" w:cs="仿宋"/>
          <w:kern w:val="30"/>
          <w:sz w:val="30"/>
          <w:szCs w:val="30"/>
          <w:lang w:val="en-US" w:eastAsia="zh-CN"/>
        </w:rPr>
        <w:t>项目实施单位</w:t>
      </w:r>
      <w:r>
        <w:rPr>
          <w:rFonts w:hint="eastAsia" w:ascii="仿宋" w:hAnsi="仿宋" w:eastAsia="仿宋" w:cs="仿宋"/>
          <w:kern w:val="30"/>
          <w:sz w:val="30"/>
          <w:szCs w:val="30"/>
        </w:rPr>
        <w:t>根据</w:t>
      </w:r>
      <w:r>
        <w:rPr>
          <w:rFonts w:hint="eastAsia" w:ascii="仿宋" w:hAnsi="仿宋" w:eastAsia="仿宋" w:cs="仿宋"/>
          <w:sz w:val="30"/>
          <w:szCs w:val="30"/>
        </w:rPr>
        <w:t>《盈江县财政局关于对2019年度部分项目开展绩效自评的通知》（盈财发〔2020〕180号）文件要求开展自评工作，但在实际工作中，未能结合项目实施方案、项目管理制度及相关工作部署设置绩效自评指标，产出指标、效果指标未能全面反映项目实施情况</w:t>
      </w:r>
      <w:r>
        <w:rPr>
          <w:rFonts w:hint="eastAsia" w:hAnsi="仿宋" w:cs="仿宋"/>
          <w:sz w:val="30"/>
          <w:szCs w:val="30"/>
          <w:lang w:eastAsia="zh-CN"/>
        </w:rPr>
        <w:t>，</w:t>
      </w:r>
      <w:r>
        <w:rPr>
          <w:rFonts w:hint="eastAsia" w:hAnsi="仿宋" w:cs="仿宋"/>
          <w:sz w:val="30"/>
          <w:szCs w:val="30"/>
          <w:lang w:val="en-US" w:eastAsia="zh-CN"/>
        </w:rPr>
        <w:t>自评结果无依据支撑</w:t>
      </w:r>
      <w:r>
        <w:rPr>
          <w:rFonts w:hint="eastAsia" w:ascii="仿宋" w:hAnsi="仿宋" w:eastAsia="仿宋"/>
          <w:sz w:val="30"/>
          <w:szCs w:val="30"/>
        </w:rPr>
        <w:t>。</w:t>
      </w:r>
    </w:p>
    <w:p>
      <w:pPr>
        <w:spacing w:line="579" w:lineRule="exact"/>
        <w:ind w:firstLine="600" w:firstLineChars="200"/>
        <w:rPr>
          <w:rFonts w:hint="eastAsia" w:ascii="仿宋" w:hAnsi="仿宋" w:eastAsia="仿宋" w:cs="仿宋"/>
          <w:kern w:val="30"/>
          <w:sz w:val="30"/>
          <w:szCs w:val="30"/>
        </w:rPr>
      </w:pPr>
      <w:r>
        <w:rPr>
          <w:rFonts w:hint="eastAsia" w:hAnsi="仿宋"/>
          <w:color w:val="auto"/>
          <w:sz w:val="30"/>
          <w:szCs w:val="30"/>
          <w:lang w:val="en-US" w:eastAsia="zh-CN"/>
        </w:rPr>
        <w:t>2.资金管理方面</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Times New Roman"/>
          <w:color w:val="FF0000"/>
          <w:kern w:val="30"/>
          <w:sz w:val="30"/>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ascii="仿宋" w:hAnsi="仿宋" w:eastAsia="仿宋"/>
          <w:sz w:val="30"/>
          <w:szCs w:val="30"/>
        </w:rPr>
        <w:t>资金使用</w:t>
      </w:r>
      <w:r>
        <w:rPr>
          <w:rFonts w:hint="eastAsia" w:hAnsi="仿宋"/>
          <w:sz w:val="30"/>
          <w:szCs w:val="30"/>
          <w:lang w:val="en-US" w:eastAsia="zh-CN"/>
        </w:rPr>
        <w:t>基本</w:t>
      </w:r>
      <w:r>
        <w:rPr>
          <w:rFonts w:hint="eastAsia" w:ascii="仿宋" w:hAnsi="仿宋" w:eastAsia="仿宋"/>
          <w:sz w:val="30"/>
          <w:szCs w:val="30"/>
        </w:rPr>
        <w:t>按照《中央财政专项扶贫资金管理办法》（财农〔2017〕8号）、《云南省财政专项扶贫资金管理办法》（云财农〔2017〕213号）</w:t>
      </w:r>
      <w:r>
        <w:rPr>
          <w:rFonts w:hint="eastAsia" w:hAnsi="仿宋"/>
          <w:sz w:val="30"/>
          <w:szCs w:val="30"/>
          <w:lang w:val="en-US" w:eastAsia="zh-CN"/>
        </w:rPr>
        <w:t>及</w:t>
      </w:r>
      <w:r>
        <w:rPr>
          <w:rFonts w:hint="eastAsia" w:ascii="仿宋" w:hAnsi="仿宋" w:eastAsia="仿宋"/>
          <w:sz w:val="30"/>
          <w:szCs w:val="30"/>
        </w:rPr>
        <w:t>《盈江县人民政府办公室关于印发盈江县统筹整合使用财政涉农资金管理暂行办法的通知》（盈政办发〔2018〕92号）规定的范围列支。</w:t>
      </w:r>
      <w:r>
        <w:rPr>
          <w:rFonts w:hint="eastAsia" w:hAnsi="仿宋"/>
          <w:sz w:val="30"/>
          <w:szCs w:val="30"/>
          <w:lang w:val="en-US" w:eastAsia="zh-CN"/>
        </w:rPr>
        <w:t>年度预算资金及时足额到位，预算资金完全按照计划拨付，但</w:t>
      </w:r>
      <w:r>
        <w:rPr>
          <w:rFonts w:hint="eastAsia" w:ascii="仿宋" w:hAnsi="仿宋" w:eastAsia="仿宋"/>
          <w:sz w:val="30"/>
          <w:szCs w:val="30"/>
        </w:rPr>
        <w:t>资金</w:t>
      </w:r>
      <w:r>
        <w:rPr>
          <w:rFonts w:hint="eastAsia" w:hAnsi="仿宋"/>
          <w:sz w:val="30"/>
          <w:szCs w:val="30"/>
          <w:lang w:val="en-US" w:eastAsia="zh-CN"/>
        </w:rPr>
        <w:t>支</w:t>
      </w:r>
      <w:r>
        <w:rPr>
          <w:rFonts w:hint="eastAsia" w:ascii="仿宋" w:hAnsi="仿宋" w:eastAsia="仿宋"/>
          <w:sz w:val="30"/>
          <w:szCs w:val="30"/>
        </w:rPr>
        <w:t>付</w:t>
      </w:r>
      <w:r>
        <w:rPr>
          <w:rFonts w:hint="eastAsia" w:hAnsi="仿宋"/>
          <w:sz w:val="30"/>
          <w:szCs w:val="30"/>
          <w:lang w:val="en-US" w:eastAsia="zh-CN"/>
        </w:rPr>
        <w:t>审批程序不完备</w:t>
      </w:r>
      <w:r>
        <w:rPr>
          <w:rFonts w:hint="eastAsia" w:hAnsi="仿宋" w:cs="Times New Roman"/>
          <w:color w:val="auto"/>
          <w:kern w:val="30"/>
          <w:sz w:val="30"/>
          <w:szCs w:val="30"/>
          <w:lang w:val="en-US" w:eastAsia="zh-CN"/>
        </w:rPr>
        <w:t>，资金管理有待加强</w:t>
      </w:r>
      <w:r>
        <w:rPr>
          <w:rFonts w:hint="eastAsia" w:ascii="仿宋" w:hAnsi="仿宋" w:eastAsia="仿宋" w:cs="Times New Roman"/>
          <w:color w:val="auto"/>
          <w:kern w:val="30"/>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30" w:name="_Toc51333628"/>
      <w:r>
        <w:rPr>
          <w:rFonts w:hint="eastAsia" w:ascii="楷体" w:hAnsi="楷体" w:eastAsia="楷体"/>
          <w:sz w:val="30"/>
          <w:szCs w:val="30"/>
        </w:rPr>
        <w:t>（三）产出情况分析</w:t>
      </w:r>
      <w:bookmarkEnd w:id="30"/>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项目产出包括产出数量、产出时效</w:t>
      </w:r>
      <w:r>
        <w:rPr>
          <w:rFonts w:hint="eastAsia" w:hAnsi="仿宋"/>
          <w:color w:val="auto"/>
          <w:sz w:val="30"/>
          <w:szCs w:val="30"/>
          <w:lang w:eastAsia="zh-CN"/>
        </w:rPr>
        <w:t>、</w:t>
      </w:r>
      <w:r>
        <w:rPr>
          <w:rFonts w:hint="eastAsia" w:hAnsi="仿宋"/>
          <w:color w:val="auto"/>
          <w:sz w:val="30"/>
          <w:szCs w:val="30"/>
          <w:lang w:val="en-US" w:eastAsia="zh-CN"/>
        </w:rPr>
        <w:t>产出成本、</w:t>
      </w:r>
      <w:r>
        <w:rPr>
          <w:rFonts w:hint="eastAsia" w:ascii="仿宋" w:hAnsi="仿宋" w:eastAsia="仿宋"/>
          <w:color w:val="auto"/>
          <w:sz w:val="30"/>
          <w:szCs w:val="30"/>
        </w:rPr>
        <w:t>产出质量</w:t>
      </w:r>
      <w:r>
        <w:rPr>
          <w:rFonts w:hint="eastAsia" w:hAnsi="仿宋"/>
          <w:color w:val="auto"/>
          <w:sz w:val="30"/>
          <w:szCs w:val="30"/>
          <w:lang w:val="en-US" w:eastAsia="zh-CN"/>
        </w:rPr>
        <w:t>四</w:t>
      </w:r>
      <w:r>
        <w:rPr>
          <w:rFonts w:hint="eastAsia" w:ascii="仿宋" w:hAnsi="仿宋" w:eastAsia="仿宋"/>
          <w:color w:val="auto"/>
          <w:sz w:val="30"/>
          <w:szCs w:val="30"/>
        </w:rPr>
        <w:t>个方面。该项满分为</w:t>
      </w:r>
      <w:r>
        <w:rPr>
          <w:rFonts w:ascii="仿宋" w:hAnsi="仿宋" w:eastAsia="仿宋"/>
          <w:color w:val="auto"/>
          <w:sz w:val="30"/>
          <w:szCs w:val="30"/>
        </w:rPr>
        <w:t>35分，得分</w:t>
      </w:r>
      <w:r>
        <w:rPr>
          <w:rFonts w:hint="eastAsia" w:hAnsi="仿宋"/>
          <w:color w:val="auto"/>
          <w:sz w:val="30"/>
          <w:szCs w:val="30"/>
          <w:lang w:val="en-US" w:eastAsia="zh-CN"/>
        </w:rPr>
        <w:t>25</w:t>
      </w:r>
      <w:r>
        <w:rPr>
          <w:rFonts w:ascii="仿宋" w:hAnsi="仿宋" w:eastAsia="仿宋"/>
          <w:color w:val="auto"/>
          <w:sz w:val="30"/>
          <w:szCs w:val="30"/>
        </w:rPr>
        <w:t>分，得分率</w:t>
      </w:r>
      <w:r>
        <w:rPr>
          <w:rFonts w:hint="eastAsia" w:hAnsi="仿宋"/>
          <w:color w:val="auto"/>
          <w:sz w:val="30"/>
          <w:szCs w:val="30"/>
          <w:lang w:val="en-US" w:eastAsia="zh-CN"/>
        </w:rPr>
        <w:t>71.43%</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评价产出情况分析如下：</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1.产出数量方面</w:t>
      </w:r>
    </w:p>
    <w:p>
      <w:pPr>
        <w:spacing w:line="579" w:lineRule="exact"/>
        <w:ind w:firstLine="600" w:firstLineChars="200"/>
        <w:rPr>
          <w:rFonts w:hint="eastAsia" w:hAnsi="仿宋" w:cs="仿宋"/>
          <w:kern w:val="30"/>
          <w:sz w:val="30"/>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盈江县勐弄乡勐典村2019年边疆党建长廊“四位一体”建设试点—勐弄乡农贸市场建设项目（村集体经济）整体工程</w:t>
      </w:r>
      <w:r>
        <w:rPr>
          <w:rFonts w:hint="eastAsia" w:hAnsi="仿宋" w:cs="仿宋"/>
          <w:kern w:val="30"/>
          <w:sz w:val="30"/>
          <w:szCs w:val="30"/>
          <w:lang w:val="en-US" w:eastAsia="zh-CN"/>
        </w:rPr>
        <w:t>尚未</w:t>
      </w:r>
      <w:r>
        <w:rPr>
          <w:rFonts w:hint="eastAsia" w:ascii="仿宋" w:hAnsi="仿宋" w:eastAsia="仿宋" w:cs="仿宋"/>
          <w:kern w:val="30"/>
          <w:sz w:val="30"/>
          <w:szCs w:val="30"/>
        </w:rPr>
        <w:t>完工，</w:t>
      </w:r>
      <w:r>
        <w:rPr>
          <w:rFonts w:hint="eastAsia" w:hAnsi="仿宋" w:cs="仿宋"/>
          <w:kern w:val="30"/>
          <w:sz w:val="30"/>
          <w:szCs w:val="30"/>
          <w:lang w:val="en-US" w:eastAsia="zh-CN"/>
        </w:rPr>
        <w:t>计划</w:t>
      </w:r>
      <w:r>
        <w:rPr>
          <w:rFonts w:hint="eastAsia" w:hAnsi="仿宋"/>
          <w:szCs w:val="30"/>
          <w:lang w:val="en-US" w:eastAsia="zh-CN"/>
        </w:rPr>
        <w:t>建设5米高钢架结构大棚900㎡、场地硬化C20砼900㎡、新建面积为300㎡的钢架结构商铺一层（18个铺面）、新建长1.5米宽0.8米的水泥现浇板摊位80个</w:t>
      </w:r>
      <w:r>
        <w:rPr>
          <w:rFonts w:hint="eastAsia" w:hAnsi="仿宋" w:cs="仿宋"/>
          <w:kern w:val="30"/>
          <w:sz w:val="30"/>
          <w:szCs w:val="30"/>
          <w:lang w:eastAsia="zh-CN"/>
        </w:rPr>
        <w:t>；</w:t>
      </w:r>
      <w:r>
        <w:rPr>
          <w:rFonts w:hint="eastAsia" w:hAnsi="仿宋" w:cs="仿宋"/>
          <w:kern w:val="30"/>
          <w:sz w:val="30"/>
          <w:szCs w:val="30"/>
          <w:lang w:val="en-US" w:eastAsia="zh-CN"/>
        </w:rPr>
        <w:t>实际共建成大棚两个，其中：1号钢结构大棚面积1008</w:t>
      </w:r>
      <w:r>
        <w:rPr>
          <w:rFonts w:hint="eastAsia" w:ascii="宋体" w:hAnsi="宋体" w:eastAsia="宋体" w:cs="宋体"/>
          <w:kern w:val="30"/>
          <w:sz w:val="30"/>
          <w:szCs w:val="30"/>
          <w:lang w:val="en-US" w:eastAsia="zh-CN"/>
        </w:rPr>
        <w:t>㎡</w:t>
      </w:r>
      <w:r>
        <w:rPr>
          <w:rFonts w:hint="eastAsia" w:hAnsi="仿宋" w:cs="仿宋"/>
          <w:kern w:val="30"/>
          <w:sz w:val="30"/>
          <w:szCs w:val="30"/>
          <w:lang w:val="en-US" w:eastAsia="zh-CN"/>
        </w:rPr>
        <w:t>、地坪硬化1173㎡，2号钢结构大棚面积360㎡、地坪硬化361.56㎡，M10水泥砂浆砌挡土墙599.69m³，但计划的18个铺面及80个摊位尚未建成。</w:t>
      </w:r>
    </w:p>
    <w:p>
      <w:pPr>
        <w:spacing w:before="0" w:beforeLines="0" w:after="0" w:afterLines="0" w:line="579" w:lineRule="exact"/>
        <w:ind w:firstLine="0" w:firstLineChars="0"/>
        <w:rPr>
          <w:rFonts w:hint="eastAsia" w:hAnsi="仿宋"/>
          <w:szCs w:val="30"/>
          <w:lang w:val="en-US" w:eastAsia="zh-CN"/>
        </w:rPr>
      </w:pPr>
      <w:r>
        <w:rPr>
          <w:rFonts w:hint="eastAsia" w:hAnsi="仿宋"/>
          <w:szCs w:val="30"/>
          <w:lang w:val="en-US" w:eastAsia="zh-CN"/>
        </w:rPr>
        <w:t xml:space="preserve">    2.产出时效方面</w:t>
      </w:r>
    </w:p>
    <w:p>
      <w:pPr>
        <w:spacing w:beforeLines="0" w:afterLines="0" w:line="579" w:lineRule="exact"/>
        <w:ind w:firstLine="600" w:firstLineChars="200"/>
        <w:rPr>
          <w:rFonts w:hint="eastAsia" w:hAnsi="仿宋"/>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hAnsi="仿宋"/>
          <w:szCs w:val="30"/>
          <w:lang w:val="en-US" w:eastAsia="zh-CN"/>
        </w:rPr>
        <w:t>计划开工时间为2020年4月，完工时间为2020年5月，实际开工时间为2020年4月，完工时间为2020年5月，实际完成时间与计划完成时间相符，但实际工程量尚未按照计划实施完成。</w:t>
      </w:r>
    </w:p>
    <w:p>
      <w:pPr>
        <w:spacing w:beforeLines="0" w:afterLines="0" w:line="579" w:lineRule="exact"/>
        <w:ind w:firstLine="600" w:firstLineChars="200"/>
        <w:rPr>
          <w:rFonts w:hint="eastAsia" w:hAnsi="仿宋"/>
          <w:sz w:val="30"/>
          <w:szCs w:val="30"/>
          <w:lang w:val="en-US" w:eastAsia="zh-CN"/>
        </w:rPr>
      </w:pPr>
      <w:r>
        <w:rPr>
          <w:rFonts w:hint="eastAsia" w:hAnsi="仿宋"/>
          <w:szCs w:val="30"/>
          <w:lang w:val="en-US" w:eastAsia="zh-CN"/>
        </w:rPr>
        <w:t>3.</w:t>
      </w:r>
      <w:r>
        <w:rPr>
          <w:rFonts w:hint="eastAsia" w:hAnsi="仿宋"/>
          <w:sz w:val="30"/>
          <w:szCs w:val="30"/>
          <w:lang w:val="en-US" w:eastAsia="zh-CN"/>
        </w:rPr>
        <w:t>产出成本方面</w:t>
      </w:r>
    </w:p>
    <w:p>
      <w:pPr>
        <w:spacing w:line="579" w:lineRule="exact"/>
        <w:ind w:firstLine="600" w:firstLineChars="200"/>
        <w:rPr>
          <w:rFonts w:hint="default" w:hAnsi="仿宋"/>
          <w:szCs w:val="30"/>
          <w:lang w:val="en-US" w:eastAsia="zh-CN"/>
        </w:rPr>
      </w:pPr>
      <w:r>
        <w:rPr>
          <w:rFonts w:hint="eastAsia" w:hAnsi="仿宋"/>
          <w:szCs w:val="30"/>
          <w:lang w:val="en-US" w:eastAsia="zh-CN"/>
        </w:rPr>
        <w:t>根据《盈江县发展和改革局关于勐弄乡勐典村2019年边疆党建长廊“四位一体”建设试点项目可行性研究报告的批复》（盈发改投资复〔2019〕307号）及《德宏州盈江县勐弄乡勐典村2019年边疆党建长廊“四位一体”建设试点项目实施方案》文件精神，计划成本分别为：新建钢架结构大棚及场地硬化单位建设成本≤730元/㎡；新建钢架结构商铺建设成本≤1000元/㎡；新建摊位建设成本≤500元/个。实际产出成本分别为：钢架结构大棚及场地硬化单位建设成本为538.99元/㎡，但铺面及摊位因尚未建成，故无法核算单位产出成本。</w:t>
      </w:r>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4</w:t>
      </w:r>
      <w:r>
        <w:rPr>
          <w:rFonts w:ascii="仿宋" w:hAnsi="仿宋" w:eastAsia="仿宋"/>
          <w:color w:val="auto"/>
          <w:sz w:val="30"/>
          <w:szCs w:val="30"/>
        </w:rPr>
        <w:t>.</w:t>
      </w:r>
      <w:r>
        <w:rPr>
          <w:rFonts w:hint="eastAsia" w:ascii="仿宋" w:hAnsi="仿宋" w:eastAsia="仿宋"/>
          <w:color w:val="auto"/>
          <w:sz w:val="30"/>
          <w:szCs w:val="30"/>
        </w:rPr>
        <w:t>产出质量方面</w:t>
      </w:r>
    </w:p>
    <w:p>
      <w:pPr>
        <w:ind w:firstLine="600" w:firstLineChars="200"/>
        <w:rPr>
          <w:rFonts w:hint="default" w:ascii="仿宋" w:hAnsi="仿宋" w:eastAsia="仿宋" w:cs="仿宋"/>
          <w:kern w:val="30"/>
          <w:sz w:val="30"/>
          <w:szCs w:val="30"/>
          <w:lang w:val="en-US" w:eastAsia="zh-CN"/>
        </w:rPr>
      </w:pPr>
      <w:r>
        <w:rPr>
          <w:rFonts w:hint="eastAsia" w:ascii="仿宋" w:hAnsi="仿宋" w:eastAsia="仿宋" w:cs="仿宋"/>
          <w:kern w:val="30"/>
          <w:sz w:val="30"/>
          <w:szCs w:val="30"/>
        </w:rPr>
        <w:t>通过查阅盈江县</w:t>
      </w:r>
      <w:r>
        <w:rPr>
          <w:rFonts w:hint="eastAsia" w:hAnsi="仿宋" w:cs="仿宋"/>
          <w:kern w:val="30"/>
          <w:sz w:val="30"/>
          <w:szCs w:val="30"/>
          <w:lang w:val="en-US" w:eastAsia="zh-CN"/>
        </w:rPr>
        <w:t>勐弄乡人民政府</w:t>
      </w:r>
      <w:r>
        <w:rPr>
          <w:rFonts w:hint="eastAsia" w:ascii="仿宋" w:hAnsi="仿宋" w:eastAsia="仿宋" w:cs="仿宋"/>
          <w:kern w:val="30"/>
          <w:sz w:val="30"/>
          <w:szCs w:val="30"/>
        </w:rPr>
        <w:t>所提供的工程</w:t>
      </w:r>
      <w:r>
        <w:rPr>
          <w:rFonts w:hint="eastAsia" w:hAnsi="仿宋" w:cs="仿宋"/>
          <w:kern w:val="30"/>
          <w:sz w:val="30"/>
          <w:szCs w:val="30"/>
          <w:lang w:val="en-US" w:eastAsia="zh-CN"/>
        </w:rPr>
        <w:t>验收</w:t>
      </w:r>
      <w:r>
        <w:rPr>
          <w:rFonts w:hint="eastAsia" w:ascii="仿宋" w:hAnsi="仿宋" w:eastAsia="仿宋" w:cs="仿宋"/>
          <w:kern w:val="30"/>
          <w:sz w:val="30"/>
          <w:szCs w:val="30"/>
        </w:rPr>
        <w:t>资料，</w:t>
      </w:r>
      <w:r>
        <w:rPr>
          <w:rFonts w:hint="eastAsia" w:hAnsi="仿宋" w:cs="仿宋"/>
          <w:kern w:val="30"/>
          <w:sz w:val="30"/>
          <w:szCs w:val="30"/>
          <w:lang w:val="en-US" w:eastAsia="zh-CN"/>
        </w:rPr>
        <w:t>经项目实地查看并抽取部分项目区群众进行问卷调查，均未发现工程存在重大质量问题，项目区群众对工程质量的满意度达100%。</w:t>
      </w:r>
    </w:p>
    <w:p>
      <w:pPr>
        <w:spacing w:line="570" w:lineRule="exact"/>
        <w:ind w:firstLine="600" w:firstLineChars="200"/>
        <w:rPr>
          <w:rFonts w:hint="eastAsia" w:ascii="楷体" w:hAnsi="楷体" w:eastAsia="楷体"/>
          <w:sz w:val="30"/>
          <w:szCs w:val="30"/>
        </w:rPr>
      </w:pPr>
      <w:r>
        <w:rPr>
          <w:rFonts w:hint="eastAsia" w:ascii="楷体" w:hAnsi="楷体" w:eastAsia="楷体"/>
          <w:sz w:val="30"/>
          <w:szCs w:val="30"/>
        </w:rPr>
        <w:t>（四）效果情况分析</w:t>
      </w:r>
    </w:p>
    <w:p>
      <w:pPr>
        <w:spacing w:line="579"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效果情况包括</w:t>
      </w:r>
      <w:r>
        <w:rPr>
          <w:rFonts w:hint="eastAsia" w:hAnsi="仿宋"/>
          <w:color w:val="auto"/>
          <w:sz w:val="30"/>
          <w:szCs w:val="30"/>
          <w:lang w:val="en-US" w:eastAsia="zh-CN"/>
        </w:rPr>
        <w:t>经济效益、</w:t>
      </w:r>
      <w:r>
        <w:rPr>
          <w:rFonts w:hint="eastAsia" w:ascii="仿宋" w:hAnsi="仿宋" w:eastAsia="仿宋"/>
          <w:color w:val="auto"/>
          <w:sz w:val="30"/>
          <w:szCs w:val="30"/>
        </w:rPr>
        <w:t>社会效益、可持续性影响和满意度</w:t>
      </w:r>
      <w:r>
        <w:rPr>
          <w:rFonts w:hint="eastAsia" w:hAnsi="仿宋"/>
          <w:color w:val="auto"/>
          <w:sz w:val="30"/>
          <w:szCs w:val="30"/>
          <w:lang w:val="en-US" w:eastAsia="zh-CN"/>
        </w:rPr>
        <w:t>四个</w:t>
      </w:r>
      <w:r>
        <w:rPr>
          <w:rFonts w:hint="eastAsia" w:ascii="仿宋" w:hAnsi="仿宋" w:eastAsia="仿宋"/>
          <w:color w:val="auto"/>
          <w:sz w:val="30"/>
          <w:szCs w:val="30"/>
        </w:rPr>
        <w:t>方面，满分为</w:t>
      </w:r>
      <w:r>
        <w:rPr>
          <w:rFonts w:hint="eastAsia" w:hAnsi="仿宋"/>
          <w:color w:val="auto"/>
          <w:sz w:val="30"/>
          <w:szCs w:val="30"/>
          <w:lang w:val="en-US" w:eastAsia="zh-CN"/>
        </w:rPr>
        <w:t>2</w:t>
      </w:r>
      <w:r>
        <w:rPr>
          <w:rFonts w:ascii="仿宋" w:hAnsi="仿宋" w:eastAsia="仿宋"/>
          <w:color w:val="auto"/>
          <w:sz w:val="30"/>
          <w:szCs w:val="30"/>
        </w:rPr>
        <w:t>0分，得分</w:t>
      </w:r>
      <w:r>
        <w:rPr>
          <w:rFonts w:hint="eastAsia" w:hAnsi="仿宋"/>
          <w:color w:val="auto"/>
          <w:sz w:val="30"/>
          <w:szCs w:val="30"/>
          <w:lang w:val="en-US" w:eastAsia="zh-CN"/>
        </w:rPr>
        <w:t>10.63</w:t>
      </w:r>
      <w:r>
        <w:rPr>
          <w:rFonts w:ascii="仿宋" w:hAnsi="仿宋" w:eastAsia="仿宋"/>
          <w:color w:val="auto"/>
          <w:sz w:val="30"/>
          <w:szCs w:val="30"/>
        </w:rPr>
        <w:t>分，得分率</w:t>
      </w:r>
      <w:r>
        <w:rPr>
          <w:rFonts w:hint="eastAsia" w:hAnsi="仿宋"/>
          <w:color w:val="auto"/>
          <w:sz w:val="30"/>
          <w:szCs w:val="30"/>
          <w:lang w:val="en-US" w:eastAsia="zh-CN"/>
        </w:rPr>
        <w:t>53.15%</w:t>
      </w:r>
      <w:r>
        <w:rPr>
          <w:rFonts w:ascii="仿宋" w:hAnsi="仿宋" w:eastAsia="仿宋"/>
          <w:color w:val="auto"/>
          <w:sz w:val="30"/>
          <w:szCs w:val="30"/>
        </w:rPr>
        <w:t>。具体</w:t>
      </w:r>
      <w:r>
        <w:rPr>
          <w:rFonts w:hint="eastAsia" w:ascii="仿宋" w:hAnsi="仿宋" w:eastAsia="仿宋"/>
          <w:color w:val="auto"/>
          <w:sz w:val="30"/>
          <w:szCs w:val="30"/>
        </w:rPr>
        <w:t>绩效</w:t>
      </w:r>
      <w:r>
        <w:rPr>
          <w:rFonts w:ascii="仿宋" w:hAnsi="仿宋" w:eastAsia="仿宋"/>
          <w:color w:val="auto"/>
          <w:sz w:val="30"/>
          <w:szCs w:val="30"/>
        </w:rPr>
        <w:t>评价效果情况分析如下：</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1.经济效益方面</w:t>
      </w:r>
    </w:p>
    <w:p>
      <w:pPr>
        <w:keepNext w:val="0"/>
        <w:keepLines w:val="0"/>
        <w:widowControl/>
        <w:suppressLineNumbers w:val="0"/>
        <w:ind w:firstLine="600" w:firstLineChars="200"/>
        <w:jc w:val="both"/>
        <w:textAlignment w:val="center"/>
        <w:rPr>
          <w:rFonts w:hint="default" w:hAnsi="仿宋" w:cs="仿宋"/>
          <w:kern w:val="30"/>
          <w:sz w:val="30"/>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hAnsi="仿宋" w:cs="仿宋"/>
          <w:kern w:val="30"/>
          <w:sz w:val="30"/>
          <w:szCs w:val="30"/>
          <w:lang w:val="en-US" w:eastAsia="zh-CN"/>
        </w:rPr>
        <w:t>因铺面及摊位未按计划实施完成，铺面及摊位均未能按计划出租，导致</w:t>
      </w:r>
      <w:r>
        <w:rPr>
          <w:rFonts w:hint="default" w:hAnsi="仿宋" w:cs="仿宋"/>
          <w:kern w:val="30"/>
          <w:sz w:val="30"/>
          <w:szCs w:val="30"/>
          <w:lang w:val="en-US" w:eastAsia="zh-CN"/>
        </w:rPr>
        <w:t>临街铺面每年实现收入≥4.32万元</w:t>
      </w:r>
      <w:r>
        <w:rPr>
          <w:rFonts w:hint="eastAsia" w:hAnsi="仿宋" w:cs="仿宋"/>
          <w:kern w:val="30"/>
          <w:sz w:val="30"/>
          <w:szCs w:val="30"/>
          <w:lang w:val="en-US" w:eastAsia="zh-CN"/>
        </w:rPr>
        <w:t>、</w:t>
      </w:r>
      <w:r>
        <w:rPr>
          <w:rFonts w:hint="default" w:hAnsi="仿宋" w:cs="仿宋"/>
          <w:kern w:val="30"/>
          <w:sz w:val="30"/>
          <w:szCs w:val="30"/>
          <w:lang w:val="en-US" w:eastAsia="zh-CN"/>
        </w:rPr>
        <w:t>其他铺面每年实现收入≥4.32万元</w:t>
      </w:r>
      <w:r>
        <w:rPr>
          <w:rFonts w:hint="eastAsia" w:hAnsi="仿宋" w:cs="仿宋"/>
          <w:kern w:val="30"/>
          <w:sz w:val="30"/>
          <w:szCs w:val="30"/>
          <w:lang w:val="en-US" w:eastAsia="zh-CN"/>
        </w:rPr>
        <w:t>、</w:t>
      </w:r>
      <w:r>
        <w:rPr>
          <w:rFonts w:hint="default" w:hAnsi="仿宋" w:cs="仿宋"/>
          <w:kern w:val="30"/>
          <w:sz w:val="30"/>
          <w:szCs w:val="30"/>
          <w:lang w:val="en-US" w:eastAsia="zh-CN"/>
        </w:rPr>
        <w:t>摊位每年实现收入≥3.2万元</w:t>
      </w:r>
      <w:r>
        <w:rPr>
          <w:rFonts w:hint="eastAsia" w:hAnsi="仿宋" w:cs="仿宋"/>
          <w:kern w:val="30"/>
          <w:sz w:val="30"/>
          <w:szCs w:val="30"/>
          <w:lang w:val="en-US" w:eastAsia="zh-CN"/>
        </w:rPr>
        <w:t>预期目标均无法实现，经济效益未能体现。</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社会效益</w:t>
      </w:r>
      <w:r>
        <w:rPr>
          <w:rFonts w:ascii="仿宋" w:hAnsi="仿宋" w:eastAsia="仿宋"/>
          <w:color w:val="auto"/>
          <w:sz w:val="30"/>
          <w:szCs w:val="30"/>
        </w:rPr>
        <w:t>方面</w:t>
      </w:r>
    </w:p>
    <w:p>
      <w:p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通过</w:t>
      </w: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hAnsi="仿宋" w:cs="仿宋"/>
          <w:kern w:val="30"/>
          <w:sz w:val="30"/>
          <w:szCs w:val="30"/>
          <w:lang w:val="en-US" w:eastAsia="zh-CN"/>
        </w:rPr>
        <w:t>因铺面及摊位未按计划实施完成，铺面及摊位均未能按计划出租，导致无法实现租金年收入11.84万元预期目标，暂无法按计划将租金收入用于农村公益、扶贫济困等事业发展，且项目尚无法投入使用，未能反映项目实施后对项目区群众生活的便捷程度，</w:t>
      </w:r>
      <w:r>
        <w:rPr>
          <w:rFonts w:hint="eastAsia" w:ascii="仿宋" w:hAnsi="仿宋" w:eastAsia="仿宋"/>
          <w:sz w:val="30"/>
          <w:szCs w:val="30"/>
        </w:rPr>
        <w:t>社会效益</w:t>
      </w:r>
      <w:r>
        <w:rPr>
          <w:rFonts w:hint="eastAsia" w:hAnsi="仿宋"/>
          <w:sz w:val="30"/>
          <w:szCs w:val="30"/>
          <w:lang w:val="en-US" w:eastAsia="zh-CN"/>
        </w:rPr>
        <w:t>未能体现</w:t>
      </w:r>
      <w:r>
        <w:rPr>
          <w:rFonts w:hint="eastAsia" w:ascii="仿宋" w:hAnsi="仿宋" w:eastAsia="仿宋"/>
          <w:sz w:val="30"/>
          <w:szCs w:val="30"/>
        </w:rPr>
        <w:t>。</w:t>
      </w:r>
    </w:p>
    <w:p>
      <w:pPr>
        <w:autoSpaceDE w:val="0"/>
        <w:spacing w:line="560"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3</w:t>
      </w:r>
      <w:r>
        <w:rPr>
          <w:rFonts w:ascii="仿宋" w:hAnsi="仿宋" w:eastAsia="仿宋"/>
          <w:color w:val="auto"/>
          <w:sz w:val="30"/>
          <w:szCs w:val="30"/>
        </w:rPr>
        <w:t>.可持续</w:t>
      </w:r>
      <w:r>
        <w:rPr>
          <w:rFonts w:hint="eastAsia" w:hAnsi="仿宋"/>
          <w:color w:val="auto"/>
          <w:sz w:val="30"/>
          <w:szCs w:val="30"/>
          <w:lang w:val="en-US" w:eastAsia="zh-CN"/>
        </w:rPr>
        <w:t>性影响</w:t>
      </w:r>
      <w:r>
        <w:rPr>
          <w:rFonts w:ascii="仿宋" w:hAnsi="仿宋" w:eastAsia="仿宋"/>
          <w:color w:val="auto"/>
          <w:sz w:val="30"/>
          <w:szCs w:val="30"/>
        </w:rPr>
        <w:t>方</w:t>
      </w:r>
      <w:r>
        <w:rPr>
          <w:rFonts w:hint="eastAsia" w:hAnsi="仿宋"/>
          <w:color w:val="auto"/>
          <w:sz w:val="30"/>
          <w:szCs w:val="30"/>
          <w:lang w:val="en-US" w:eastAsia="zh-CN"/>
        </w:rPr>
        <w:t>面</w:t>
      </w:r>
    </w:p>
    <w:p>
      <w:pPr>
        <w:spacing w:line="579" w:lineRule="exact"/>
        <w:ind w:firstLine="600" w:firstLineChars="200"/>
        <w:rPr>
          <w:rFonts w:hint="eastAsia" w:hAnsi="仿宋"/>
          <w:color w:val="auto"/>
          <w:sz w:val="30"/>
          <w:szCs w:val="30"/>
          <w:lang w:val="en-US" w:eastAsia="zh-CN"/>
        </w:rPr>
      </w:pPr>
      <w:r>
        <w:rPr>
          <w:rFonts w:hint="eastAsia" w:ascii="仿宋" w:hAnsi="仿宋" w:eastAsia="仿宋" w:cs="仿宋"/>
          <w:kern w:val="30"/>
          <w:sz w:val="30"/>
          <w:szCs w:val="30"/>
        </w:rPr>
        <w:t>盈江县勐弄乡勐典村2019年边疆党建长廊“四位一体”建设试点—勐弄乡农贸市场建设项目（村集体经济）</w:t>
      </w:r>
      <w:r>
        <w:rPr>
          <w:rFonts w:hint="eastAsia" w:hAnsi="仿宋" w:cs="仿宋"/>
          <w:kern w:val="30"/>
          <w:sz w:val="30"/>
          <w:szCs w:val="30"/>
          <w:lang w:val="en-US" w:eastAsia="zh-CN"/>
        </w:rPr>
        <w:t>农贸市场尚未按计划建设完成，未</w:t>
      </w:r>
      <w:r>
        <w:rPr>
          <w:rFonts w:hint="eastAsia" w:hAnsi="仿宋"/>
          <w:color w:val="auto"/>
          <w:sz w:val="30"/>
          <w:szCs w:val="30"/>
          <w:lang w:val="en-US" w:eastAsia="zh-CN"/>
        </w:rPr>
        <w:t>投入使用，项目后期管护按照“谁受益、谁管护，谁使用、谁管护”的原则明确工程管护主体，落实管护责任，保证工程在设计使用期限内正常运行。截止评价日项目尚未办理移交手续。</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4.满意度方面</w:t>
      </w:r>
    </w:p>
    <w:p>
      <w:pPr>
        <w:spacing w:line="579" w:lineRule="exact"/>
        <w:ind w:firstLine="600" w:firstLineChars="200"/>
        <w:rPr>
          <w:rFonts w:hint="default" w:ascii="楷体" w:hAnsi="楷体" w:eastAsia="仿宋"/>
          <w:color w:val="FF0000"/>
          <w:sz w:val="30"/>
          <w:szCs w:val="30"/>
          <w:lang w:val="en-US" w:eastAsia="zh-CN"/>
        </w:rPr>
      </w:pPr>
      <w:r>
        <w:rPr>
          <w:rFonts w:hint="eastAsia" w:hAnsi="仿宋"/>
          <w:szCs w:val="30"/>
          <w:lang w:eastAsia="zh-CN"/>
        </w:rPr>
        <w:t>本次评价通过问卷调查的方式对项目的实施效果进行评价，调查结果显示受益对象综合满意度为</w:t>
      </w:r>
      <w:r>
        <w:rPr>
          <w:rFonts w:hint="eastAsia" w:hAnsi="仿宋"/>
          <w:szCs w:val="30"/>
          <w:lang w:val="en-US" w:eastAsia="zh-CN"/>
        </w:rPr>
        <w:t>95.28</w:t>
      </w:r>
      <w:r>
        <w:rPr>
          <w:rFonts w:hint="eastAsia" w:hAnsi="仿宋"/>
          <w:szCs w:val="30"/>
          <w:lang w:eastAsia="zh-CN"/>
        </w:rPr>
        <w:t>%，受益对象对项目整体实施的效果</w:t>
      </w:r>
      <w:r>
        <w:rPr>
          <w:rFonts w:hint="eastAsia" w:hAnsi="仿宋"/>
          <w:szCs w:val="30"/>
          <w:lang w:val="en-US" w:eastAsia="zh-CN"/>
        </w:rPr>
        <w:t>比较</w:t>
      </w:r>
      <w:r>
        <w:rPr>
          <w:rFonts w:hint="eastAsia" w:hAnsi="仿宋"/>
          <w:szCs w:val="30"/>
          <w:lang w:eastAsia="zh-CN"/>
        </w:rPr>
        <w:t>满意。</w:t>
      </w:r>
    </w:p>
    <w:p>
      <w:pPr>
        <w:overflowPunct w:val="0"/>
        <w:spacing w:line="570" w:lineRule="exact"/>
        <w:ind w:firstLine="629"/>
        <w:outlineLvl w:val="0"/>
        <w:rPr>
          <w:rFonts w:ascii="黑体" w:hAnsi="黑体" w:eastAsia="黑体"/>
          <w:sz w:val="30"/>
          <w:szCs w:val="30"/>
        </w:rPr>
      </w:pPr>
      <w:bookmarkStart w:id="31" w:name="_Toc9439757"/>
      <w:bookmarkStart w:id="32" w:name="_Toc51333630"/>
      <w:r>
        <w:rPr>
          <w:rFonts w:hint="eastAsia" w:ascii="黑体" w:hAnsi="黑体" w:eastAsia="黑体"/>
          <w:sz w:val="30"/>
          <w:szCs w:val="30"/>
          <w:lang w:val="en-US" w:eastAsia="zh-CN"/>
        </w:rPr>
        <w:t>六</w:t>
      </w:r>
      <w:r>
        <w:rPr>
          <w:rFonts w:hint="eastAsia" w:ascii="黑体" w:hAnsi="黑体" w:eastAsia="黑体"/>
          <w:sz w:val="30"/>
          <w:szCs w:val="30"/>
        </w:rPr>
        <w:t>、存在问题</w:t>
      </w:r>
      <w:bookmarkEnd w:id="31"/>
      <w:bookmarkEnd w:id="32"/>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cs="楷体"/>
          <w:b w:val="0"/>
          <w:bCs w:val="0"/>
          <w:sz w:val="30"/>
          <w:szCs w:val="30"/>
          <w:lang w:val="en-US" w:eastAsia="zh-CN"/>
        </w:rPr>
      </w:pPr>
      <w:bookmarkStart w:id="33" w:name="_Toc56861587"/>
      <w:r>
        <w:rPr>
          <w:rFonts w:hint="eastAsia" w:ascii="楷体" w:hAnsi="楷体" w:eastAsia="楷体" w:cs="楷体"/>
          <w:b w:val="0"/>
          <w:bCs w:val="0"/>
          <w:sz w:val="30"/>
          <w:szCs w:val="30"/>
          <w:lang w:val="en-US" w:eastAsia="zh-CN"/>
        </w:rPr>
        <w:t>绩效目标申报不够完整、清晰、合理，绩效自评工作有待加强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1.绩效目标设置不够完整、清晰、合理，部分指标与项目关联度不高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部分项目绩效指标与项目实施内容关联度不高，如：产出指标中“贫困地区贫困人口加入合作社、村集体经济组织人数≥4839人、资产入股贫困人口总数≥4839人”与实施项目内容关联度不高；二是部分绩效指标设置不合理，指标重复且相互矛盾，部分指标过分夸大了项目实施效益，如：社会效益指标中“带动建档立卡贫困人口脱贫数≥1076人、受益建档立卡贫困人口≥1076人、受益贫困人口≥4839人”等指标，指标设置无相关统计数据支撑，与指标值有关的数据和资料无法取得；</w:t>
      </w:r>
      <w:r>
        <w:rPr>
          <w:rFonts w:hint="eastAsia" w:ascii="仿宋" w:hAnsi="仿宋" w:eastAsia="仿宋" w:cs="仿宋"/>
          <w:b w:val="0"/>
          <w:bCs w:val="0"/>
          <w:color w:val="auto"/>
          <w:sz w:val="30"/>
          <w:szCs w:val="30"/>
          <w:lang w:val="en-US" w:eastAsia="zh-CN"/>
        </w:rPr>
        <w:t>三是绩</w:t>
      </w:r>
      <w:r>
        <w:rPr>
          <w:rFonts w:hint="eastAsia" w:ascii="仿宋" w:hAnsi="仿宋" w:eastAsia="仿宋" w:cs="仿宋"/>
          <w:b w:val="0"/>
          <w:bCs w:val="0"/>
          <w:sz w:val="30"/>
          <w:szCs w:val="30"/>
          <w:lang w:val="en-US" w:eastAsia="zh-CN"/>
        </w:rPr>
        <w:t>效指标设置缺乏考核项目产出关键性指标，不能全面反映项目实施情况，不利于对项目进行监督管理，无法衡量项目预期效果的实现程度。根据《中共云南省委 云南省人民政府印发的关于全面实施预算绩效管理的实施意见》（云发〔2019〕11号），全面推进财政支出预算绩效管理的首要要求是明确绩效目标，财政部门、主管部门等要对绩效目标进行论证，对绩效指标的科学性、合理性进行严格把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2.绩效自评工作落实不到位，绩效跟踪需进一步加强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一是绩效自评工作落到不到位。盈江县</w:t>
      </w:r>
      <w:r>
        <w:rPr>
          <w:rFonts w:hint="eastAsia" w:hAnsi="仿宋" w:cs="仿宋"/>
          <w:b w:val="0"/>
          <w:bCs w:val="0"/>
          <w:color w:val="auto"/>
          <w:sz w:val="30"/>
          <w:szCs w:val="30"/>
          <w:lang w:val="en-US" w:eastAsia="zh-CN"/>
        </w:rPr>
        <w:t>勐弄乡人民政府</w:t>
      </w:r>
      <w:r>
        <w:rPr>
          <w:rFonts w:hint="eastAsia" w:ascii="仿宋" w:hAnsi="仿宋" w:eastAsia="仿宋" w:cs="仿宋"/>
          <w:b w:val="0"/>
          <w:bCs w:val="0"/>
          <w:color w:val="auto"/>
          <w:sz w:val="30"/>
          <w:szCs w:val="30"/>
          <w:lang w:val="en-US" w:eastAsia="zh-CN"/>
        </w:rPr>
        <w:t>虽然已按照《盈江县财政局关于对2019年度部分项目开展绩效自评的通知》（盈财发〔2020〕180号）及县级绩效管理工作安排组织开展了项目绩效自评工作，但在实际工作中，</w:t>
      </w:r>
      <w:r>
        <w:rPr>
          <w:rFonts w:hint="default" w:ascii="仿宋" w:hAnsi="仿宋" w:eastAsia="仿宋" w:cs="仿宋"/>
          <w:b w:val="0"/>
          <w:bCs w:val="0"/>
          <w:color w:val="auto"/>
          <w:sz w:val="30"/>
          <w:szCs w:val="30"/>
          <w:lang w:val="en-US" w:eastAsia="zh-CN"/>
        </w:rPr>
        <w:t>绩效自评内容不完整，缺项目</w:t>
      </w:r>
      <w:r>
        <w:rPr>
          <w:rFonts w:hint="eastAsia" w:ascii="仿宋" w:hAnsi="仿宋" w:eastAsia="仿宋" w:cs="仿宋"/>
          <w:b w:val="0"/>
          <w:bCs w:val="0"/>
          <w:color w:val="auto"/>
          <w:sz w:val="30"/>
          <w:szCs w:val="30"/>
          <w:lang w:val="en-US" w:eastAsia="zh-CN"/>
        </w:rPr>
        <w:t>产出、</w:t>
      </w:r>
      <w:r>
        <w:rPr>
          <w:rFonts w:hint="default" w:ascii="仿宋" w:hAnsi="仿宋" w:eastAsia="仿宋" w:cs="仿宋"/>
          <w:b w:val="0"/>
          <w:bCs w:val="0"/>
          <w:color w:val="auto"/>
          <w:sz w:val="30"/>
          <w:szCs w:val="30"/>
          <w:lang w:val="en-US" w:eastAsia="zh-CN"/>
        </w:rPr>
        <w:t>实施效果相关分析，</w:t>
      </w:r>
      <w:r>
        <w:rPr>
          <w:rFonts w:hint="eastAsia" w:ascii="仿宋" w:hAnsi="仿宋" w:eastAsia="仿宋" w:cs="仿宋"/>
          <w:b w:val="0"/>
          <w:bCs w:val="0"/>
          <w:color w:val="auto"/>
          <w:sz w:val="30"/>
          <w:szCs w:val="30"/>
          <w:lang w:val="en-US" w:eastAsia="zh-CN"/>
        </w:rPr>
        <w:t>未能结合项目实施方案、项目管理制度及相关工作部署设置绩效自评指标，产出指标、效果指标未能全面反映项目实施情况，项目绩效自评指标不够细化，一定程度上降低了绩效自评的可利用性，且无与自评报告相匹配的过程性记录和评价数据、</w:t>
      </w:r>
      <w:r>
        <w:rPr>
          <w:rFonts w:hint="eastAsia" w:hAnsi="仿宋" w:cs="仿宋"/>
          <w:b w:val="0"/>
          <w:bCs w:val="0"/>
          <w:color w:val="auto"/>
          <w:sz w:val="30"/>
          <w:szCs w:val="30"/>
          <w:lang w:val="en-US" w:eastAsia="zh-CN"/>
        </w:rPr>
        <w:t>佐证</w:t>
      </w:r>
      <w:r>
        <w:rPr>
          <w:rFonts w:hint="eastAsia" w:ascii="仿宋" w:hAnsi="仿宋" w:eastAsia="仿宋" w:cs="仿宋"/>
          <w:b w:val="0"/>
          <w:bCs w:val="0"/>
          <w:color w:val="auto"/>
          <w:sz w:val="30"/>
          <w:szCs w:val="30"/>
          <w:lang w:val="en-US" w:eastAsia="zh-CN"/>
        </w:rPr>
        <w:t>材料，相关评分无依据支撑，一定程度上降低了自评结果的可追溯性。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color w:val="auto"/>
          <w:sz w:val="30"/>
          <w:szCs w:val="30"/>
          <w:lang w:val="en-US" w:eastAsia="zh-CN"/>
        </w:rPr>
        <w:t>二是绩效跟踪有待加强。项目绩效跟踪止于项目执行情况监督，</w:t>
      </w:r>
      <w:r>
        <w:rPr>
          <w:rFonts w:hint="default" w:ascii="仿宋" w:hAnsi="仿宋" w:eastAsia="仿宋" w:cs="仿宋"/>
          <w:b w:val="0"/>
          <w:bCs w:val="0"/>
          <w:color w:val="auto"/>
          <w:sz w:val="30"/>
          <w:szCs w:val="30"/>
          <w:lang w:val="en-US" w:eastAsia="zh-CN"/>
        </w:rPr>
        <w:t>绩效管理政策尚未深入</w:t>
      </w:r>
      <w:r>
        <w:rPr>
          <w:rFonts w:hint="eastAsia" w:ascii="仿宋" w:hAnsi="仿宋" w:eastAsia="仿宋" w:cs="仿宋"/>
          <w:b w:val="0"/>
          <w:bCs w:val="0"/>
          <w:color w:val="auto"/>
          <w:sz w:val="30"/>
          <w:szCs w:val="30"/>
          <w:lang w:val="en-US" w:eastAsia="zh-CN"/>
        </w:rPr>
        <w:t>单位</w:t>
      </w:r>
      <w:r>
        <w:rPr>
          <w:rFonts w:hint="default" w:ascii="仿宋" w:hAnsi="仿宋" w:eastAsia="仿宋" w:cs="仿宋"/>
          <w:b w:val="0"/>
          <w:bCs w:val="0"/>
          <w:color w:val="auto"/>
          <w:sz w:val="30"/>
          <w:szCs w:val="30"/>
          <w:lang w:val="en-US" w:eastAsia="zh-CN"/>
        </w:rPr>
        <w:t>，</w:t>
      </w:r>
      <w:r>
        <w:rPr>
          <w:rFonts w:hint="eastAsia" w:ascii="仿宋" w:hAnsi="仿宋" w:eastAsia="仿宋" w:cs="仿宋"/>
          <w:b w:val="0"/>
          <w:bCs w:val="0"/>
          <w:color w:val="auto"/>
          <w:sz w:val="30"/>
          <w:szCs w:val="30"/>
          <w:lang w:val="en-US" w:eastAsia="zh-CN"/>
        </w:rPr>
        <w:t>单位</w:t>
      </w:r>
      <w:r>
        <w:rPr>
          <w:rFonts w:hint="default" w:ascii="仿宋" w:hAnsi="仿宋" w:eastAsia="仿宋" w:cs="仿宋"/>
          <w:b w:val="0"/>
          <w:bCs w:val="0"/>
          <w:color w:val="auto"/>
          <w:sz w:val="30"/>
          <w:szCs w:val="30"/>
          <w:lang w:val="en-US" w:eastAsia="zh-CN"/>
        </w:rPr>
        <w:t>对绩效管理工作缺乏全面系统的认识，工作开展不到位，绩效管理理念不够强化，与目前</w:t>
      </w:r>
      <w:r>
        <w:rPr>
          <w:rFonts w:hint="eastAsia" w:ascii="仿宋" w:hAnsi="仿宋" w:eastAsia="仿宋" w:cs="仿宋"/>
          <w:b w:val="0"/>
          <w:bCs w:val="0"/>
          <w:color w:val="auto"/>
          <w:sz w:val="30"/>
          <w:szCs w:val="30"/>
          <w:lang w:val="en-US" w:eastAsia="zh-CN"/>
        </w:rPr>
        <w:t>以“结果为导向”绩效管理观念</w:t>
      </w:r>
      <w:r>
        <w:rPr>
          <w:rFonts w:hint="default" w:ascii="仿宋" w:hAnsi="仿宋" w:eastAsia="仿宋" w:cs="仿宋"/>
          <w:b w:val="0"/>
          <w:bCs w:val="0"/>
          <w:color w:val="auto"/>
          <w:sz w:val="30"/>
          <w:szCs w:val="30"/>
          <w:lang w:val="en-US" w:eastAsia="zh-CN"/>
        </w:rPr>
        <w:t>存在一定差距。</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计划资金难以</w:t>
      </w:r>
      <w:r>
        <w:rPr>
          <w:rFonts w:hint="default" w:ascii="楷体" w:hAnsi="楷体" w:eastAsia="楷体" w:cs="楷体"/>
          <w:b w:val="0"/>
          <w:bCs w:val="0"/>
          <w:sz w:val="30"/>
          <w:szCs w:val="30"/>
          <w:lang w:val="en-US" w:eastAsia="zh-CN"/>
        </w:rPr>
        <w:t>落实，</w:t>
      </w:r>
      <w:r>
        <w:rPr>
          <w:rFonts w:hint="eastAsia" w:ascii="楷体" w:hAnsi="楷体" w:eastAsia="楷体" w:cs="楷体"/>
          <w:b w:val="0"/>
          <w:bCs w:val="0"/>
          <w:sz w:val="30"/>
          <w:szCs w:val="30"/>
          <w:lang w:val="en-US" w:eastAsia="zh-CN"/>
        </w:rPr>
        <w:t>项目实施保障力度不足，实施效果不佳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根据《盈江县发展和改革局关于勐弄乡勐典村2019年边疆党建长廊“四位一体”建设试点项目可行性研究报告的批复》（盈发改投资复〔2019〕307号）工程计划总投资130元，其中省级财政扶持资金100万元，争取县工业和商务科技局乡镇农贸市场补助资金30万元，截止评价日统筹整合资金到位100万元，未争取到县工业和商务科技局乡镇农贸市场补助资金30万元，资金到位率仅76.92%，到位率偏低，导致部分预算内工程未能按批复计划实施，资金保障能力不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二是计划资金未落实，项目未能按计划实施。经现场查看，铺面及摊位均未建设，农贸市场尚未投入使用，无租金收入，项目预期效益未能发挥。</w:t>
      </w:r>
      <w:r>
        <w:rPr>
          <w:rFonts w:hint="eastAsia" w:hAnsi="仿宋" w:cs="仿宋"/>
          <w:b w:val="0"/>
          <w:bCs w:val="0"/>
          <w:sz w:val="30"/>
          <w:szCs w:val="30"/>
          <w:lang w:val="en-US" w:eastAsia="zh-CN"/>
        </w:rPr>
        <w:t>具体情况详见下表：</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仿宋" w:hAnsi="仿宋" w:eastAsia="仿宋" w:cs="仿宋"/>
          <w:b w:val="0"/>
          <w:bCs w:val="0"/>
          <w:sz w:val="30"/>
          <w:szCs w:val="30"/>
          <w:lang w:val="en-US" w:eastAsia="zh-CN"/>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4:</w:t>
      </w:r>
      <w:r>
        <w:rPr>
          <w:rFonts w:ascii="黑体" w:hAnsi="黑体" w:eastAsia="黑体" w:cs="宋体"/>
          <w:bCs/>
          <w:sz w:val="24"/>
          <w:szCs w:val="24"/>
        </w:rPr>
        <w:t xml:space="preserve"> </w:t>
      </w:r>
      <w:r>
        <w:rPr>
          <w:rFonts w:hint="eastAsia" w:ascii="黑体" w:hAnsi="黑体" w:eastAsia="黑体" w:cs="宋体"/>
          <w:bCs/>
          <w:sz w:val="24"/>
          <w:szCs w:val="24"/>
        </w:rPr>
        <w:t>绩效指标完成情况表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430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项目名称</w:t>
            </w:r>
          </w:p>
        </w:tc>
        <w:tc>
          <w:tcPr>
            <w:tcW w:w="430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批复实施内容</w:t>
            </w:r>
          </w:p>
        </w:tc>
        <w:tc>
          <w:tcPr>
            <w:tcW w:w="284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实际实施内容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盈江县2019年勐弄乡农贸市场建设项目（村集体经济）</w:t>
            </w:r>
          </w:p>
        </w:tc>
        <w:tc>
          <w:tcPr>
            <w:tcW w:w="430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①建设钢架结构大棚900㎡，高5米，600元/㎡；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②场地硬化C20砼900㎡，130元/㎡；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③新建商铺一层（18个铺面），钢架结构，面积300㎡，1000元/㎡；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④新建水泥现浇板摊位80个，长1.5米，宽0.8米，500元/个。</w:t>
            </w:r>
          </w:p>
        </w:tc>
        <w:tc>
          <w:tcPr>
            <w:tcW w:w="284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①1#地坪硬化1173㎡；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②2#地坪硬化361.56㎡；</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③1#市场大棚1008㎡；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④2#市场大棚360㎡；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20"/>
                <w:szCs w:val="20"/>
                <w:vertAlign w:val="baseline"/>
                <w:lang w:val="en-US" w:eastAsia="zh-CN"/>
              </w:rPr>
            </w:pPr>
            <w:r>
              <w:rPr>
                <w:rFonts w:hint="eastAsia" w:ascii="仿宋" w:hAnsi="仿宋" w:eastAsia="仿宋" w:cs="仿宋"/>
                <w:b w:val="0"/>
                <w:bCs w:val="0"/>
                <w:sz w:val="20"/>
                <w:szCs w:val="20"/>
                <w:vertAlign w:val="baseline"/>
                <w:lang w:val="en-US" w:eastAsia="zh-CN"/>
              </w:rPr>
              <w:t>⑤M10水泥砂浆砌挡土墙599.69m³。</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（三）资金拨付依据不足，财务管理工作有待提高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Times New Roman"/>
          <w:kern w:val="30"/>
          <w:sz w:val="30"/>
          <w:szCs w:val="30"/>
          <w:lang w:val="en-US" w:eastAsia="zh-CN"/>
        </w:rPr>
      </w:pPr>
      <w:r>
        <w:rPr>
          <w:rFonts w:hint="eastAsia" w:ascii="仿宋" w:hAnsi="仿宋" w:eastAsia="仿宋" w:cs="仿宋"/>
          <w:b w:val="0"/>
          <w:bCs w:val="0"/>
          <w:sz w:val="30"/>
          <w:szCs w:val="30"/>
          <w:lang w:val="en-US" w:eastAsia="zh-CN"/>
        </w:rPr>
        <w:t>一是资金拨付审批不完备。2020年6月10日拨付工程款268,000.00万元，工程款拨付申请表仅由建设单位财务人员签字，无建设单位领导签字及盖章，资金拨付程序不合规。二</w:t>
      </w:r>
      <w:r>
        <w:rPr>
          <w:rFonts w:hint="eastAsia" w:ascii="仿宋" w:hAnsi="仿宋" w:eastAsia="仿宋" w:cs="Times New Roman"/>
          <w:kern w:val="30"/>
          <w:sz w:val="30"/>
          <w:szCs w:val="30"/>
          <w:lang w:val="en-US" w:eastAsia="zh-CN"/>
        </w:rPr>
        <w:t>是工程款支付无相关进度资料，工程款拨付依据不充分。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（四）</w:t>
      </w:r>
      <w:r>
        <w:rPr>
          <w:rFonts w:hint="default" w:ascii="楷体" w:hAnsi="楷体" w:eastAsia="楷体" w:cs="楷体"/>
          <w:b w:val="0"/>
          <w:bCs w:val="0"/>
          <w:sz w:val="30"/>
          <w:szCs w:val="30"/>
          <w:lang w:val="en-US" w:eastAsia="zh-CN"/>
        </w:rPr>
        <w:t>项目管理不尽规范</w:t>
      </w:r>
      <w:r>
        <w:rPr>
          <w:rFonts w:hint="eastAsia" w:ascii="楷体" w:hAnsi="楷体" w:eastAsia="楷体" w:cs="楷体"/>
          <w:b w:val="0"/>
          <w:bCs w:val="0"/>
          <w:sz w:val="30"/>
          <w:szCs w:val="30"/>
          <w:lang w:val="en-US" w:eastAsia="zh-CN"/>
        </w:rPr>
        <w:t>，过程管控有待加强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一是未执行项目信息公开、公示程序。根据</w:t>
      </w:r>
      <w:r>
        <w:rPr>
          <w:rFonts w:hint="default" w:ascii="仿宋" w:hAnsi="仿宋" w:eastAsia="仿宋" w:cs="仿宋"/>
          <w:b w:val="0"/>
          <w:bCs w:val="0"/>
          <w:sz w:val="30"/>
          <w:szCs w:val="30"/>
          <w:lang w:val="en-US" w:eastAsia="zh-CN"/>
        </w:rPr>
        <w:t>《盈江县人民政府办公室关于印发</w:t>
      </w:r>
      <w:r>
        <w:rPr>
          <w:rFonts w:hint="eastAsia" w:ascii="仿宋" w:hAnsi="仿宋" w:eastAsia="仿宋" w:cs="仿宋"/>
          <w:b w:val="0"/>
          <w:bCs w:val="0"/>
          <w:sz w:val="30"/>
          <w:szCs w:val="30"/>
          <w:lang w:val="en-US" w:eastAsia="zh-CN"/>
        </w:rPr>
        <w:t>&lt;</w:t>
      </w:r>
      <w:r>
        <w:rPr>
          <w:rFonts w:hint="default" w:ascii="仿宋" w:hAnsi="仿宋" w:eastAsia="仿宋" w:cs="仿宋"/>
          <w:b w:val="0"/>
          <w:bCs w:val="0"/>
          <w:sz w:val="30"/>
          <w:szCs w:val="30"/>
          <w:lang w:val="en-US" w:eastAsia="zh-CN"/>
        </w:rPr>
        <w:t>盈江县统筹整合使用财政涉农资金管理暂行办法</w:t>
      </w:r>
      <w:r>
        <w:rPr>
          <w:rFonts w:hint="eastAsia" w:ascii="仿宋" w:hAnsi="仿宋" w:eastAsia="仿宋" w:cs="仿宋"/>
          <w:b w:val="0"/>
          <w:bCs w:val="0"/>
          <w:sz w:val="30"/>
          <w:szCs w:val="30"/>
          <w:lang w:val="en-US" w:eastAsia="zh-CN"/>
        </w:rPr>
        <w:t>&gt;</w:t>
      </w:r>
      <w:r>
        <w:rPr>
          <w:rFonts w:hint="default" w:ascii="仿宋" w:hAnsi="仿宋" w:eastAsia="仿宋" w:cs="仿宋"/>
          <w:b w:val="0"/>
          <w:bCs w:val="0"/>
          <w:sz w:val="30"/>
          <w:szCs w:val="30"/>
          <w:lang w:val="en-US" w:eastAsia="zh-CN"/>
        </w:rPr>
        <w:t>的通知》</w:t>
      </w:r>
      <w:r>
        <w:rPr>
          <w:rFonts w:hint="eastAsia" w:ascii="仿宋" w:hAnsi="仿宋" w:eastAsia="仿宋" w:cs="仿宋"/>
          <w:b w:val="0"/>
          <w:bCs w:val="0"/>
          <w:sz w:val="30"/>
          <w:szCs w:val="30"/>
          <w:lang w:val="en-US" w:eastAsia="zh-CN"/>
        </w:rPr>
        <w:t>（盈政办发〔2018〕92号），统筹整合财政涉农资金项目，实施过程中均应对资金使用、项目实施情况、项目竣工验收情况，在实施乡镇、村进行公示公告，接受社会监督，根据现场评价，勐弄乡人民政府均未执行公示公告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二是项目验收程序不规范。勐弄乡人民政府于2020年6月10日组织施工、监理及村民委员会对项目进行验收，但未对项目验收内容进行详细记录，项目验收流于形式。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三是档案管理不够规范。项目实施单位无施工过程资料（开工资料、竣工资料、施工日志等）、监理资料（监理日志、旁站记录等），未对投标资料进行收集整理，工程结算资料无结算日期，资料管理分散且凌乱，清晰度不高。</w:t>
      </w:r>
    </w:p>
    <w:p>
      <w:pPr>
        <w:keepNext w:val="0"/>
        <w:keepLines w:val="0"/>
        <w:pageBreakBefore w:val="0"/>
        <w:widowControl w:val="0"/>
        <w:kinsoku/>
        <w:wordWrap/>
        <w:overflowPunct w:val="0"/>
        <w:topLinePunct w:val="0"/>
        <w:autoSpaceDE/>
        <w:autoSpaceDN/>
        <w:bidi w:val="0"/>
        <w:adjustRightInd/>
        <w:snapToGrid/>
        <w:spacing w:line="579" w:lineRule="exact"/>
        <w:ind w:firstLine="629"/>
        <w:textAlignment w:val="auto"/>
        <w:outlineLvl w:val="0"/>
        <w:rPr>
          <w:rFonts w:ascii="黑体" w:hAnsi="黑体" w:eastAsia="黑体"/>
          <w:sz w:val="30"/>
          <w:szCs w:val="30"/>
          <w:highlight w:val="none"/>
        </w:rPr>
      </w:pPr>
      <w:r>
        <w:rPr>
          <w:rFonts w:hint="eastAsia" w:ascii="黑体" w:hAnsi="黑体" w:eastAsia="黑体"/>
          <w:sz w:val="30"/>
          <w:szCs w:val="30"/>
          <w:highlight w:val="none"/>
        </w:rPr>
        <w:t>八、建议</w:t>
      </w:r>
      <w:bookmarkEnd w:id="33"/>
    </w:p>
    <w:p>
      <w:pPr>
        <w:spacing w:line="570" w:lineRule="exact"/>
        <w:ind w:firstLine="600" w:firstLineChars="200"/>
        <w:outlineLvl w:val="1"/>
        <w:rPr>
          <w:rFonts w:ascii="楷体" w:hAnsi="楷体" w:eastAsia="楷体"/>
          <w:color w:val="auto"/>
          <w:sz w:val="30"/>
          <w:szCs w:val="30"/>
        </w:rPr>
      </w:pPr>
      <w:bookmarkStart w:id="34" w:name="_Toc13550892"/>
      <w:bookmarkStart w:id="35" w:name="_Toc51333635"/>
      <w:bookmarkStart w:id="36" w:name="_Toc56861588"/>
      <w:r>
        <w:rPr>
          <w:rFonts w:hint="eastAsia" w:ascii="楷体" w:hAnsi="楷体" w:eastAsia="楷体"/>
          <w:color w:val="auto"/>
          <w:sz w:val="30"/>
          <w:szCs w:val="30"/>
        </w:rPr>
        <w:t>（一）严格落实全面预算绩效管理，提升预算绩效管理水平</w:t>
      </w:r>
      <w:bookmarkEnd w:id="34"/>
      <w:bookmarkEnd w:id="35"/>
      <w:bookmarkEnd w:id="36"/>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1.</w:t>
      </w:r>
      <w:r>
        <w:rPr>
          <w:rFonts w:hint="eastAsia" w:ascii="仿宋" w:hAnsi="仿宋" w:eastAsia="仿宋"/>
          <w:color w:val="auto"/>
          <w:sz w:val="30"/>
          <w:szCs w:val="30"/>
        </w:rPr>
        <w:t>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申报，加强预算</w:t>
      </w:r>
      <w:r>
        <w:rPr>
          <w:rFonts w:hint="eastAsia" w:hAnsi="仿宋"/>
          <w:color w:val="auto"/>
          <w:sz w:val="30"/>
          <w:szCs w:val="30"/>
          <w:lang w:val="en-US" w:eastAsia="zh-CN"/>
        </w:rPr>
        <w:t>绩效</w:t>
      </w:r>
      <w:r>
        <w:rPr>
          <w:rFonts w:hint="eastAsia" w:ascii="仿宋" w:hAnsi="仿宋" w:eastAsia="仿宋"/>
          <w:color w:val="auto"/>
          <w:sz w:val="30"/>
          <w:szCs w:val="30"/>
        </w:rPr>
        <w:t>管理</w:t>
      </w:r>
    </w:p>
    <w:p>
      <w:pPr>
        <w:spacing w:line="579" w:lineRule="exact"/>
        <w:ind w:firstLine="600" w:firstLineChars="200"/>
        <w:rPr>
          <w:rFonts w:hint="default" w:hAnsi="仿宋"/>
          <w:color w:val="auto"/>
          <w:sz w:val="30"/>
          <w:szCs w:val="30"/>
          <w:lang w:val="en-US" w:eastAsia="zh-CN"/>
        </w:rPr>
      </w:pPr>
      <w:r>
        <w:rPr>
          <w:rFonts w:hint="eastAsia" w:ascii="仿宋" w:hAnsi="仿宋" w:eastAsia="仿宋"/>
          <w:color w:val="auto"/>
          <w:sz w:val="30"/>
          <w:szCs w:val="30"/>
        </w:rPr>
        <w:t>建议主管部门规范项目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w:t>
      </w:r>
      <w:r>
        <w:rPr>
          <w:rFonts w:hint="eastAsia" w:hAnsi="仿宋"/>
          <w:color w:val="auto"/>
          <w:sz w:val="30"/>
          <w:szCs w:val="30"/>
          <w:lang w:val="en-US" w:eastAsia="zh-CN"/>
        </w:rPr>
        <w:t>的</w:t>
      </w:r>
      <w:r>
        <w:rPr>
          <w:rFonts w:hint="eastAsia" w:ascii="仿宋" w:hAnsi="仿宋" w:eastAsia="仿宋"/>
          <w:color w:val="auto"/>
          <w:sz w:val="30"/>
          <w:szCs w:val="30"/>
        </w:rPr>
        <w:t>申报项目绩效目标及绩效指标，使项目、资金、绩效高度统一，确保财政资源高效配置。</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落实绩效管理制度，提升绩效自评质量</w:t>
      </w:r>
    </w:p>
    <w:p>
      <w:pPr>
        <w:spacing w:line="579" w:lineRule="exact"/>
        <w:ind w:firstLine="600" w:firstLineChars="200"/>
        <w:rPr>
          <w:rFonts w:hint="default" w:ascii="仿宋" w:hAnsi="仿宋" w:eastAsia="仿宋"/>
          <w:color w:val="auto"/>
          <w:sz w:val="30"/>
          <w:szCs w:val="30"/>
          <w:lang w:val="en-US" w:eastAsia="zh-CN"/>
        </w:rPr>
      </w:pPr>
      <w:r>
        <w:rPr>
          <w:rFonts w:hint="eastAsia" w:ascii="仿宋" w:hAnsi="仿宋" w:eastAsia="仿宋"/>
          <w:color w:val="auto"/>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w:t>
      </w:r>
      <w:r>
        <w:rPr>
          <w:rFonts w:hint="eastAsia" w:hAnsi="仿宋"/>
          <w:color w:val="auto"/>
          <w:sz w:val="30"/>
          <w:szCs w:val="30"/>
          <w:lang w:val="en-US" w:eastAsia="zh-CN"/>
        </w:rPr>
        <w:t>佐证</w:t>
      </w:r>
      <w:r>
        <w:rPr>
          <w:rFonts w:hint="eastAsia" w:ascii="仿宋" w:hAnsi="仿宋" w:eastAsia="仿宋"/>
          <w:color w:val="auto"/>
          <w:sz w:val="30"/>
          <w:szCs w:val="30"/>
        </w:rPr>
        <w:t>材料等，并与相应的评价指标对应，使绩效自评过程和结果可追溯。</w:t>
      </w:r>
    </w:p>
    <w:p>
      <w:pPr>
        <w:numPr>
          <w:ilvl w:val="0"/>
          <w:numId w:val="0"/>
        </w:numPr>
        <w:spacing w:line="570" w:lineRule="exact"/>
        <w:ind w:firstLine="600" w:firstLineChars="200"/>
        <w:outlineLvl w:val="1"/>
        <w:rPr>
          <w:rFonts w:hint="eastAsia" w:ascii="仿宋" w:hAnsi="仿宋" w:eastAsia="仿宋"/>
          <w:color w:val="auto"/>
          <w:sz w:val="30"/>
          <w:szCs w:val="30"/>
          <w:lang w:val="en-US" w:eastAsia="zh-CN"/>
        </w:rPr>
      </w:pPr>
      <w:r>
        <w:rPr>
          <w:rFonts w:hint="eastAsia" w:ascii="楷体" w:hAnsi="楷体" w:eastAsia="楷体"/>
          <w:b w:val="0"/>
          <w:bCs w:val="0"/>
          <w:color w:val="auto"/>
          <w:sz w:val="30"/>
          <w:szCs w:val="30"/>
          <w:lang w:val="en-US" w:eastAsia="zh-CN"/>
        </w:rPr>
        <w:t>（二）提高预算编</w:t>
      </w:r>
      <w:r>
        <w:rPr>
          <w:rFonts w:hint="eastAsia" w:ascii="楷体" w:hAnsi="楷体" w:eastAsia="楷体"/>
          <w:color w:val="auto"/>
          <w:sz w:val="30"/>
          <w:szCs w:val="30"/>
          <w:lang w:val="en-US" w:eastAsia="zh-CN"/>
        </w:rPr>
        <w:t>制水平，确保项目资金与项目实施内容相匹配</w:t>
      </w:r>
    </w:p>
    <w:p>
      <w:pPr>
        <w:tabs>
          <w:tab w:val="left" w:pos="1089"/>
        </w:tabs>
        <w:spacing w:line="560" w:lineRule="exact"/>
        <w:ind w:firstLine="600" w:firstLineChars="200"/>
        <w:rPr>
          <w:rFonts w:hint="eastAsia" w:ascii="仿宋" w:hAnsi="仿宋" w:eastAsia="仿宋"/>
          <w:kern w:val="30"/>
          <w:sz w:val="30"/>
          <w:szCs w:val="30"/>
          <w:lang w:val="en-US" w:eastAsia="zh-CN"/>
        </w:rPr>
      </w:pPr>
      <w:r>
        <w:rPr>
          <w:rFonts w:hint="eastAsia" w:ascii="仿宋" w:hAnsi="仿宋" w:eastAsia="仿宋"/>
          <w:kern w:val="30"/>
          <w:sz w:val="30"/>
          <w:szCs w:val="30"/>
        </w:rPr>
        <w:t>建议项目建设单位编制预算时，根据工程图纸、施工定额及补充定额、施工组织设计及实施方案、相关手册资料（建筑材料手册、人工、材料、机械台时费用标准），并充分考虑项目实际情况，确保内容完整性，预算确定的项目投资额或资金量</w:t>
      </w:r>
      <w:r>
        <w:rPr>
          <w:rFonts w:hint="eastAsia" w:hAnsi="仿宋"/>
          <w:kern w:val="30"/>
          <w:sz w:val="30"/>
          <w:szCs w:val="30"/>
          <w:lang w:val="en-US" w:eastAsia="zh-CN"/>
        </w:rPr>
        <w:t>是否</w:t>
      </w:r>
      <w:r>
        <w:rPr>
          <w:rFonts w:hint="eastAsia" w:ascii="仿宋" w:hAnsi="仿宋" w:eastAsia="仿宋"/>
          <w:kern w:val="30"/>
          <w:sz w:val="30"/>
          <w:szCs w:val="30"/>
        </w:rPr>
        <w:t>与工作任务相匹配。</w:t>
      </w:r>
      <w:r>
        <w:rPr>
          <w:rFonts w:hint="eastAsia" w:hAnsi="仿宋"/>
          <w:kern w:val="30"/>
          <w:sz w:val="30"/>
          <w:szCs w:val="30"/>
          <w:lang w:val="en-US" w:eastAsia="zh-CN"/>
        </w:rPr>
        <w:t>将项目资金全部</w:t>
      </w:r>
      <w:r>
        <w:rPr>
          <w:rFonts w:hint="eastAsia" w:ascii="仿宋" w:hAnsi="仿宋" w:eastAsia="仿宋"/>
          <w:color w:val="auto"/>
          <w:sz w:val="30"/>
          <w:szCs w:val="30"/>
          <w:lang w:val="en-US" w:eastAsia="zh-CN"/>
        </w:rPr>
        <w:t>列入本级政府预算，确保地方资金及时足额到位，避免因资金拨付不到位而影响项目实施进度。</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color w:val="auto"/>
          <w:sz w:val="30"/>
          <w:szCs w:val="30"/>
          <w:lang w:eastAsia="zh-CN"/>
        </w:rPr>
        <w:t>（</w:t>
      </w:r>
      <w:r>
        <w:rPr>
          <w:rFonts w:hint="eastAsia" w:ascii="楷体" w:hAnsi="楷体" w:eastAsia="楷体"/>
          <w:color w:val="auto"/>
          <w:sz w:val="30"/>
          <w:szCs w:val="30"/>
          <w:lang w:val="en-US" w:eastAsia="zh-CN"/>
        </w:rPr>
        <w:t>三</w:t>
      </w:r>
      <w:r>
        <w:rPr>
          <w:rFonts w:hint="eastAsia" w:ascii="楷体" w:hAnsi="楷体" w:eastAsia="楷体"/>
          <w:color w:val="auto"/>
          <w:sz w:val="30"/>
          <w:szCs w:val="30"/>
          <w:lang w:eastAsia="zh-CN"/>
        </w:rPr>
        <w:t>）</w:t>
      </w:r>
      <w:r>
        <w:rPr>
          <w:rFonts w:hint="eastAsia" w:ascii="楷体" w:hAnsi="楷体" w:eastAsia="楷体"/>
          <w:sz w:val="30"/>
          <w:szCs w:val="30"/>
          <w:lang w:val="en-US" w:eastAsia="zh-CN"/>
        </w:rPr>
        <w:t>强化资金拨付审批程序，强化财务管理工作</w:t>
      </w:r>
    </w:p>
    <w:p>
      <w:pPr>
        <w:spacing w:line="570" w:lineRule="exact"/>
        <w:ind w:firstLine="600" w:firstLineChars="200"/>
        <w:outlineLvl w:val="1"/>
        <w:rPr>
          <w:rFonts w:hint="eastAsia" w:ascii="楷体" w:hAnsi="楷体" w:eastAsia="楷体"/>
          <w:color w:val="auto"/>
          <w:sz w:val="30"/>
          <w:szCs w:val="30"/>
          <w:lang w:eastAsia="zh-CN"/>
        </w:rPr>
      </w:pPr>
      <w:r>
        <w:rPr>
          <w:rFonts w:hint="eastAsia" w:ascii="仿宋" w:hAnsi="仿宋" w:eastAsia="仿宋"/>
          <w:kern w:val="30"/>
          <w:sz w:val="30"/>
          <w:szCs w:val="30"/>
          <w:lang w:val="en-US" w:eastAsia="zh-CN"/>
        </w:rPr>
        <w:t>建议项目实施部门严格</w:t>
      </w:r>
      <w:r>
        <w:rPr>
          <w:rFonts w:hint="eastAsia" w:hAnsi="仿宋"/>
          <w:kern w:val="30"/>
          <w:sz w:val="30"/>
          <w:szCs w:val="30"/>
          <w:lang w:val="en-US" w:eastAsia="zh-CN"/>
        </w:rPr>
        <w:t>执行</w:t>
      </w:r>
      <w:r>
        <w:rPr>
          <w:rFonts w:hint="eastAsia" w:ascii="仿宋" w:hAnsi="仿宋" w:eastAsia="仿宋"/>
          <w:kern w:val="30"/>
          <w:sz w:val="30"/>
          <w:szCs w:val="30"/>
          <w:lang w:val="en-US" w:eastAsia="zh-CN"/>
        </w:rPr>
        <w:t>统筹整合财政涉农资金支付审批程序，加强统筹整合财政涉农资金财务管理</w:t>
      </w:r>
      <w:r>
        <w:rPr>
          <w:rFonts w:hint="eastAsia" w:hAnsi="仿宋"/>
          <w:kern w:val="30"/>
          <w:sz w:val="30"/>
          <w:szCs w:val="30"/>
          <w:lang w:val="en-US" w:eastAsia="zh-CN"/>
        </w:rPr>
        <w:t>工作</w:t>
      </w:r>
      <w:r>
        <w:rPr>
          <w:rFonts w:hint="eastAsia" w:ascii="仿宋" w:hAnsi="仿宋" w:eastAsia="仿宋"/>
          <w:kern w:val="30"/>
          <w:sz w:val="30"/>
          <w:szCs w:val="30"/>
          <w:lang w:val="en-US" w:eastAsia="zh-CN"/>
        </w:rPr>
        <w:t>。坚持财务管理与项目管理相结合，根据项目实施情况，按照相关制度和合同规定要求收款方对应提供原始凭证，如实反映项目进展情况，避免财务管理与项目管理脱节，资金支付</w:t>
      </w:r>
      <w:r>
        <w:rPr>
          <w:rFonts w:hint="eastAsia" w:hAnsi="仿宋"/>
          <w:kern w:val="30"/>
          <w:sz w:val="30"/>
          <w:szCs w:val="30"/>
          <w:lang w:val="en-US" w:eastAsia="zh-CN"/>
        </w:rPr>
        <w:t>严格执行相关审批程序，确保资金支付审批手续完备</w:t>
      </w:r>
      <w:r>
        <w:rPr>
          <w:rFonts w:hint="eastAsia" w:ascii="仿宋" w:hAnsi="仿宋" w:eastAsia="仿宋"/>
          <w:kern w:val="30"/>
          <w:sz w:val="30"/>
          <w:szCs w:val="30"/>
          <w:lang w:val="en-US" w:eastAsia="zh-CN"/>
        </w:rPr>
        <w:t>。</w:t>
      </w:r>
    </w:p>
    <w:p>
      <w:pPr>
        <w:spacing w:line="570" w:lineRule="exact"/>
        <w:ind w:firstLine="600" w:firstLineChars="200"/>
        <w:outlineLvl w:val="1"/>
        <w:rPr>
          <w:rFonts w:hint="eastAsia" w:ascii="楷体" w:hAnsi="楷体" w:eastAsia="楷体" w:cs="楷体"/>
          <w:b w:val="0"/>
          <w:bCs w:val="0"/>
          <w:sz w:val="30"/>
          <w:szCs w:val="30"/>
          <w:lang w:val="en-US" w:eastAsia="zh-CN"/>
        </w:rPr>
      </w:pPr>
      <w:r>
        <w:rPr>
          <w:rFonts w:hint="eastAsia" w:ascii="楷体" w:hAnsi="楷体" w:eastAsia="楷体"/>
          <w:color w:val="auto"/>
          <w:sz w:val="30"/>
          <w:szCs w:val="30"/>
          <w:lang w:eastAsia="zh-CN"/>
        </w:rPr>
        <w:t>（</w:t>
      </w:r>
      <w:r>
        <w:rPr>
          <w:rFonts w:hint="eastAsia" w:ascii="楷体" w:hAnsi="楷体" w:eastAsia="楷体"/>
          <w:color w:val="auto"/>
          <w:sz w:val="30"/>
          <w:szCs w:val="30"/>
          <w:lang w:val="en-US" w:eastAsia="zh-CN"/>
        </w:rPr>
        <w:t>四</w:t>
      </w:r>
      <w:r>
        <w:rPr>
          <w:rFonts w:hint="eastAsia" w:ascii="楷体" w:hAnsi="楷体" w:eastAsia="楷体"/>
          <w:color w:val="auto"/>
          <w:sz w:val="30"/>
          <w:szCs w:val="30"/>
          <w:lang w:eastAsia="zh-CN"/>
        </w:rPr>
        <w:t>）</w:t>
      </w:r>
      <w:r>
        <w:rPr>
          <w:rFonts w:hint="eastAsia" w:ascii="楷体" w:hAnsi="楷体" w:eastAsia="楷体"/>
          <w:sz w:val="30"/>
          <w:szCs w:val="30"/>
        </w:rPr>
        <w:t>规范项目管理</w:t>
      </w:r>
      <w:r>
        <w:rPr>
          <w:rFonts w:hint="eastAsia" w:ascii="楷体" w:hAnsi="楷体" w:eastAsia="楷体"/>
          <w:sz w:val="30"/>
          <w:szCs w:val="30"/>
          <w:lang w:eastAsia="zh-CN"/>
        </w:rPr>
        <w:t>，</w:t>
      </w:r>
      <w:r>
        <w:rPr>
          <w:rFonts w:hint="eastAsia" w:ascii="楷体" w:hAnsi="楷体" w:eastAsia="楷体" w:cs="楷体"/>
          <w:b w:val="0"/>
          <w:bCs w:val="0"/>
          <w:sz w:val="30"/>
          <w:szCs w:val="30"/>
          <w:lang w:val="en-US" w:eastAsia="zh-CN"/>
        </w:rPr>
        <w:t>严格执行项目管理办法</w:t>
      </w:r>
    </w:p>
    <w:p>
      <w:pPr>
        <w:spacing w:line="579" w:lineRule="exact"/>
        <w:ind w:firstLine="600" w:firstLineChars="200"/>
        <w:rPr>
          <w:rFonts w:hint="eastAsia" w:hAnsi="仿宋"/>
          <w:sz w:val="30"/>
          <w:szCs w:val="30"/>
          <w:lang w:val="en-US" w:eastAsia="zh-CN"/>
        </w:rPr>
      </w:pPr>
      <w:r>
        <w:rPr>
          <w:rFonts w:hint="eastAsia" w:ascii="仿宋" w:hAnsi="仿宋" w:eastAsia="仿宋"/>
          <w:sz w:val="30"/>
          <w:szCs w:val="30"/>
          <w:lang w:val="en-US" w:eastAsia="zh-CN"/>
        </w:rPr>
        <w:t>1.</w:t>
      </w:r>
      <w:r>
        <w:rPr>
          <w:rFonts w:hint="eastAsia" w:hAnsi="仿宋"/>
          <w:sz w:val="30"/>
          <w:szCs w:val="30"/>
          <w:lang w:val="en-US" w:eastAsia="zh-CN"/>
        </w:rPr>
        <w:t>严格执行项目管理办法，及时公开、公示项目信息</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hAnsi="仿宋" w:cs="仿宋"/>
          <w:sz w:val="30"/>
          <w:szCs w:val="30"/>
          <w:lang w:val="en-US" w:eastAsia="zh-CN"/>
        </w:rPr>
        <w:t>项目主管部门应严格按照</w:t>
      </w:r>
      <w:r>
        <w:rPr>
          <w:rFonts w:hint="eastAsia" w:ascii="仿宋" w:hAnsi="仿宋" w:eastAsia="仿宋" w:cs="仿宋"/>
          <w:sz w:val="30"/>
          <w:szCs w:val="30"/>
          <w:lang w:val="en-US" w:eastAsia="zh-CN"/>
        </w:rPr>
        <w:t>《盈江县人民政府办公室关于印发盈江县统筹整合使用财政涉农资金管理暂行办法的通知》（盈政办发〔2018〕92号）</w:t>
      </w:r>
      <w:r>
        <w:rPr>
          <w:rFonts w:hint="eastAsia" w:hAnsi="仿宋" w:cs="仿宋"/>
          <w:sz w:val="30"/>
          <w:szCs w:val="30"/>
          <w:lang w:val="en-US" w:eastAsia="zh-CN"/>
        </w:rPr>
        <w:t>文件的相关要求</w:t>
      </w:r>
      <w:r>
        <w:rPr>
          <w:rFonts w:hint="eastAsia" w:ascii="仿宋" w:hAnsi="仿宋" w:eastAsia="仿宋" w:cs="仿宋"/>
          <w:sz w:val="30"/>
          <w:szCs w:val="30"/>
          <w:lang w:val="en-US" w:eastAsia="zh-CN"/>
        </w:rPr>
        <w:t>，</w:t>
      </w:r>
      <w:r>
        <w:rPr>
          <w:rFonts w:hint="eastAsia" w:hAnsi="仿宋" w:cs="仿宋"/>
          <w:sz w:val="30"/>
          <w:szCs w:val="30"/>
          <w:lang w:val="en-US" w:eastAsia="zh-CN"/>
        </w:rPr>
        <w:t>对</w:t>
      </w:r>
      <w:r>
        <w:rPr>
          <w:rFonts w:hint="eastAsia" w:ascii="仿宋" w:hAnsi="仿宋" w:eastAsia="仿宋" w:cs="仿宋"/>
          <w:sz w:val="30"/>
          <w:szCs w:val="30"/>
          <w:lang w:val="en-US" w:eastAsia="zh-CN"/>
        </w:rPr>
        <w:t>统筹整合财政涉农资金使用</w:t>
      </w:r>
      <w:r>
        <w:rPr>
          <w:rFonts w:hint="eastAsia" w:hAnsi="仿宋" w:cs="仿宋"/>
          <w:sz w:val="30"/>
          <w:szCs w:val="30"/>
          <w:lang w:val="en-US" w:eastAsia="zh-CN"/>
        </w:rPr>
        <w:t>、工程实施和竣工验收情况在项目实施乡镇进行公示公告</w:t>
      </w:r>
      <w:r>
        <w:rPr>
          <w:rFonts w:hint="eastAsia" w:ascii="仿宋" w:hAnsi="仿宋" w:eastAsia="仿宋" w:cs="仿宋"/>
          <w:sz w:val="30"/>
          <w:szCs w:val="30"/>
          <w:lang w:val="en-US" w:eastAsia="zh-CN"/>
        </w:rPr>
        <w:t>，接受社会监督。</w:t>
      </w:r>
    </w:p>
    <w:p>
      <w:pPr>
        <w:numPr>
          <w:ilvl w:val="0"/>
          <w:numId w:val="0"/>
        </w:numPr>
        <w:ind w:firstLine="600" w:firstLineChars="200"/>
        <w:jc w:val="both"/>
        <w:rPr>
          <w:rFonts w:hint="eastAsia" w:hAnsi="仿宋" w:cs="仿宋"/>
          <w:sz w:val="30"/>
          <w:szCs w:val="30"/>
          <w:lang w:val="en-US" w:eastAsia="zh-CN"/>
        </w:rPr>
      </w:pPr>
      <w:r>
        <w:rPr>
          <w:rFonts w:hint="eastAsia" w:hAnsi="仿宋" w:cs="仿宋"/>
          <w:sz w:val="30"/>
          <w:szCs w:val="30"/>
          <w:lang w:val="en-US" w:eastAsia="zh-CN"/>
        </w:rPr>
        <w:t>2.规范项目验收和结算审核程序</w:t>
      </w:r>
    </w:p>
    <w:p>
      <w:pPr>
        <w:spacing w:line="560" w:lineRule="exact"/>
        <w:ind w:firstLine="600" w:firstLineChars="200"/>
        <w:rPr>
          <w:rFonts w:hint="eastAsia" w:ascii="仿宋" w:hAnsi="仿宋" w:eastAsia="仿宋"/>
          <w:kern w:val="30"/>
          <w:sz w:val="30"/>
          <w:szCs w:val="30"/>
        </w:rPr>
      </w:pPr>
      <w:r>
        <w:rPr>
          <w:rFonts w:hint="eastAsia" w:hAnsi="仿宋" w:cs="仿宋"/>
          <w:sz w:val="30"/>
          <w:szCs w:val="30"/>
          <w:lang w:val="en-US" w:eastAsia="zh-CN"/>
        </w:rPr>
        <w:t>严格按照《农田建设项目管理办法》</w:t>
      </w:r>
      <w:r>
        <w:rPr>
          <w:rFonts w:hint="eastAsia" w:ascii="仿宋" w:hAnsi="仿宋" w:eastAsia="仿宋"/>
          <w:kern w:val="30"/>
          <w:sz w:val="30"/>
          <w:szCs w:val="30"/>
        </w:rPr>
        <w:t>的相关要求，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，对已完工项目及时组织验收并进行结算审核。</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3</w:t>
      </w:r>
      <w:r>
        <w:rPr>
          <w:rFonts w:ascii="仿宋" w:hAnsi="仿宋" w:eastAsia="仿宋"/>
          <w:kern w:val="30"/>
          <w:sz w:val="30"/>
          <w:szCs w:val="30"/>
        </w:rPr>
        <w:t>.</w:t>
      </w:r>
      <w:r>
        <w:rPr>
          <w:rFonts w:hint="eastAsia" w:ascii="仿宋" w:hAnsi="仿宋" w:eastAsia="仿宋"/>
          <w:kern w:val="30"/>
          <w:sz w:val="30"/>
          <w:szCs w:val="30"/>
        </w:rPr>
        <w:t>规范记录优化或变更资料，确保项目实施程序合规</w:t>
      </w:r>
    </w:p>
    <w:p>
      <w:pPr>
        <w:spacing w:line="560" w:lineRule="exact"/>
        <w:ind w:firstLine="600" w:firstLineChars="200"/>
        <w:rPr>
          <w:rFonts w:hint="eastAsia" w:ascii="仿宋" w:hAnsi="仿宋" w:eastAsia="仿宋"/>
          <w:kern w:val="30"/>
          <w:sz w:val="30"/>
          <w:szCs w:val="30"/>
          <w:lang w:val="en-US" w:eastAsia="zh-CN"/>
        </w:rPr>
      </w:pP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管理办法的相关要求，对经过批复的项目，任何单位和个人不得擅自调整、变更项目建设内容，确需变更的，项目实施单位应做好项目优化或变更资料，按规定程序履行报批手续。</w:t>
      </w:r>
    </w:p>
    <w:p>
      <w:pPr>
        <w:spacing w:line="570" w:lineRule="exact"/>
        <w:ind w:firstLine="600" w:firstLineChars="200"/>
        <w:rPr>
          <w:rFonts w:hint="default" w:ascii="仿宋" w:hAnsi="仿宋" w:eastAsia="仿宋"/>
          <w:kern w:val="30"/>
          <w:sz w:val="30"/>
          <w:szCs w:val="30"/>
          <w:lang w:val="en-US" w:eastAsia="zh-CN"/>
        </w:rPr>
      </w:pPr>
      <w:bookmarkStart w:id="37" w:name="_Hlk525314575"/>
      <w:r>
        <w:rPr>
          <w:rFonts w:hint="eastAsia" w:hAnsi="仿宋"/>
          <w:sz w:val="30"/>
          <w:szCs w:val="30"/>
          <w:lang w:val="en-US" w:eastAsia="zh-CN"/>
        </w:rPr>
        <w:t>4.</w:t>
      </w:r>
      <w:r>
        <w:rPr>
          <w:rFonts w:hint="eastAsia" w:hAnsi="仿宋"/>
          <w:kern w:val="30"/>
          <w:sz w:val="30"/>
          <w:szCs w:val="30"/>
          <w:lang w:val="en-US" w:eastAsia="zh-CN"/>
        </w:rPr>
        <w:t>加强项目过程管理，及时对项目资料进行归档。项目建设单位做好项目过程资料的收集整理工作，项目结束后，对项目资料应及时分类整理归档，以便清晰可查。</w:t>
      </w:r>
    </w:p>
    <w:p>
      <w:pPr>
        <w:spacing w:line="570" w:lineRule="exact"/>
        <w:rPr>
          <w:rFonts w:hint="eastAsia" w:ascii="仿宋" w:hAnsi="仿宋" w:eastAsia="仿宋"/>
          <w:sz w:val="30"/>
          <w:szCs w:val="30"/>
        </w:rPr>
      </w:pPr>
    </w:p>
    <w:p>
      <w:pPr>
        <w:spacing w:line="570" w:lineRule="exact"/>
        <w:ind w:firstLine="600" w:firstLineChars="200"/>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1.绩效</w:t>
      </w:r>
      <w:r>
        <w:rPr>
          <w:rFonts w:hint="eastAsia" w:ascii="仿宋" w:hAnsi="仿宋" w:eastAsia="仿宋"/>
          <w:sz w:val="30"/>
          <w:szCs w:val="30"/>
        </w:rPr>
        <w:t>目标表</w:t>
      </w:r>
    </w:p>
    <w:p>
      <w:pPr>
        <w:spacing w:line="570" w:lineRule="exact"/>
        <w:ind w:firstLine="1500" w:firstLineChars="500"/>
        <w:rPr>
          <w:rFonts w:ascii="仿宋" w:hAnsi="仿宋" w:eastAsia="仿宋"/>
          <w:sz w:val="30"/>
          <w:szCs w:val="30"/>
        </w:rPr>
      </w:pPr>
      <w:r>
        <w:rPr>
          <w:rFonts w:ascii="仿宋" w:hAnsi="仿宋" w:eastAsia="仿宋"/>
          <w:sz w:val="30"/>
          <w:szCs w:val="30"/>
        </w:rPr>
        <w:t>2.</w:t>
      </w:r>
      <w:bookmarkStart w:id="38" w:name="_Hlk527019547"/>
      <w:r>
        <w:rPr>
          <w:rFonts w:hint="eastAsia" w:ascii="仿宋" w:hAnsi="仿宋" w:eastAsia="仿宋"/>
          <w:sz w:val="30"/>
          <w:szCs w:val="30"/>
        </w:rPr>
        <w:t>绩效评价指标体系及评分表</w:t>
      </w:r>
      <w:bookmarkEnd w:id="38"/>
    </w:p>
    <w:p>
      <w:pPr>
        <w:spacing w:line="570" w:lineRule="exact"/>
        <w:ind w:firstLine="1500" w:firstLineChars="500"/>
        <w:rPr>
          <w:rFonts w:hint="eastAsia" w:ascii="仿宋" w:hAnsi="仿宋" w:eastAsia="仿宋"/>
          <w:sz w:val="30"/>
          <w:szCs w:val="30"/>
        </w:rPr>
      </w:pPr>
      <w:r>
        <w:rPr>
          <w:rFonts w:ascii="仿宋" w:hAnsi="仿宋" w:eastAsia="仿宋"/>
          <w:sz w:val="30"/>
          <w:szCs w:val="30"/>
        </w:rPr>
        <w:t>3.</w:t>
      </w:r>
      <w:bookmarkStart w:id="39" w:name="_Hlk527019566"/>
      <w:r>
        <w:rPr>
          <w:rFonts w:hint="eastAsia" w:ascii="仿宋" w:hAnsi="仿宋" w:eastAsia="仿宋"/>
          <w:sz w:val="30"/>
          <w:szCs w:val="30"/>
        </w:rPr>
        <w:t>项目资金到位及使用情况表</w:t>
      </w:r>
      <w:bookmarkEnd w:id="39"/>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4.项目实施内容及完成情况表</w:t>
      </w:r>
    </w:p>
    <w:p>
      <w:pPr>
        <w:spacing w:line="570" w:lineRule="exact"/>
        <w:ind w:firstLine="1500" w:firstLineChars="500"/>
        <w:rPr>
          <w:rFonts w:ascii="仿宋" w:hAnsi="仿宋" w:eastAsia="仿宋"/>
          <w:sz w:val="30"/>
          <w:szCs w:val="30"/>
        </w:rPr>
      </w:pPr>
      <w:r>
        <w:rPr>
          <w:rFonts w:hint="eastAsia" w:hAnsi="仿宋"/>
          <w:sz w:val="30"/>
          <w:szCs w:val="30"/>
          <w:lang w:val="en-US" w:eastAsia="zh-CN"/>
        </w:rPr>
        <w:t>5</w:t>
      </w:r>
      <w:r>
        <w:rPr>
          <w:rFonts w:ascii="仿宋" w:hAnsi="仿宋" w:eastAsia="仿宋"/>
          <w:sz w:val="30"/>
          <w:szCs w:val="30"/>
        </w:rPr>
        <w:t>.</w:t>
      </w:r>
      <w:bookmarkStart w:id="40" w:name="_Hlk527019673"/>
      <w:r>
        <w:rPr>
          <w:rFonts w:hint="eastAsia" w:ascii="仿宋" w:hAnsi="仿宋" w:eastAsia="仿宋"/>
          <w:sz w:val="30"/>
          <w:szCs w:val="30"/>
        </w:rPr>
        <w:t>调查问卷结果汇总表</w:t>
      </w:r>
      <w:bookmarkEnd w:id="40"/>
    </w:p>
    <w:p>
      <w:pPr>
        <w:spacing w:line="570" w:lineRule="exact"/>
        <w:ind w:firstLine="1500" w:firstLineChars="500"/>
        <w:rPr>
          <w:rFonts w:hint="eastAsia" w:ascii="仿宋" w:hAnsi="仿宋" w:eastAsia="仿宋"/>
          <w:sz w:val="30"/>
          <w:szCs w:val="30"/>
        </w:rPr>
      </w:pPr>
      <w:r>
        <w:rPr>
          <w:rFonts w:hint="eastAsia" w:hAnsi="仿宋"/>
          <w:sz w:val="30"/>
          <w:szCs w:val="30"/>
          <w:lang w:val="en-US" w:eastAsia="zh-CN"/>
        </w:rPr>
        <w:t>6</w:t>
      </w:r>
      <w:r>
        <w:rPr>
          <w:rFonts w:ascii="仿宋" w:hAnsi="仿宋" w:eastAsia="仿宋"/>
          <w:sz w:val="30"/>
          <w:szCs w:val="30"/>
        </w:rPr>
        <w:t>.</w:t>
      </w:r>
      <w:bookmarkStart w:id="41" w:name="_Hlk527020943"/>
      <w:bookmarkStart w:id="42" w:name="_Hlk527019729"/>
      <w:r>
        <w:rPr>
          <w:rFonts w:hint="eastAsia" w:ascii="仿宋" w:hAnsi="仿宋" w:eastAsia="仿宋"/>
          <w:sz w:val="30"/>
          <w:szCs w:val="30"/>
        </w:rPr>
        <w:t>绩效自评报告</w:t>
      </w:r>
      <w:bookmarkEnd w:id="41"/>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7.绩效自评表</w:t>
      </w:r>
    </w:p>
    <w:bookmarkEnd w:id="37"/>
    <w:bookmarkEnd w:id="42"/>
    <w:p>
      <w:pPr>
        <w:spacing w:line="570" w:lineRule="exact"/>
        <w:ind w:firstLine="1500" w:firstLineChars="500"/>
        <w:rPr>
          <w:rFonts w:ascii="仿宋" w:hAnsi="仿宋" w:eastAsia="仿宋"/>
          <w:sz w:val="30"/>
          <w:szCs w:val="30"/>
        </w:rPr>
      </w:pPr>
      <w:r>
        <w:rPr>
          <w:rFonts w:hint="eastAsia" w:hAnsi="仿宋"/>
          <w:sz w:val="30"/>
          <w:szCs w:val="30"/>
          <w:lang w:val="en-US" w:eastAsia="zh-CN"/>
        </w:rPr>
        <w:t>8</w:t>
      </w:r>
      <w:r>
        <w:rPr>
          <w:rFonts w:hint="eastAsia" w:ascii="仿宋" w:hAnsi="仿宋" w:eastAsia="仿宋"/>
          <w:sz w:val="30"/>
          <w:szCs w:val="30"/>
        </w:rPr>
        <w:t>.绩效评价报告意见反馈表（部门）</w:t>
      </w:r>
    </w:p>
    <w:p>
      <w:pPr>
        <w:spacing w:line="570" w:lineRule="exact"/>
        <w:ind w:firstLine="1500" w:firstLineChars="500"/>
        <w:rPr>
          <w:rFonts w:hint="default" w:hAnsi="仿宋"/>
          <w:szCs w:val="30"/>
          <w:lang w:val="en-US" w:eastAsia="zh-CN"/>
        </w:rPr>
      </w:pPr>
      <w:r>
        <w:rPr>
          <w:rFonts w:hint="eastAsia" w:hAnsi="仿宋"/>
          <w:sz w:val="30"/>
          <w:szCs w:val="30"/>
          <w:lang w:val="en-US" w:eastAsia="zh-CN"/>
        </w:rPr>
        <w:t>9</w:t>
      </w:r>
      <w:r>
        <w:rPr>
          <w:rFonts w:hint="eastAsia" w:ascii="仿宋" w:hAnsi="仿宋" w:eastAsia="仿宋"/>
          <w:sz w:val="30"/>
          <w:szCs w:val="30"/>
        </w:rPr>
        <w:t>.绩效评价报告意见反馈表（财政）</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8FBD7A-7510-40B7-AB66-DE0AFA38868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3CCEAB30-67B1-488C-80F6-4DCC9502AFA7}"/>
  </w:font>
  <w:font w:name="仿宋">
    <w:panose1 w:val="02010609060101010101"/>
    <w:charset w:val="86"/>
    <w:family w:val="modern"/>
    <w:pitch w:val="default"/>
    <w:sig w:usb0="800002BF" w:usb1="38CF7CFA" w:usb2="00000016" w:usb3="00000000" w:csb0="00040001" w:csb1="00000000"/>
    <w:embedRegular r:id="rId3" w:fontKey="{8F7949E0-8AEE-457E-9C45-175EA8D4CF58}"/>
  </w:font>
  <w:font w:name="仿宋_GB2312">
    <w:panose1 w:val="02010609030101010101"/>
    <w:charset w:val="86"/>
    <w:family w:val="modern"/>
    <w:pitch w:val="default"/>
    <w:sig w:usb0="00000001" w:usb1="080E0000" w:usb2="00000000" w:usb3="00000000" w:csb0="00040000" w:csb1="00000000"/>
    <w:embedRegular r:id="rId4" w:fontKey="{285D7789-8D67-49F7-A550-6ED9AEF8CB9A}"/>
  </w:font>
  <w:font w:name="方正小标宋简体">
    <w:altName w:val="Arial Unicode MS"/>
    <w:panose1 w:val="02010601030101010101"/>
    <w:charset w:val="86"/>
    <w:family w:val="auto"/>
    <w:pitch w:val="default"/>
    <w:sig w:usb0="00000000" w:usb1="00000000" w:usb2="00000000" w:usb3="00000000" w:csb0="00040000" w:csb1="00000000"/>
    <w:embedRegular r:id="rId5" w:fontKey="{5F446FEF-1636-404C-9AC2-39E06D2A23EE}"/>
  </w:font>
  <w:font w:name="楷体">
    <w:panose1 w:val="02010609060101010101"/>
    <w:charset w:val="86"/>
    <w:family w:val="modern"/>
    <w:pitch w:val="default"/>
    <w:sig w:usb0="800002BF" w:usb1="38CF7CFA" w:usb2="00000016" w:usb3="00000000" w:csb0="00040001" w:csb1="00000000"/>
    <w:embedRegular r:id="rId6" w:fontKey="{DF845F06-EF70-433E-8CA7-89EF75DC1993}"/>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EBAAB"/>
    <w:multiLevelType w:val="singleLevel"/>
    <w:tmpl w:val="F29EBAA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BE5DE8"/>
    <w:rsid w:val="01575A9A"/>
    <w:rsid w:val="02F17F93"/>
    <w:rsid w:val="030D3B12"/>
    <w:rsid w:val="0347674D"/>
    <w:rsid w:val="045143B3"/>
    <w:rsid w:val="04E16CA7"/>
    <w:rsid w:val="05054B25"/>
    <w:rsid w:val="0527209E"/>
    <w:rsid w:val="05671C2E"/>
    <w:rsid w:val="05AB6253"/>
    <w:rsid w:val="05AF6D7C"/>
    <w:rsid w:val="0632266C"/>
    <w:rsid w:val="08AC3BE4"/>
    <w:rsid w:val="08DD084B"/>
    <w:rsid w:val="08FB114C"/>
    <w:rsid w:val="09A94066"/>
    <w:rsid w:val="0AA80C51"/>
    <w:rsid w:val="0B4F58A2"/>
    <w:rsid w:val="0B742D33"/>
    <w:rsid w:val="0BCD0A38"/>
    <w:rsid w:val="0BFC7B2A"/>
    <w:rsid w:val="0C6E667C"/>
    <w:rsid w:val="0C8F3381"/>
    <w:rsid w:val="0C9005FD"/>
    <w:rsid w:val="0D0C5822"/>
    <w:rsid w:val="0DA54278"/>
    <w:rsid w:val="0DCF2E5B"/>
    <w:rsid w:val="0E214920"/>
    <w:rsid w:val="0E38182C"/>
    <w:rsid w:val="0F0968C0"/>
    <w:rsid w:val="0FAC2EF0"/>
    <w:rsid w:val="0FDD455A"/>
    <w:rsid w:val="102C54B4"/>
    <w:rsid w:val="10CE1276"/>
    <w:rsid w:val="10D63057"/>
    <w:rsid w:val="10DD5610"/>
    <w:rsid w:val="11001153"/>
    <w:rsid w:val="114D4DB4"/>
    <w:rsid w:val="11573016"/>
    <w:rsid w:val="11942A60"/>
    <w:rsid w:val="11A57BBF"/>
    <w:rsid w:val="1209629F"/>
    <w:rsid w:val="12275142"/>
    <w:rsid w:val="12517437"/>
    <w:rsid w:val="13A45FA5"/>
    <w:rsid w:val="13FB5AF0"/>
    <w:rsid w:val="14424B2B"/>
    <w:rsid w:val="14C71E0B"/>
    <w:rsid w:val="15161B43"/>
    <w:rsid w:val="15205937"/>
    <w:rsid w:val="152E5D89"/>
    <w:rsid w:val="154212A5"/>
    <w:rsid w:val="15666D25"/>
    <w:rsid w:val="16870078"/>
    <w:rsid w:val="17831225"/>
    <w:rsid w:val="179E5097"/>
    <w:rsid w:val="17DC7732"/>
    <w:rsid w:val="18A03D9E"/>
    <w:rsid w:val="18C57F30"/>
    <w:rsid w:val="19D60622"/>
    <w:rsid w:val="19E676A5"/>
    <w:rsid w:val="1A2E1700"/>
    <w:rsid w:val="1A6B6A55"/>
    <w:rsid w:val="1A714697"/>
    <w:rsid w:val="1A9A758B"/>
    <w:rsid w:val="1AAF422E"/>
    <w:rsid w:val="1B3F540B"/>
    <w:rsid w:val="1D777972"/>
    <w:rsid w:val="1DFE2519"/>
    <w:rsid w:val="1E215CC5"/>
    <w:rsid w:val="1E6E4653"/>
    <w:rsid w:val="1EA763BB"/>
    <w:rsid w:val="1EAE2489"/>
    <w:rsid w:val="1ECE5772"/>
    <w:rsid w:val="1F2A68E4"/>
    <w:rsid w:val="1F5164A5"/>
    <w:rsid w:val="1FFE42F4"/>
    <w:rsid w:val="20525D84"/>
    <w:rsid w:val="20B2705F"/>
    <w:rsid w:val="20BD0D10"/>
    <w:rsid w:val="210A09A3"/>
    <w:rsid w:val="219A14DE"/>
    <w:rsid w:val="21B95B43"/>
    <w:rsid w:val="21D46F45"/>
    <w:rsid w:val="22242AFF"/>
    <w:rsid w:val="22476A24"/>
    <w:rsid w:val="224C329C"/>
    <w:rsid w:val="229A4E77"/>
    <w:rsid w:val="22E54AD7"/>
    <w:rsid w:val="237601C1"/>
    <w:rsid w:val="23DE63BD"/>
    <w:rsid w:val="245844F9"/>
    <w:rsid w:val="24595312"/>
    <w:rsid w:val="24696C57"/>
    <w:rsid w:val="25BA09B3"/>
    <w:rsid w:val="262D2485"/>
    <w:rsid w:val="26341345"/>
    <w:rsid w:val="26887328"/>
    <w:rsid w:val="26933E95"/>
    <w:rsid w:val="2714299F"/>
    <w:rsid w:val="277F03AF"/>
    <w:rsid w:val="278E0214"/>
    <w:rsid w:val="28944BDA"/>
    <w:rsid w:val="29141271"/>
    <w:rsid w:val="29450BEA"/>
    <w:rsid w:val="29823724"/>
    <w:rsid w:val="2A597161"/>
    <w:rsid w:val="2A871DE2"/>
    <w:rsid w:val="2B1B1C45"/>
    <w:rsid w:val="2B4F471E"/>
    <w:rsid w:val="2BED3527"/>
    <w:rsid w:val="2C451BE5"/>
    <w:rsid w:val="2CB26450"/>
    <w:rsid w:val="2CC46786"/>
    <w:rsid w:val="2CD52E02"/>
    <w:rsid w:val="2CFB77BD"/>
    <w:rsid w:val="2DE060CB"/>
    <w:rsid w:val="2EAD3C11"/>
    <w:rsid w:val="2EFF0450"/>
    <w:rsid w:val="2F340D52"/>
    <w:rsid w:val="2F5113D0"/>
    <w:rsid w:val="2F516794"/>
    <w:rsid w:val="2FB65DD5"/>
    <w:rsid w:val="2FD64B7B"/>
    <w:rsid w:val="30816576"/>
    <w:rsid w:val="30B40B7D"/>
    <w:rsid w:val="30BB7397"/>
    <w:rsid w:val="313F4D73"/>
    <w:rsid w:val="319D2A2B"/>
    <w:rsid w:val="31DB4A6F"/>
    <w:rsid w:val="32850032"/>
    <w:rsid w:val="32C2061D"/>
    <w:rsid w:val="33B52FDA"/>
    <w:rsid w:val="33E22C40"/>
    <w:rsid w:val="341D3429"/>
    <w:rsid w:val="34222593"/>
    <w:rsid w:val="34BD4B0E"/>
    <w:rsid w:val="356071A0"/>
    <w:rsid w:val="35DD7089"/>
    <w:rsid w:val="361859DE"/>
    <w:rsid w:val="3663162D"/>
    <w:rsid w:val="368904CC"/>
    <w:rsid w:val="36D14879"/>
    <w:rsid w:val="36D24B12"/>
    <w:rsid w:val="36D92149"/>
    <w:rsid w:val="37690DAA"/>
    <w:rsid w:val="378E7CA6"/>
    <w:rsid w:val="37D67025"/>
    <w:rsid w:val="3812753C"/>
    <w:rsid w:val="38B900B4"/>
    <w:rsid w:val="38C1314F"/>
    <w:rsid w:val="38E472C7"/>
    <w:rsid w:val="39653425"/>
    <w:rsid w:val="39D703D8"/>
    <w:rsid w:val="39F76FFD"/>
    <w:rsid w:val="3A066B3D"/>
    <w:rsid w:val="3A6B622A"/>
    <w:rsid w:val="3A890C07"/>
    <w:rsid w:val="3AF0372E"/>
    <w:rsid w:val="3BEB7579"/>
    <w:rsid w:val="3BF1793F"/>
    <w:rsid w:val="3C11034A"/>
    <w:rsid w:val="3C7C344C"/>
    <w:rsid w:val="3CB73CD7"/>
    <w:rsid w:val="3CC437D5"/>
    <w:rsid w:val="3CF84ABA"/>
    <w:rsid w:val="3CFF09E0"/>
    <w:rsid w:val="3D023201"/>
    <w:rsid w:val="3D775E1A"/>
    <w:rsid w:val="3E3544C5"/>
    <w:rsid w:val="3E8D599B"/>
    <w:rsid w:val="3E953932"/>
    <w:rsid w:val="3EAF043D"/>
    <w:rsid w:val="3EE6640E"/>
    <w:rsid w:val="3F2C209D"/>
    <w:rsid w:val="404A3959"/>
    <w:rsid w:val="40B76116"/>
    <w:rsid w:val="40F73DD9"/>
    <w:rsid w:val="41F626DE"/>
    <w:rsid w:val="42110AC1"/>
    <w:rsid w:val="42505E18"/>
    <w:rsid w:val="42776474"/>
    <w:rsid w:val="4279540C"/>
    <w:rsid w:val="43094A47"/>
    <w:rsid w:val="436F103C"/>
    <w:rsid w:val="439A11BE"/>
    <w:rsid w:val="44294EA6"/>
    <w:rsid w:val="447334DE"/>
    <w:rsid w:val="447423E1"/>
    <w:rsid w:val="44A064B4"/>
    <w:rsid w:val="44E1526E"/>
    <w:rsid w:val="451511CA"/>
    <w:rsid w:val="45917F3C"/>
    <w:rsid w:val="45976D53"/>
    <w:rsid w:val="45FE124B"/>
    <w:rsid w:val="464337A5"/>
    <w:rsid w:val="465102F3"/>
    <w:rsid w:val="46FF61E7"/>
    <w:rsid w:val="47173C89"/>
    <w:rsid w:val="47B72FCC"/>
    <w:rsid w:val="47F04BCB"/>
    <w:rsid w:val="486D34CF"/>
    <w:rsid w:val="48DC5C4E"/>
    <w:rsid w:val="49935DE7"/>
    <w:rsid w:val="4BAD7754"/>
    <w:rsid w:val="4C0575B7"/>
    <w:rsid w:val="4CBF6FC7"/>
    <w:rsid w:val="4D057608"/>
    <w:rsid w:val="4D737301"/>
    <w:rsid w:val="4D9635EF"/>
    <w:rsid w:val="4E7568D6"/>
    <w:rsid w:val="4ED64534"/>
    <w:rsid w:val="4EDD0282"/>
    <w:rsid w:val="4EE52529"/>
    <w:rsid w:val="4F152503"/>
    <w:rsid w:val="4F182D31"/>
    <w:rsid w:val="4FC54CEC"/>
    <w:rsid w:val="5005285F"/>
    <w:rsid w:val="505169A4"/>
    <w:rsid w:val="50C758BD"/>
    <w:rsid w:val="510A4F1B"/>
    <w:rsid w:val="513522A0"/>
    <w:rsid w:val="515D3961"/>
    <w:rsid w:val="5172068C"/>
    <w:rsid w:val="51764265"/>
    <w:rsid w:val="51F94A0E"/>
    <w:rsid w:val="52590A5F"/>
    <w:rsid w:val="53F04784"/>
    <w:rsid w:val="54EA4702"/>
    <w:rsid w:val="55287D3E"/>
    <w:rsid w:val="55924522"/>
    <w:rsid w:val="55B236BB"/>
    <w:rsid w:val="56333A5A"/>
    <w:rsid w:val="56704233"/>
    <w:rsid w:val="56F62E30"/>
    <w:rsid w:val="56F9706F"/>
    <w:rsid w:val="572C565E"/>
    <w:rsid w:val="591551C5"/>
    <w:rsid w:val="594F6F9D"/>
    <w:rsid w:val="59731679"/>
    <w:rsid w:val="5BB7563E"/>
    <w:rsid w:val="5CB213B6"/>
    <w:rsid w:val="5CC24E18"/>
    <w:rsid w:val="5CF22982"/>
    <w:rsid w:val="5D26204A"/>
    <w:rsid w:val="5D4531EA"/>
    <w:rsid w:val="5D5E6AEA"/>
    <w:rsid w:val="5D6B720B"/>
    <w:rsid w:val="5DAB67D7"/>
    <w:rsid w:val="5E0D7093"/>
    <w:rsid w:val="5E1E6A75"/>
    <w:rsid w:val="5EB842C5"/>
    <w:rsid w:val="5F5D23C1"/>
    <w:rsid w:val="5FEB18E1"/>
    <w:rsid w:val="606A5487"/>
    <w:rsid w:val="607435B2"/>
    <w:rsid w:val="609842E2"/>
    <w:rsid w:val="60B45664"/>
    <w:rsid w:val="61AC63CB"/>
    <w:rsid w:val="62016902"/>
    <w:rsid w:val="621145D3"/>
    <w:rsid w:val="62445ABA"/>
    <w:rsid w:val="625479F7"/>
    <w:rsid w:val="626C144C"/>
    <w:rsid w:val="62AF362E"/>
    <w:rsid w:val="638C175D"/>
    <w:rsid w:val="639A3CEF"/>
    <w:rsid w:val="645635B1"/>
    <w:rsid w:val="646626E4"/>
    <w:rsid w:val="64732652"/>
    <w:rsid w:val="64B73BDE"/>
    <w:rsid w:val="655D283C"/>
    <w:rsid w:val="657D6365"/>
    <w:rsid w:val="66966580"/>
    <w:rsid w:val="67EF32E4"/>
    <w:rsid w:val="684872B9"/>
    <w:rsid w:val="68C2783B"/>
    <w:rsid w:val="69450D1C"/>
    <w:rsid w:val="69C22450"/>
    <w:rsid w:val="6A2622DF"/>
    <w:rsid w:val="6A8417E6"/>
    <w:rsid w:val="6AD43B6C"/>
    <w:rsid w:val="6C074251"/>
    <w:rsid w:val="6C0E701F"/>
    <w:rsid w:val="6C241F23"/>
    <w:rsid w:val="6D027EF4"/>
    <w:rsid w:val="6E1A1CAA"/>
    <w:rsid w:val="6E2B11C8"/>
    <w:rsid w:val="6E4F7E0E"/>
    <w:rsid w:val="6EA55C40"/>
    <w:rsid w:val="6F2E2C2A"/>
    <w:rsid w:val="6FF2499C"/>
    <w:rsid w:val="70B93674"/>
    <w:rsid w:val="71084316"/>
    <w:rsid w:val="7119166C"/>
    <w:rsid w:val="7123358C"/>
    <w:rsid w:val="7153529A"/>
    <w:rsid w:val="71E05C10"/>
    <w:rsid w:val="72703C77"/>
    <w:rsid w:val="72AB1AE2"/>
    <w:rsid w:val="72AB28B6"/>
    <w:rsid w:val="72DC5BF7"/>
    <w:rsid w:val="736E2E7F"/>
    <w:rsid w:val="73956305"/>
    <w:rsid w:val="75806BB8"/>
    <w:rsid w:val="75D061D7"/>
    <w:rsid w:val="761141B5"/>
    <w:rsid w:val="76A72630"/>
    <w:rsid w:val="77672D26"/>
    <w:rsid w:val="77EA1489"/>
    <w:rsid w:val="784F21D2"/>
    <w:rsid w:val="78EA7AD7"/>
    <w:rsid w:val="78ED55C9"/>
    <w:rsid w:val="7A7824F4"/>
    <w:rsid w:val="7A900664"/>
    <w:rsid w:val="7ACF7A49"/>
    <w:rsid w:val="7B3D0189"/>
    <w:rsid w:val="7B7F0E35"/>
    <w:rsid w:val="7BF04171"/>
    <w:rsid w:val="7C307E3E"/>
    <w:rsid w:val="7C470137"/>
    <w:rsid w:val="7C8E1479"/>
    <w:rsid w:val="7C931AC1"/>
    <w:rsid w:val="7CD14A46"/>
    <w:rsid w:val="7D7F58A4"/>
    <w:rsid w:val="7DDB22B2"/>
    <w:rsid w:val="7E8215E8"/>
    <w:rsid w:val="7EB95036"/>
    <w:rsid w:val="7F7B3418"/>
    <w:rsid w:val="7FA0107B"/>
    <w:rsid w:val="7FE42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Times New Roman" w:eastAsia="仿宋" w:cs="Times New Roman"/>
      <w:kern w:val="30"/>
      <w:sz w:val="30"/>
      <w:szCs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unhideWhenUsed/>
    <w:qFormat/>
    <w:uiPriority w:val="39"/>
    <w:pPr>
      <w:spacing w:before="120" w:after="120"/>
      <w:jc w:val="left"/>
    </w:pPr>
    <w:rPr>
      <w:rFonts w:asciiTheme="minorHAnsi" w:hAnsiTheme="minorHAnsi" w:cstheme="minorHAnsi"/>
      <w:b/>
      <w:bCs/>
      <w:caps/>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15</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2020-11-23T01:38:00Z</dcterms:created>
  <dc:creator>summer。</dc:creator>
  <cp:lastModifiedBy>Administrator</cp:lastModifiedBy>
  <dcterms:modified xsi:type="dcterms:W3CDTF">2025-09-26T12:07:08Z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8FC44339D5F4433DB50E395F24266F00</vt:lpwstr>
  </property>
</Properties>
</file>