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9" w:lineRule="exact"/>
        <w:jc w:val="center"/>
        <w:rPr>
          <w:rFonts w:hint="eastAsia" w:ascii="Arial Unicode MS" w:hAnsi="宋体" w:eastAsia="Arial Unicode MS"/>
          <w:color w:val="000000" w:themeColor="text1"/>
          <w:kern w:val="2"/>
          <w:sz w:val="44"/>
          <w:szCs w:val="44"/>
          <w14:textFill>
            <w14:solidFill>
              <w14:schemeClr w14:val="tx1"/>
            </w14:solidFill>
          </w14:textFill>
        </w:rPr>
      </w:pPr>
      <w:bookmarkStart w:id="0" w:name="_Hlk51142841"/>
      <w:r>
        <w:rPr>
          <w:rFonts w:hint="eastAsia" w:ascii="Arial Unicode MS" w:hAnsi="宋体" w:eastAsia="Arial Unicode MS"/>
          <w:color w:val="000000" w:themeColor="text1"/>
          <w:kern w:val="2"/>
          <w:sz w:val="44"/>
          <w:szCs w:val="44"/>
          <w14:textFill>
            <w14:solidFill>
              <w14:schemeClr w14:val="tx1"/>
            </w14:solidFill>
          </w14:textFill>
        </w:rPr>
        <w:t>盈江县农业农村局2019年</w:t>
      </w:r>
    </w:p>
    <w:p>
      <w:pPr>
        <w:spacing w:line="579" w:lineRule="exact"/>
        <w:jc w:val="center"/>
        <w:rPr>
          <w:rFonts w:ascii="Arial Unicode MS" w:hAnsi="宋体" w:eastAsia="Arial Unicode MS"/>
          <w:color w:val="000000" w:themeColor="text1"/>
          <w:kern w:val="2"/>
          <w:sz w:val="44"/>
          <w:szCs w:val="44"/>
          <w14:textFill>
            <w14:solidFill>
              <w14:schemeClr w14:val="tx1"/>
            </w14:solidFill>
          </w14:textFill>
        </w:rPr>
      </w:pPr>
      <w:r>
        <w:rPr>
          <w:rFonts w:hint="eastAsia" w:ascii="Arial Unicode MS" w:hAnsi="宋体" w:eastAsia="Arial Unicode MS"/>
          <w:color w:val="000000" w:themeColor="text1"/>
          <w:kern w:val="2"/>
          <w:sz w:val="44"/>
          <w:szCs w:val="44"/>
          <w14:textFill>
            <w14:solidFill>
              <w14:schemeClr w14:val="tx1"/>
            </w14:solidFill>
          </w14:textFill>
        </w:rPr>
        <w:t>糖料蔗核心基地建设项目</w:t>
      </w:r>
    </w:p>
    <w:bookmarkEnd w:id="0"/>
    <w:p>
      <w:pPr>
        <w:spacing w:line="579" w:lineRule="exact"/>
        <w:jc w:val="center"/>
        <w:rPr>
          <w:rFonts w:ascii="Arial Unicode MS" w:hAnsi="宋体" w:eastAsia="Arial Unicode MS"/>
          <w:color w:val="000000" w:themeColor="text1"/>
          <w:kern w:val="2"/>
          <w:sz w:val="36"/>
          <w:szCs w:val="36"/>
          <w14:textFill>
            <w14:solidFill>
              <w14:schemeClr w14:val="tx1"/>
            </w14:solidFill>
          </w14:textFill>
        </w:rPr>
      </w:pPr>
    </w:p>
    <w:p>
      <w:pPr>
        <w:jc w:val="center"/>
        <w:rPr>
          <w:rFonts w:ascii="Arial Unicode MS" w:hAnsi="宋体" w:eastAsia="Arial Unicode MS"/>
          <w:color w:val="000000" w:themeColor="text1"/>
          <w:kern w:val="2"/>
          <w:sz w:val="72"/>
          <w:szCs w:val="72"/>
          <w14:textFill>
            <w14:solidFill>
              <w14:schemeClr w14:val="tx1"/>
            </w14:solidFill>
          </w14:textFill>
        </w:rPr>
      </w:pPr>
      <w:r>
        <w:rPr>
          <w:rFonts w:hint="eastAsia" w:ascii="Arial Unicode MS" w:hAnsi="宋体" w:eastAsia="Arial Unicode MS"/>
          <w:color w:val="000000" w:themeColor="text1"/>
          <w:kern w:val="2"/>
          <w:sz w:val="72"/>
          <w:szCs w:val="72"/>
          <w14:textFill>
            <w14:solidFill>
              <w14:schemeClr w14:val="tx1"/>
            </w14:solidFill>
          </w14:textFill>
        </w:rPr>
        <w:t>绩效评价报告</w:t>
      </w:r>
    </w:p>
    <w:p>
      <w:pPr>
        <w:spacing w:line="579" w:lineRule="exact"/>
        <w:jc w:val="left"/>
        <w:rPr>
          <w:rFonts w:hint="default" w:ascii="Arial Unicode MS" w:hAnsi="宋体" w:eastAsia="Arial Unicode MS"/>
          <w:color w:val="000000" w:themeColor="text1"/>
          <w:kern w:val="2"/>
          <w:sz w:val="44"/>
          <w:szCs w:val="44"/>
          <w:lang w:val="en-US" w:eastAsia="zh-CN"/>
          <w14:textFill>
            <w14:solidFill>
              <w14:schemeClr w14:val="tx1"/>
            </w14:solidFill>
          </w14:textFill>
        </w:rPr>
      </w:pPr>
      <w:r>
        <w:rPr>
          <w:rFonts w:hint="eastAsia" w:ascii="Arial Unicode MS" w:hAnsi="宋体" w:eastAsia="Arial Unicode MS"/>
          <w:color w:val="000000" w:themeColor="text1"/>
          <w:kern w:val="2"/>
          <w:sz w:val="44"/>
          <w:szCs w:val="44"/>
          <w:lang w:val="en-US" w:eastAsia="zh-CN"/>
          <w14:textFill>
            <w14:solidFill>
              <w14:schemeClr w14:val="tx1"/>
            </w14:solidFill>
          </w14:textFill>
        </w:rPr>
        <w:t xml:space="preserve">            （征求意见稿）</w:t>
      </w:r>
    </w:p>
    <w:p>
      <w:pPr>
        <w:spacing w:line="579" w:lineRule="exact"/>
        <w:jc w:val="left"/>
        <w:rPr>
          <w:rFonts w:ascii="Arial Unicode MS" w:hAnsi="宋体" w:eastAsia="Arial Unicode MS"/>
          <w:color w:val="000000" w:themeColor="text1"/>
          <w:kern w:val="2"/>
          <w:sz w:val="44"/>
          <w:szCs w:val="44"/>
          <w14:textFill>
            <w14:solidFill>
              <w14:schemeClr w14:val="tx1"/>
            </w14:solidFill>
          </w14:textFill>
        </w:rPr>
      </w:pPr>
    </w:p>
    <w:p>
      <w:pPr>
        <w:spacing w:line="579" w:lineRule="exact"/>
        <w:jc w:val="left"/>
        <w:rPr>
          <w:rFonts w:ascii="Arial Unicode MS" w:hAnsi="宋体" w:eastAsia="Arial Unicode MS"/>
          <w:color w:val="000000" w:themeColor="text1"/>
          <w:kern w:val="2"/>
          <w:sz w:val="44"/>
          <w:szCs w:val="44"/>
          <w14:textFill>
            <w14:solidFill>
              <w14:schemeClr w14:val="tx1"/>
            </w14:solidFill>
          </w14:textFill>
        </w:rPr>
      </w:pPr>
    </w:p>
    <w:p>
      <w:pPr>
        <w:adjustRightInd w:val="0"/>
        <w:spacing w:line="579" w:lineRule="exact"/>
        <w:rPr>
          <w:rFonts w:ascii="黑体" w:hAnsi="宋体" w:eastAsia="黑体"/>
          <w:color w:val="000000" w:themeColor="text1"/>
          <w:kern w:val="2"/>
          <w:szCs w:val="30"/>
          <w14:textFill>
            <w14:solidFill>
              <w14:schemeClr w14:val="tx1"/>
            </w14:solidFill>
          </w14:textFill>
        </w:rPr>
      </w:pPr>
    </w:p>
    <w:p>
      <w:pPr>
        <w:adjustRightInd w:val="0"/>
        <w:spacing w:line="579" w:lineRule="exact"/>
        <w:rPr>
          <w:rFonts w:ascii="黑体" w:hAnsi="宋体" w:eastAsia="黑体"/>
          <w:color w:val="000000" w:themeColor="text1"/>
          <w:kern w:val="2"/>
          <w:szCs w:val="30"/>
          <w14:textFill>
            <w14:solidFill>
              <w14:schemeClr w14:val="tx1"/>
            </w14:solidFill>
          </w14:textFill>
        </w:rPr>
      </w:pPr>
    </w:p>
    <w:p>
      <w:pPr>
        <w:adjustRightInd w:val="0"/>
        <w:spacing w:line="579" w:lineRule="exact"/>
        <w:ind w:firstLine="654" w:firstLineChars="200"/>
        <w:rPr>
          <w:rFonts w:ascii="黑体" w:hAnsi="宋体" w:eastAsia="黑体"/>
          <w:color w:val="000000" w:themeColor="text1"/>
          <w:spacing w:val="6"/>
          <w:szCs w:val="30"/>
          <w14:textFill>
            <w14:solidFill>
              <w14:schemeClr w14:val="tx1"/>
            </w14:solidFill>
          </w14:textFill>
        </w:rPr>
      </w:pPr>
      <w:r>
        <w:rPr>
          <w:rFonts w:hint="eastAsia" w:ascii="黑体" w:hAnsi="宋体" w:eastAsia="黑体"/>
          <w:color w:val="000000" w:themeColor="text1"/>
          <w:spacing w:val="6"/>
          <w:szCs w:val="30"/>
          <w14:textFill>
            <w14:solidFill>
              <w14:schemeClr w14:val="tx1"/>
            </w14:solidFill>
          </w14:textFill>
        </w:rPr>
        <w:t>委托单位名称：</w:t>
      </w:r>
      <w:r>
        <w:rPr>
          <w:rFonts w:hint="eastAsia" w:ascii="黑体" w:hAnsi="宋体" w:eastAsia="黑体"/>
          <w:color w:val="000000" w:themeColor="text1"/>
          <w:spacing w:val="6"/>
          <w:szCs w:val="30"/>
          <w:lang w:val="en-US" w:eastAsia="zh-CN"/>
          <w14:textFill>
            <w14:solidFill>
              <w14:schemeClr w14:val="tx1"/>
            </w14:solidFill>
          </w14:textFill>
        </w:rPr>
        <w:t>盈江</w:t>
      </w:r>
      <w:r>
        <w:rPr>
          <w:rFonts w:hint="eastAsia" w:ascii="黑体" w:hAnsi="宋体" w:eastAsia="黑体"/>
          <w:color w:val="000000" w:themeColor="text1"/>
          <w:spacing w:val="6"/>
          <w:szCs w:val="30"/>
          <w14:textFill>
            <w14:solidFill>
              <w14:schemeClr w14:val="tx1"/>
            </w14:solidFill>
          </w14:textFill>
        </w:rPr>
        <w:t>县财政局（章）</w:t>
      </w:r>
    </w:p>
    <w:p>
      <w:pPr>
        <w:adjustRightInd w:val="0"/>
        <w:spacing w:line="579" w:lineRule="exact"/>
        <w:rPr>
          <w:rFonts w:ascii="黑体" w:hAnsi="宋体" w:eastAsia="黑体"/>
          <w:color w:val="000000" w:themeColor="text1"/>
          <w:spacing w:val="6"/>
          <w:szCs w:val="30"/>
          <w14:textFill>
            <w14:solidFill>
              <w14:schemeClr w14:val="tx1"/>
            </w14:solidFill>
          </w14:textFill>
        </w:rPr>
      </w:pPr>
    </w:p>
    <w:p>
      <w:pPr>
        <w:adjustRightInd w:val="0"/>
        <w:spacing w:line="579" w:lineRule="exact"/>
        <w:rPr>
          <w:rFonts w:ascii="黑体" w:hAnsi="宋体" w:eastAsia="黑体"/>
          <w:color w:val="000000" w:themeColor="text1"/>
          <w:spacing w:val="6"/>
          <w:szCs w:val="30"/>
          <w14:textFill>
            <w14:solidFill>
              <w14:schemeClr w14:val="tx1"/>
            </w14:solidFill>
          </w14:textFill>
        </w:rPr>
      </w:pPr>
    </w:p>
    <w:p>
      <w:pPr>
        <w:spacing w:line="579" w:lineRule="exact"/>
        <w:ind w:firstLine="654" w:firstLineChars="200"/>
        <w:rPr>
          <w:rFonts w:eastAsia="黑体"/>
          <w:color w:val="000000" w:themeColor="text1"/>
          <w:kern w:val="2"/>
          <w:szCs w:val="30"/>
          <w14:textFill>
            <w14:solidFill>
              <w14:schemeClr w14:val="tx1"/>
            </w14:solidFill>
          </w14:textFill>
        </w:rPr>
      </w:pPr>
      <w:r>
        <w:rPr>
          <w:rFonts w:hint="eastAsia" w:ascii="黑体" w:hAnsi="宋体" w:eastAsia="黑体"/>
          <w:color w:val="000000" w:themeColor="text1"/>
          <w:spacing w:val="6"/>
          <w:szCs w:val="30"/>
          <w14:textFill>
            <w14:solidFill>
              <w14:schemeClr w14:val="tx1"/>
            </w14:solidFill>
          </w14:textFill>
        </w:rPr>
        <w:t>评审机构名称：</w:t>
      </w:r>
      <w:r>
        <w:rPr>
          <w:rFonts w:hint="eastAsia" w:ascii="黑体" w:hAnsi="宋体" w:eastAsia="黑体"/>
          <w:color w:val="000000" w:themeColor="text1"/>
          <w:kern w:val="2"/>
          <w:szCs w:val="30"/>
          <w14:textFill>
            <w14:solidFill>
              <w14:schemeClr w14:val="tx1"/>
            </w14:solidFill>
          </w14:textFill>
        </w:rPr>
        <w:t>云南永盛会计师事务所（章）</w:t>
      </w:r>
    </w:p>
    <w:p>
      <w:pPr>
        <w:spacing w:line="579" w:lineRule="exact"/>
        <w:ind w:left="2380" w:hanging="2373" w:hangingChars="726"/>
        <w:rPr>
          <w:rFonts w:ascii="黑体" w:hAnsi="宋体" w:eastAsia="黑体"/>
          <w:color w:val="000000" w:themeColor="text1"/>
          <w:spacing w:val="6"/>
          <w:szCs w:val="30"/>
          <w14:textFill>
            <w14:solidFill>
              <w14:schemeClr w14:val="tx1"/>
            </w14:solidFill>
          </w14:textFill>
        </w:rPr>
      </w:pPr>
    </w:p>
    <w:p>
      <w:pPr>
        <w:spacing w:line="579" w:lineRule="exact"/>
        <w:rPr>
          <w:rFonts w:ascii="黑体" w:hAnsi="宋体" w:eastAsia="黑体"/>
          <w:color w:val="000000" w:themeColor="text1"/>
          <w:spacing w:val="6"/>
          <w:szCs w:val="30"/>
          <w14:textFill>
            <w14:solidFill>
              <w14:schemeClr w14:val="tx1"/>
            </w14:solidFill>
          </w14:textFill>
        </w:rPr>
      </w:pPr>
    </w:p>
    <w:p>
      <w:pPr>
        <w:autoSpaceDE w:val="0"/>
        <w:autoSpaceDN w:val="0"/>
        <w:adjustRightInd w:val="0"/>
        <w:spacing w:line="579" w:lineRule="exact"/>
        <w:rPr>
          <w:rFonts w:ascii="黑体" w:eastAsia="黑体" w:cs="黑体"/>
          <w:color w:val="000000" w:themeColor="text1"/>
          <w:kern w:val="2"/>
          <w:szCs w:val="30"/>
          <w:lang w:val="zh-CN"/>
          <w14:textFill>
            <w14:solidFill>
              <w14:schemeClr w14:val="tx1"/>
            </w14:solidFill>
          </w14:textFill>
        </w:rPr>
      </w:pPr>
    </w:p>
    <w:p>
      <w:pPr>
        <w:autoSpaceDE w:val="0"/>
        <w:autoSpaceDN w:val="0"/>
        <w:adjustRightInd w:val="0"/>
        <w:spacing w:line="579" w:lineRule="exact"/>
        <w:ind w:firstLine="654" w:firstLineChars="200"/>
        <w:rPr>
          <w:rFonts w:ascii="黑体" w:eastAsia="黑体" w:cs="黑体"/>
          <w:color w:val="000000" w:themeColor="text1"/>
          <w:kern w:val="2"/>
          <w:szCs w:val="30"/>
          <w:lang w:val="zh-CN"/>
          <w14:textFill>
            <w14:solidFill>
              <w14:schemeClr w14:val="tx1"/>
            </w14:solidFill>
          </w14:textFill>
        </w:rPr>
      </w:pPr>
      <w:r>
        <w:rPr>
          <w:rFonts w:hint="eastAsia" w:ascii="黑体" w:hAnsi="宋体" w:eastAsia="黑体"/>
          <w:color w:val="000000" w:themeColor="text1"/>
          <w:spacing w:val="6"/>
          <w:szCs w:val="30"/>
          <w14:textFill>
            <w14:solidFill>
              <w14:schemeClr w14:val="tx1"/>
            </w14:solidFill>
          </w14:textFill>
        </w:rPr>
        <w:t>项目评审起止时间：</w:t>
      </w:r>
      <w:r>
        <w:rPr>
          <w:rFonts w:ascii="黑体" w:hAnsi="黑体" w:eastAsia="黑体"/>
          <w:color w:val="000000" w:themeColor="text1"/>
          <w:kern w:val="2"/>
          <w:szCs w:val="30"/>
          <w14:textFill>
            <w14:solidFill>
              <w14:schemeClr w14:val="tx1"/>
            </w14:solidFill>
          </w14:textFill>
        </w:rPr>
        <w:t>2020年</w:t>
      </w:r>
      <w:r>
        <w:rPr>
          <w:rFonts w:hint="eastAsia" w:ascii="黑体" w:hAnsi="黑体" w:eastAsia="黑体"/>
          <w:color w:val="000000" w:themeColor="text1"/>
          <w:kern w:val="2"/>
          <w:szCs w:val="30"/>
          <w:lang w:val="en-US" w:eastAsia="zh-CN"/>
          <w14:textFill>
            <w14:solidFill>
              <w14:schemeClr w14:val="tx1"/>
            </w14:solidFill>
          </w14:textFill>
        </w:rPr>
        <w:t>10</w:t>
      </w:r>
      <w:r>
        <w:rPr>
          <w:rFonts w:ascii="黑体" w:hAnsi="黑体" w:eastAsia="黑体"/>
          <w:color w:val="000000" w:themeColor="text1"/>
          <w:kern w:val="2"/>
          <w:szCs w:val="30"/>
          <w14:textFill>
            <w14:solidFill>
              <w14:schemeClr w14:val="tx1"/>
            </w14:solidFill>
          </w14:textFill>
        </w:rPr>
        <w:t>月2</w:t>
      </w:r>
      <w:r>
        <w:rPr>
          <w:rFonts w:hint="eastAsia" w:ascii="黑体" w:hAnsi="黑体" w:eastAsia="黑体"/>
          <w:color w:val="000000" w:themeColor="text1"/>
          <w:kern w:val="2"/>
          <w:szCs w:val="30"/>
          <w:lang w:val="en-US" w:eastAsia="zh-CN"/>
          <w14:textFill>
            <w14:solidFill>
              <w14:schemeClr w14:val="tx1"/>
            </w14:solidFill>
          </w14:textFill>
        </w:rPr>
        <w:t>6</w:t>
      </w:r>
      <w:r>
        <w:rPr>
          <w:rFonts w:ascii="黑体" w:hAnsi="黑体" w:eastAsia="黑体"/>
          <w:color w:val="000000" w:themeColor="text1"/>
          <w:kern w:val="2"/>
          <w:szCs w:val="30"/>
          <w14:textFill>
            <w14:solidFill>
              <w14:schemeClr w14:val="tx1"/>
            </w14:solidFill>
          </w14:textFill>
        </w:rPr>
        <w:t>日</w:t>
      </w:r>
      <w:r>
        <w:rPr>
          <w:rFonts w:hint="eastAsia" w:ascii="黑体" w:hAnsi="宋体" w:eastAsia="黑体"/>
          <w:color w:val="000000" w:themeColor="text1"/>
          <w:spacing w:val="6"/>
          <w:szCs w:val="30"/>
          <w14:textFill>
            <w14:solidFill>
              <w14:schemeClr w14:val="tx1"/>
            </w14:solidFill>
          </w14:textFill>
        </w:rPr>
        <w:t>至</w:t>
      </w:r>
      <w:r>
        <w:rPr>
          <w:rFonts w:ascii="黑体" w:hAnsi="黑体" w:eastAsia="黑体"/>
          <w:color w:val="000000" w:themeColor="text1"/>
          <w:kern w:val="2"/>
          <w:szCs w:val="30"/>
          <w14:textFill>
            <w14:solidFill>
              <w14:schemeClr w14:val="tx1"/>
            </w14:solidFill>
          </w14:textFill>
        </w:rPr>
        <w:t>2020年</w:t>
      </w:r>
      <w:r>
        <w:rPr>
          <w:rFonts w:hint="eastAsia" w:ascii="黑体" w:hAnsi="黑体" w:eastAsia="黑体"/>
          <w:color w:val="000000" w:themeColor="text1"/>
          <w:kern w:val="2"/>
          <w:szCs w:val="30"/>
          <w:lang w:val="en-US" w:eastAsia="zh-CN"/>
          <w14:textFill>
            <w14:solidFill>
              <w14:schemeClr w14:val="tx1"/>
            </w14:solidFill>
          </w14:textFill>
        </w:rPr>
        <w:t>11</w:t>
      </w:r>
      <w:r>
        <w:rPr>
          <w:rFonts w:ascii="黑体" w:hAnsi="黑体" w:eastAsia="黑体"/>
          <w:color w:val="000000" w:themeColor="text1"/>
          <w:kern w:val="2"/>
          <w:szCs w:val="30"/>
          <w14:textFill>
            <w14:solidFill>
              <w14:schemeClr w14:val="tx1"/>
            </w14:solidFill>
          </w14:textFill>
        </w:rPr>
        <w:t>月</w:t>
      </w:r>
      <w:r>
        <w:rPr>
          <w:rFonts w:hint="eastAsia" w:ascii="黑体" w:hAnsi="黑体" w:eastAsia="黑体"/>
          <w:color w:val="000000" w:themeColor="text1"/>
          <w:kern w:val="2"/>
          <w:szCs w:val="30"/>
          <w:lang w:val="en-US" w:eastAsia="zh-CN"/>
          <w14:textFill>
            <w14:solidFill>
              <w14:schemeClr w14:val="tx1"/>
            </w14:solidFill>
          </w14:textFill>
        </w:rPr>
        <w:t>19</w:t>
      </w:r>
      <w:r>
        <w:rPr>
          <w:rFonts w:ascii="黑体" w:hAnsi="黑体" w:eastAsia="黑体"/>
          <w:color w:val="000000" w:themeColor="text1"/>
          <w:kern w:val="2"/>
          <w:szCs w:val="30"/>
          <w14:textFill>
            <w14:solidFill>
              <w14:schemeClr w14:val="tx1"/>
            </w14:solidFill>
          </w14:textFill>
        </w:rPr>
        <w:t>日</w:t>
      </w:r>
    </w:p>
    <w:p>
      <w:pPr>
        <w:autoSpaceDE w:val="0"/>
        <w:autoSpaceDN w:val="0"/>
        <w:adjustRightInd w:val="0"/>
        <w:spacing w:line="579" w:lineRule="exact"/>
        <w:ind w:firstLine="654" w:firstLineChars="200"/>
        <w:rPr>
          <w:rFonts w:ascii="黑体" w:eastAsia="黑体" w:cs="黑体"/>
          <w:color w:val="000000" w:themeColor="text1"/>
          <w:kern w:val="2"/>
          <w:szCs w:val="30"/>
          <w:lang w:val="zh-CN"/>
          <w14:textFill>
            <w14:solidFill>
              <w14:schemeClr w14:val="tx1"/>
            </w14:solidFill>
          </w14:textFill>
        </w:rPr>
      </w:pPr>
      <w:r>
        <w:rPr>
          <w:rFonts w:hint="eastAsia" w:ascii="黑体" w:hAnsi="宋体" w:eastAsia="黑体"/>
          <w:color w:val="000000" w:themeColor="text1"/>
          <w:spacing w:val="6"/>
          <w:szCs w:val="30"/>
          <w14:textFill>
            <w14:solidFill>
              <w14:schemeClr w14:val="tx1"/>
            </w14:solidFill>
          </w14:textFill>
        </w:rPr>
        <w:t>评审报告出具时间：</w:t>
      </w:r>
      <w:r>
        <w:rPr>
          <w:rFonts w:hint="eastAsia" w:ascii="黑体" w:hAnsi="黑体" w:eastAsia="黑体"/>
          <w:color w:val="000000" w:themeColor="text1"/>
          <w:kern w:val="2"/>
          <w:szCs w:val="30"/>
          <w14:textFill>
            <w14:solidFill>
              <w14:schemeClr w14:val="tx1"/>
            </w14:solidFill>
          </w14:textFill>
        </w:rPr>
        <w:t>20</w:t>
      </w:r>
      <w:r>
        <w:rPr>
          <w:rFonts w:ascii="黑体" w:hAnsi="黑体" w:eastAsia="黑体"/>
          <w:color w:val="000000" w:themeColor="text1"/>
          <w:kern w:val="2"/>
          <w:szCs w:val="30"/>
          <w14:textFill>
            <w14:solidFill>
              <w14:schemeClr w14:val="tx1"/>
            </w14:solidFill>
          </w14:textFill>
        </w:rPr>
        <w:t>20年</w:t>
      </w:r>
      <w:r>
        <w:rPr>
          <w:rFonts w:hint="eastAsia" w:ascii="黑体" w:hAnsi="黑体" w:eastAsia="黑体"/>
          <w:color w:val="000000" w:themeColor="text1"/>
          <w:kern w:val="2"/>
          <w:szCs w:val="30"/>
          <w:lang w:val="en-US" w:eastAsia="zh-CN"/>
          <w14:textFill>
            <w14:solidFill>
              <w14:schemeClr w14:val="tx1"/>
            </w14:solidFill>
          </w14:textFill>
        </w:rPr>
        <w:t>12</w:t>
      </w:r>
      <w:r>
        <w:rPr>
          <w:rFonts w:ascii="黑体" w:hAnsi="黑体" w:eastAsia="黑体"/>
          <w:color w:val="000000" w:themeColor="text1"/>
          <w:kern w:val="2"/>
          <w:szCs w:val="30"/>
          <w14:textFill>
            <w14:solidFill>
              <w14:schemeClr w14:val="tx1"/>
            </w14:solidFill>
          </w14:textFill>
        </w:rPr>
        <w:t>月</w:t>
      </w:r>
      <w:r>
        <w:rPr>
          <w:rFonts w:hint="eastAsia" w:ascii="黑体" w:hAnsi="黑体" w:eastAsia="黑体"/>
          <w:color w:val="000000" w:themeColor="text1"/>
          <w:kern w:val="2"/>
          <w:szCs w:val="30"/>
          <w:lang w:val="en-US" w:eastAsia="zh-CN"/>
          <w14:textFill>
            <w14:solidFill>
              <w14:schemeClr w14:val="tx1"/>
            </w14:solidFill>
          </w14:textFill>
        </w:rPr>
        <w:t>11</w:t>
      </w:r>
      <w:r>
        <w:rPr>
          <w:rFonts w:ascii="黑体" w:hAnsi="黑体" w:eastAsia="黑体"/>
          <w:color w:val="000000" w:themeColor="text1"/>
          <w:kern w:val="2"/>
          <w:szCs w:val="30"/>
          <w14:textFill>
            <w14:solidFill>
              <w14:schemeClr w14:val="tx1"/>
            </w14:solidFill>
          </w14:textFill>
        </w:rPr>
        <w:t>日</w:t>
      </w:r>
    </w:p>
    <w:p>
      <w:pPr>
        <w:autoSpaceDE w:val="0"/>
        <w:autoSpaceDN w:val="0"/>
        <w:adjustRightInd w:val="0"/>
        <w:spacing w:line="579" w:lineRule="exact"/>
        <w:rPr>
          <w:rFonts w:asciiTheme="minorEastAsia" w:hAnsiTheme="minorEastAsia" w:eastAsiaTheme="minorEastAsia"/>
          <w:b/>
          <w:color w:val="000000" w:themeColor="text1"/>
          <w:kern w:val="0"/>
          <w:sz w:val="36"/>
          <w:szCs w:val="36"/>
          <w:lang w:val="zh-CN"/>
          <w14:textFill>
            <w14:solidFill>
              <w14:schemeClr w14:val="tx1"/>
            </w14:solidFill>
          </w14:textFill>
        </w:rPr>
      </w:pPr>
    </w:p>
    <w:p>
      <w:pPr>
        <w:widowControl/>
        <w:spacing w:line="579" w:lineRule="exact"/>
        <w:jc w:val="center"/>
        <w:rPr>
          <w:rFonts w:asciiTheme="minorEastAsia" w:hAnsiTheme="minorEastAsia" w:eastAsiaTheme="minorEastAsia"/>
          <w:b/>
          <w:color w:val="000000" w:themeColor="text1"/>
          <w:kern w:val="0"/>
          <w:sz w:val="36"/>
          <w:szCs w:val="36"/>
          <w:lang w:val="zh-CN"/>
          <w14:textFill>
            <w14:solidFill>
              <w14:schemeClr w14:val="tx1"/>
            </w14:solidFill>
          </w14:textFill>
        </w:rPr>
        <w:sectPr>
          <w:footerReference r:id="rId3" w:type="default"/>
          <w:footerReference r:id="rId4" w:type="even"/>
          <w:pgSz w:w="11906" w:h="16838"/>
          <w:pgMar w:top="2098" w:right="1474" w:bottom="1985" w:left="1588" w:header="851" w:footer="1474" w:gutter="0"/>
          <w:pgNumType w:start="1"/>
          <w:cols w:space="425" w:num="1"/>
          <w:docGrid w:type="linesAndChars" w:linePitch="579" w:charSpace="3247"/>
        </w:sectPr>
      </w:pPr>
    </w:p>
    <w:p>
      <w:pPr>
        <w:widowControl/>
        <w:spacing w:line="400" w:lineRule="exact"/>
        <w:jc w:val="center"/>
        <w:rPr>
          <w:rFonts w:ascii="宋体" w:hAnsi="宋体" w:eastAsia="宋体"/>
          <w:b/>
          <w:sz w:val="36"/>
          <w:szCs w:val="36"/>
          <w:lang w:val="zh-CN"/>
        </w:rPr>
      </w:pPr>
      <w:r>
        <w:rPr>
          <w:rFonts w:hint="eastAsia" w:ascii="宋体" w:hAnsi="宋体" w:eastAsia="宋体"/>
          <w:b/>
          <w:sz w:val="36"/>
          <w:szCs w:val="36"/>
          <w:lang w:val="zh-CN"/>
        </w:rPr>
        <w:t>目  录</w:t>
      </w:r>
    </w:p>
    <w:p>
      <w:pPr>
        <w:widowControl/>
        <w:spacing w:line="400" w:lineRule="exact"/>
        <w:jc w:val="center"/>
        <w:rPr>
          <w:rFonts w:ascii="宋体" w:hAnsi="宋体" w:eastAsia="宋体"/>
          <w:b/>
          <w:sz w:val="36"/>
          <w:szCs w:val="36"/>
          <w:lang w:val="zh-CN"/>
        </w:rPr>
      </w:pPr>
    </w:p>
    <w:sdt>
      <w:sdtPr>
        <w:rPr>
          <w:rFonts w:ascii="仿宋_GB2312" w:hAnsi="Times New Roman" w:eastAsia="仿宋_GB2312" w:cs="Times New Roman"/>
          <w:b/>
          <w:bCs/>
          <w:kern w:val="30"/>
          <w:sz w:val="24"/>
          <w:szCs w:val="24"/>
          <w:lang w:val="zh-CN" w:eastAsia="zh-CN" w:bidi="ar-SA"/>
        </w:rPr>
        <w:id w:val="-201706083"/>
      </w:sdtPr>
      <w:sdtEndPr>
        <w:rPr>
          <w:rFonts w:hint="eastAsia" w:ascii="Calibri" w:hAnsi="Calibri" w:eastAsia="宋体" w:cs="Times New Roman"/>
          <w:b w:val="0"/>
          <w:bCs w:val="0"/>
          <w:kern w:val="0"/>
          <w:sz w:val="22"/>
          <w:szCs w:val="22"/>
          <w:lang w:val="en-US" w:eastAsia="zh-CN" w:bidi="ar-SA"/>
        </w:rPr>
      </w:sdtEndPr>
      <w:sdtContent>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宋体" w:hAnsi="宋体" w:eastAsia="宋体" w:cs="Times New Roman"/>
              <w:kern w:val="0"/>
              <w:sz w:val="28"/>
              <w:szCs w:val="28"/>
              <w:lang w:val="en-US" w:eastAsia="zh-CN" w:bidi="ar-SA"/>
            </w:rPr>
            <w:fldChar w:fldCharType="begin"/>
          </w:r>
          <w:r>
            <w:rPr>
              <w:rFonts w:ascii="宋体" w:hAnsi="宋体" w:eastAsia="宋体" w:cs="Times New Roman"/>
              <w:kern w:val="0"/>
              <w:sz w:val="28"/>
              <w:szCs w:val="28"/>
              <w:lang w:val="en-US" w:eastAsia="zh-CN" w:bidi="ar-SA"/>
            </w:rPr>
            <w:instrText xml:space="preserve"> TOC \o "1-3" \h \z \u </w:instrText>
          </w:r>
          <w:r>
            <w:rPr>
              <w:rFonts w:ascii="宋体" w:hAnsi="宋体" w:eastAsia="宋体" w:cs="Times New Roman"/>
              <w:kern w:val="0"/>
              <w:sz w:val="28"/>
              <w:szCs w:val="28"/>
              <w:lang w:val="en-US" w:eastAsia="zh-CN" w:bidi="ar-SA"/>
            </w:rPr>
            <w:fldChar w:fldCharType="separate"/>
          </w: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"_Toc529348764"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一、基本情况</w:t>
          </w:r>
          <w:r>
            <w:rPr>
              <w:rFonts w:ascii="宋体" w:hAnsi="宋体" w:eastAsia="宋体" w:cs="Times New Roman"/>
              <w:color w:val="auto"/>
              <w:kern w:val="0"/>
              <w:sz w:val="28"/>
              <w:szCs w:val="28"/>
              <w:u w:val="none"/>
              <w:lang w:val="en-US" w:eastAsia="zh-CN" w:bidi="ar-SA"/>
            </w:rPr>
            <w:tab/>
          </w:r>
          <w:r>
            <w:rPr>
              <w:rFonts w:ascii="宋体" w:hAnsi="宋体" w:eastAsia="宋体" w:cs="Times New Roman"/>
              <w:color w:val="auto"/>
              <w:kern w:val="0"/>
              <w:sz w:val="28"/>
              <w:szCs w:val="28"/>
              <w:u w:val="none"/>
              <w:lang w:val="en-US" w:eastAsia="zh-CN" w:bidi="ar-SA"/>
            </w:rPr>
            <w:fldChar w:fldCharType="begin"/>
          </w:r>
          <w:r>
            <w:rPr>
              <w:rFonts w:ascii="宋体" w:hAnsi="宋体" w:eastAsia="宋体" w:cs="Times New Roman"/>
              <w:color w:val="auto"/>
              <w:kern w:val="0"/>
              <w:sz w:val="28"/>
              <w:szCs w:val="28"/>
              <w:u w:val="none"/>
              <w:lang w:val="en-US" w:eastAsia="zh-CN" w:bidi="ar-SA"/>
            </w:rPr>
            <w:instrText xml:space="preserve"> PAGEREF _Toc529348764 \h </w:instrText>
          </w:r>
          <w:r>
            <w:rPr>
              <w:rFonts w:ascii="宋体" w:hAnsi="宋体" w:eastAsia="宋体" w:cs="Times New Roman"/>
              <w:color w:val="auto"/>
              <w:kern w:val="0"/>
              <w:sz w:val="28"/>
              <w:szCs w:val="28"/>
              <w:u w:val="none"/>
              <w:lang w:val="en-US" w:eastAsia="zh-CN" w:bidi="ar-SA"/>
            </w:rPr>
            <w:fldChar w:fldCharType="separate"/>
          </w:r>
          <w:r>
            <w:rPr>
              <w:rFonts w:ascii="宋体" w:hAnsi="宋体" w:eastAsia="宋体" w:cs="Times New Roman"/>
              <w:color w:val="auto"/>
              <w:kern w:val="0"/>
              <w:sz w:val="28"/>
              <w:szCs w:val="28"/>
              <w:u w:val="none"/>
              <w:lang w:val="en-US" w:eastAsia="zh-CN" w:bidi="ar-SA"/>
            </w:rPr>
            <w:t>1</w:t>
          </w:r>
          <w:r>
            <w:rPr>
              <w:rFonts w:ascii="宋体" w:hAnsi="宋体" w:eastAsia="宋体" w:cs="Times New Roman"/>
              <w:color w:val="auto"/>
              <w:kern w:val="0"/>
              <w:sz w:val="28"/>
              <w:szCs w:val="28"/>
              <w:u w:val="none"/>
              <w:lang w:val="en-US" w:eastAsia="zh-CN" w:bidi="ar-SA"/>
            </w:rPr>
            <w:fldChar w:fldCharType="end"/>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"_Toc529348765"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（一）项目概况</w:t>
          </w:r>
          <w:r>
            <w:rPr>
              <w:rFonts w:ascii="宋体" w:hAnsi="宋体" w:eastAsia="宋体" w:cs="Times New Roman"/>
              <w:color w:val="auto"/>
              <w:kern w:val="0"/>
              <w:sz w:val="28"/>
              <w:szCs w:val="28"/>
              <w:u w:val="none"/>
              <w:lang w:val="en-US" w:eastAsia="zh-CN" w:bidi="ar-SA"/>
            </w:rPr>
            <w:tab/>
          </w:r>
          <w:r>
            <w:rPr>
              <w:rFonts w:ascii="宋体" w:hAnsi="宋体" w:eastAsia="宋体" w:cs="Times New Roman"/>
              <w:color w:val="auto"/>
              <w:kern w:val="0"/>
              <w:sz w:val="28"/>
              <w:szCs w:val="28"/>
              <w:u w:val="none"/>
              <w:lang w:val="en-US" w:eastAsia="zh-CN" w:bidi="ar-SA"/>
            </w:rPr>
            <w:fldChar w:fldCharType="begin"/>
          </w:r>
          <w:r>
            <w:rPr>
              <w:rFonts w:ascii="宋体" w:hAnsi="宋体" w:eastAsia="宋体" w:cs="Times New Roman"/>
              <w:color w:val="auto"/>
              <w:kern w:val="0"/>
              <w:sz w:val="28"/>
              <w:szCs w:val="28"/>
              <w:u w:val="none"/>
              <w:lang w:val="en-US" w:eastAsia="zh-CN" w:bidi="ar-SA"/>
            </w:rPr>
            <w:instrText xml:space="preserve"> PAGEREF _Toc529348765 \h </w:instrText>
          </w:r>
          <w:r>
            <w:rPr>
              <w:rFonts w:ascii="宋体" w:hAnsi="宋体" w:eastAsia="宋体" w:cs="Times New Roman"/>
              <w:color w:val="auto"/>
              <w:kern w:val="0"/>
              <w:sz w:val="28"/>
              <w:szCs w:val="28"/>
              <w:u w:val="none"/>
              <w:lang w:val="en-US" w:eastAsia="zh-CN" w:bidi="ar-SA"/>
            </w:rPr>
            <w:fldChar w:fldCharType="separate"/>
          </w:r>
          <w:r>
            <w:rPr>
              <w:rFonts w:ascii="宋体" w:hAnsi="宋体" w:eastAsia="宋体" w:cs="Times New Roman"/>
              <w:color w:val="auto"/>
              <w:kern w:val="0"/>
              <w:sz w:val="28"/>
              <w:szCs w:val="28"/>
              <w:u w:val="none"/>
              <w:lang w:val="en-US" w:eastAsia="zh-CN" w:bidi="ar-SA"/>
            </w:rPr>
            <w:t>1</w:t>
          </w:r>
          <w:r>
            <w:rPr>
              <w:rFonts w:ascii="宋体" w:hAnsi="宋体" w:eastAsia="宋体" w:cs="Times New Roman"/>
              <w:color w:val="auto"/>
              <w:kern w:val="0"/>
              <w:sz w:val="28"/>
              <w:szCs w:val="28"/>
              <w:u w:val="none"/>
              <w:lang w:val="en-US" w:eastAsia="zh-CN" w:bidi="ar-SA"/>
            </w:rPr>
            <w:fldChar w:fldCharType="end"/>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"_Toc529348766"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（二）项目资金安排及使用情况</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2</w:t>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"_Toc529348767"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（三）项目实施内容</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fldChar w:fldCharType="end"/>
          </w:r>
          <w:r>
            <w:rPr>
              <w:rFonts w:hint="eastAsia" w:ascii="宋体" w:hAnsi="宋体" w:eastAsia="宋体" w:cs="Times New Roman"/>
              <w:color w:val="auto"/>
              <w:kern w:val="0"/>
              <w:sz w:val="28"/>
              <w:szCs w:val="28"/>
              <w:u w:val="none"/>
              <w:lang w:val="en-US" w:eastAsia="zh-CN" w:bidi="ar-SA"/>
            </w:rPr>
            <w:t>2</w:t>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"_Toc529348768"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（四）项目绩效目标设立情况</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3</w:t>
          </w:r>
          <w:r>
            <w:rPr>
              <w:rFonts w:hint="eastAsia"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"_Toc529348769"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（五）组织管理情况</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6</w:t>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"_Toc529348770"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二、绩效自评情况</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7</w:t>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"_Toc529348771"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（一）绩效自评概述</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7</w:t>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"_Toc529348772"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（二）绩效自评结论</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7</w:t>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"_Toc529348773"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三、绩效评价组织情况</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8</w:t>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"_Toc529348774"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（一）绩效评价依据</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8</w:t>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"_Toc529348775"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（二）绩效评价方法</w:t>
          </w:r>
          <w:r>
            <w:rPr>
              <w:rFonts w:ascii="宋体" w:hAnsi="宋体" w:eastAsia="宋体" w:cs="Times New Roman"/>
              <w:color w:val="auto"/>
              <w:kern w:val="0"/>
              <w:sz w:val="28"/>
              <w:szCs w:val="28"/>
              <w:u w:val="none"/>
              <w:lang w:val="en-US" w:eastAsia="zh-CN" w:bidi="ar-SA"/>
            </w:rPr>
            <w:tab/>
          </w:r>
          <w:r>
            <w:rPr>
              <w:rFonts w:ascii="宋体" w:hAnsi="宋体" w:eastAsia="宋体" w:cs="Times New Roman"/>
              <w:color w:val="auto"/>
              <w:kern w:val="0"/>
              <w:sz w:val="28"/>
              <w:szCs w:val="28"/>
              <w:u w:val="none"/>
              <w:lang w:val="en-US" w:eastAsia="zh-CN" w:bidi="ar-SA"/>
            </w:rPr>
            <w:fldChar w:fldCharType="end"/>
          </w:r>
          <w:r>
            <w:rPr>
              <w:rFonts w:hint="eastAsia" w:ascii="宋体" w:hAnsi="宋体" w:eastAsia="宋体" w:cs="Times New Roman"/>
              <w:color w:val="auto"/>
              <w:kern w:val="0"/>
              <w:sz w:val="28"/>
              <w:szCs w:val="28"/>
              <w:u w:val="none"/>
              <w:lang w:val="en-US" w:eastAsia="zh-CN" w:bidi="ar-SA"/>
            </w:rPr>
            <w:t>8</w:t>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"_Toc529348776"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（三）绩效评价指标体系</w:t>
          </w:r>
          <w:r>
            <w:rPr>
              <w:rFonts w:ascii="宋体" w:hAnsi="宋体" w:eastAsia="宋体" w:cs="Times New Roman"/>
              <w:color w:val="auto"/>
              <w:kern w:val="0"/>
              <w:sz w:val="28"/>
              <w:szCs w:val="28"/>
              <w:u w:val="none"/>
              <w:lang w:val="en-US" w:eastAsia="zh-CN" w:bidi="ar-SA"/>
            </w:rPr>
            <w:tab/>
          </w:r>
          <w:r>
            <w:rPr>
              <w:rFonts w:ascii="宋体" w:hAnsi="宋体" w:eastAsia="宋体" w:cs="Times New Roman"/>
              <w:color w:val="auto"/>
              <w:kern w:val="0"/>
              <w:sz w:val="28"/>
              <w:szCs w:val="28"/>
              <w:u w:val="none"/>
              <w:lang w:val="en-US" w:eastAsia="zh-CN" w:bidi="ar-SA"/>
            </w:rPr>
            <w:fldChar w:fldCharType="begin"/>
          </w:r>
          <w:r>
            <w:rPr>
              <w:rFonts w:ascii="宋体" w:hAnsi="宋体" w:eastAsia="宋体" w:cs="Times New Roman"/>
              <w:color w:val="auto"/>
              <w:kern w:val="0"/>
              <w:sz w:val="28"/>
              <w:szCs w:val="28"/>
              <w:u w:val="none"/>
              <w:lang w:val="en-US" w:eastAsia="zh-CN" w:bidi="ar-SA"/>
            </w:rPr>
            <w:instrText xml:space="preserve"> PAGEREF _Toc529348776 \h </w:instrText>
          </w:r>
          <w:r>
            <w:rPr>
              <w:rFonts w:ascii="宋体" w:hAnsi="宋体" w:eastAsia="宋体" w:cs="Times New Roman"/>
              <w:color w:val="auto"/>
              <w:kern w:val="0"/>
              <w:sz w:val="28"/>
              <w:szCs w:val="28"/>
              <w:u w:val="none"/>
              <w:lang w:val="en-US" w:eastAsia="zh-CN" w:bidi="ar-SA"/>
            </w:rPr>
            <w:fldChar w:fldCharType="separate"/>
          </w:r>
          <w:r>
            <w:rPr>
              <w:rFonts w:ascii="宋体" w:hAnsi="宋体" w:eastAsia="宋体" w:cs="Times New Roman"/>
              <w:color w:val="auto"/>
              <w:kern w:val="0"/>
              <w:sz w:val="28"/>
              <w:szCs w:val="28"/>
              <w:u w:val="none"/>
              <w:lang w:val="en-US" w:eastAsia="zh-CN" w:bidi="ar-SA"/>
            </w:rPr>
            <w:t>1</w:t>
          </w:r>
          <w:r>
            <w:rPr>
              <w:rFonts w:hint="eastAsia" w:ascii="宋体" w:hAnsi="宋体" w:eastAsia="宋体" w:cs="Times New Roman"/>
              <w:color w:val="auto"/>
              <w:kern w:val="0"/>
              <w:sz w:val="28"/>
              <w:szCs w:val="28"/>
              <w:u w:val="none"/>
              <w:lang w:val="en-US" w:eastAsia="zh-CN" w:bidi="ar-SA"/>
            </w:rPr>
            <w:t>0</w:t>
          </w:r>
          <w:r>
            <w:rPr>
              <w:rFonts w:ascii="宋体" w:hAnsi="宋体" w:eastAsia="宋体" w:cs="Times New Roman"/>
              <w:color w:val="auto"/>
              <w:kern w:val="0"/>
              <w:sz w:val="28"/>
              <w:szCs w:val="28"/>
              <w:u w:val="none"/>
              <w:lang w:val="en-US" w:eastAsia="zh-CN" w:bidi="ar-SA"/>
            </w:rPr>
            <w:fldChar w:fldCharType="end"/>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hint="default" w:ascii="Calibri" w:hAnsi="Calibri" w:eastAsia="宋体" w:cs="Times New Roman"/>
              <w:kern w:val="0"/>
              <w:sz w:val="22"/>
              <w:szCs w:val="22"/>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"_Toc529348776"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（四）绩效评价检查范围</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1</w:t>
          </w:r>
          <w:r>
            <w:rPr>
              <w:rFonts w:ascii="宋体" w:hAnsi="宋体" w:eastAsia="宋体" w:cs="Times New Roman"/>
              <w:color w:val="auto"/>
              <w:kern w:val="0"/>
              <w:sz w:val="28"/>
              <w:szCs w:val="28"/>
              <w:u w:val="none"/>
              <w:lang w:val="en-US" w:eastAsia="zh-CN" w:bidi="ar-SA"/>
            </w:rPr>
            <w:fldChar w:fldCharType="end"/>
          </w:r>
          <w:r>
            <w:rPr>
              <w:rFonts w:hint="eastAsia" w:ascii="宋体" w:hAnsi="宋体" w:eastAsia="宋体" w:cs="Times New Roman"/>
              <w:color w:val="auto"/>
              <w:kern w:val="0"/>
              <w:sz w:val="28"/>
              <w:szCs w:val="28"/>
              <w:u w:val="none"/>
              <w:lang w:val="en-US" w:eastAsia="zh-CN" w:bidi="ar-SA"/>
            </w:rPr>
            <w:t>2</w:t>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"_Toc529348777"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（五）绩效评价抽样</w:t>
          </w:r>
          <w:r>
            <w:rPr>
              <w:rFonts w:ascii="宋体" w:hAnsi="宋体" w:eastAsia="宋体" w:cs="Times New Roman"/>
              <w:color w:val="auto"/>
              <w:kern w:val="0"/>
              <w:sz w:val="28"/>
              <w:szCs w:val="28"/>
              <w:u w:val="none"/>
              <w:lang w:val="en-US" w:eastAsia="zh-CN" w:bidi="ar-SA"/>
            </w:rPr>
            <w:tab/>
          </w:r>
          <w:r>
            <w:rPr>
              <w:rFonts w:ascii="宋体" w:hAnsi="宋体" w:eastAsia="宋体" w:cs="Times New Roman"/>
              <w:color w:val="auto"/>
              <w:kern w:val="0"/>
              <w:sz w:val="28"/>
              <w:szCs w:val="28"/>
              <w:u w:val="none"/>
              <w:lang w:val="en-US" w:eastAsia="zh-CN" w:bidi="ar-SA"/>
            </w:rPr>
            <w:fldChar w:fldCharType="begin"/>
          </w:r>
          <w:r>
            <w:rPr>
              <w:rFonts w:ascii="宋体" w:hAnsi="宋体" w:eastAsia="宋体" w:cs="Times New Roman"/>
              <w:color w:val="auto"/>
              <w:kern w:val="0"/>
              <w:sz w:val="28"/>
              <w:szCs w:val="28"/>
              <w:u w:val="none"/>
              <w:lang w:val="en-US" w:eastAsia="zh-CN" w:bidi="ar-SA"/>
            </w:rPr>
            <w:instrText xml:space="preserve"> PAGEREF _Toc529348777 \h </w:instrText>
          </w:r>
          <w:r>
            <w:rPr>
              <w:rFonts w:ascii="宋体" w:hAnsi="宋体" w:eastAsia="宋体" w:cs="Times New Roman"/>
              <w:color w:val="auto"/>
              <w:kern w:val="0"/>
              <w:sz w:val="28"/>
              <w:szCs w:val="28"/>
              <w:u w:val="none"/>
              <w:lang w:val="en-US" w:eastAsia="zh-CN" w:bidi="ar-SA"/>
            </w:rPr>
            <w:fldChar w:fldCharType="separate"/>
          </w:r>
          <w:r>
            <w:rPr>
              <w:rFonts w:ascii="宋体" w:hAnsi="宋体" w:eastAsia="宋体" w:cs="Times New Roman"/>
              <w:color w:val="auto"/>
              <w:kern w:val="0"/>
              <w:sz w:val="28"/>
              <w:szCs w:val="28"/>
              <w:u w:val="none"/>
              <w:lang w:val="en-US" w:eastAsia="zh-CN" w:bidi="ar-SA"/>
            </w:rPr>
            <w:t>1</w:t>
          </w:r>
          <w:r>
            <w:rPr>
              <w:rFonts w:hint="eastAsia" w:ascii="宋体" w:hAnsi="宋体" w:eastAsia="宋体" w:cs="Times New Roman"/>
              <w:color w:val="auto"/>
              <w:kern w:val="0"/>
              <w:sz w:val="28"/>
              <w:szCs w:val="28"/>
              <w:u w:val="none"/>
              <w:lang w:val="en-US" w:eastAsia="zh-CN" w:bidi="ar-SA"/>
            </w:rPr>
            <w:t>2</w:t>
          </w:r>
          <w:r>
            <w:rPr>
              <w:rFonts w:ascii="宋体" w:hAnsi="宋体" w:eastAsia="宋体" w:cs="Times New Roman"/>
              <w:color w:val="auto"/>
              <w:kern w:val="0"/>
              <w:sz w:val="28"/>
              <w:szCs w:val="28"/>
              <w:u w:val="none"/>
              <w:lang w:val="en-US" w:eastAsia="zh-CN" w:bidi="ar-SA"/>
            </w:rPr>
            <w:fldChar w:fldCharType="end"/>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"_Toc529348778"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四、绩效评价结论</w:t>
          </w:r>
          <w:r>
            <w:rPr>
              <w:rFonts w:ascii="宋体" w:hAnsi="宋体" w:eastAsia="宋体" w:cs="Times New Roman"/>
              <w:color w:val="auto"/>
              <w:kern w:val="0"/>
              <w:sz w:val="28"/>
              <w:szCs w:val="28"/>
              <w:u w:val="none"/>
              <w:lang w:val="en-US" w:eastAsia="zh-CN" w:bidi="ar-SA"/>
            </w:rPr>
            <w:tab/>
          </w:r>
          <w:r>
            <w:rPr>
              <w:rFonts w:ascii="宋体" w:hAnsi="宋体" w:eastAsia="宋体" w:cs="Times New Roman"/>
              <w:color w:val="auto"/>
              <w:kern w:val="0"/>
              <w:sz w:val="28"/>
              <w:szCs w:val="28"/>
              <w:u w:val="none"/>
              <w:lang w:val="en-US" w:eastAsia="zh-CN" w:bidi="ar-SA"/>
            </w:rPr>
            <w:fldChar w:fldCharType="begin"/>
          </w:r>
          <w:r>
            <w:rPr>
              <w:rFonts w:ascii="宋体" w:hAnsi="宋体" w:eastAsia="宋体" w:cs="Times New Roman"/>
              <w:color w:val="auto"/>
              <w:kern w:val="0"/>
              <w:sz w:val="28"/>
              <w:szCs w:val="28"/>
              <w:u w:val="none"/>
              <w:lang w:val="en-US" w:eastAsia="zh-CN" w:bidi="ar-SA"/>
            </w:rPr>
            <w:instrText xml:space="preserve"> PAGEREF _Toc529348778 \h </w:instrText>
          </w:r>
          <w:r>
            <w:rPr>
              <w:rFonts w:ascii="宋体" w:hAnsi="宋体" w:eastAsia="宋体" w:cs="Times New Roman"/>
              <w:color w:val="auto"/>
              <w:kern w:val="0"/>
              <w:sz w:val="28"/>
              <w:szCs w:val="28"/>
              <w:u w:val="none"/>
              <w:lang w:val="en-US" w:eastAsia="zh-CN" w:bidi="ar-SA"/>
            </w:rPr>
            <w:fldChar w:fldCharType="separate"/>
          </w:r>
          <w:r>
            <w:rPr>
              <w:rFonts w:ascii="宋体" w:hAnsi="宋体" w:eastAsia="宋体" w:cs="Times New Roman"/>
              <w:color w:val="auto"/>
              <w:kern w:val="0"/>
              <w:sz w:val="28"/>
              <w:szCs w:val="28"/>
              <w:u w:val="none"/>
              <w:lang w:val="en-US" w:eastAsia="zh-CN" w:bidi="ar-SA"/>
            </w:rPr>
            <w:t>1</w:t>
          </w:r>
          <w:r>
            <w:rPr>
              <w:rFonts w:hint="eastAsia" w:ascii="宋体" w:hAnsi="宋体" w:eastAsia="宋体" w:cs="Times New Roman"/>
              <w:color w:val="auto"/>
              <w:kern w:val="0"/>
              <w:sz w:val="28"/>
              <w:szCs w:val="28"/>
              <w:u w:val="none"/>
              <w:lang w:val="en-US" w:eastAsia="zh-CN" w:bidi="ar-SA"/>
            </w:rPr>
            <w:t>3</w:t>
          </w:r>
          <w:r>
            <w:rPr>
              <w:rFonts w:ascii="宋体" w:hAnsi="宋体" w:eastAsia="宋体" w:cs="Times New Roman"/>
              <w:color w:val="auto"/>
              <w:kern w:val="0"/>
              <w:sz w:val="28"/>
              <w:szCs w:val="28"/>
              <w:u w:val="none"/>
              <w:lang w:val="en-US" w:eastAsia="zh-CN" w:bidi="ar-SA"/>
            </w:rPr>
            <w:fldChar w:fldCharType="end"/>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"_Toc529348779"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（一）绩效评价综合结论</w:t>
          </w:r>
          <w:r>
            <w:rPr>
              <w:rFonts w:ascii="宋体" w:hAnsi="宋体" w:eastAsia="宋体" w:cs="Times New Roman"/>
              <w:color w:val="auto"/>
              <w:kern w:val="0"/>
              <w:sz w:val="28"/>
              <w:szCs w:val="28"/>
              <w:u w:val="none"/>
              <w:lang w:val="en-US" w:eastAsia="zh-CN" w:bidi="ar-SA"/>
            </w:rPr>
            <w:tab/>
          </w:r>
          <w:r>
            <w:rPr>
              <w:rFonts w:ascii="宋体" w:hAnsi="宋体" w:eastAsia="宋体" w:cs="Times New Roman"/>
              <w:color w:val="auto"/>
              <w:kern w:val="0"/>
              <w:sz w:val="28"/>
              <w:szCs w:val="28"/>
              <w:u w:val="none"/>
              <w:lang w:val="en-US" w:eastAsia="zh-CN" w:bidi="ar-SA"/>
            </w:rPr>
            <w:fldChar w:fldCharType="begin"/>
          </w:r>
          <w:r>
            <w:rPr>
              <w:rFonts w:ascii="宋体" w:hAnsi="宋体" w:eastAsia="宋体" w:cs="Times New Roman"/>
              <w:color w:val="auto"/>
              <w:kern w:val="0"/>
              <w:sz w:val="28"/>
              <w:szCs w:val="28"/>
              <w:u w:val="none"/>
              <w:lang w:val="en-US" w:eastAsia="zh-CN" w:bidi="ar-SA"/>
            </w:rPr>
            <w:instrText xml:space="preserve"> PAGEREF _Toc529348779 \h </w:instrText>
          </w:r>
          <w:r>
            <w:rPr>
              <w:rFonts w:ascii="宋体" w:hAnsi="宋体" w:eastAsia="宋体" w:cs="Times New Roman"/>
              <w:color w:val="auto"/>
              <w:kern w:val="0"/>
              <w:sz w:val="28"/>
              <w:szCs w:val="28"/>
              <w:u w:val="none"/>
              <w:lang w:val="en-US" w:eastAsia="zh-CN" w:bidi="ar-SA"/>
            </w:rPr>
            <w:fldChar w:fldCharType="separate"/>
          </w:r>
          <w:r>
            <w:rPr>
              <w:rFonts w:ascii="宋体" w:hAnsi="宋体" w:eastAsia="宋体" w:cs="Times New Roman"/>
              <w:color w:val="auto"/>
              <w:kern w:val="0"/>
              <w:sz w:val="28"/>
              <w:szCs w:val="28"/>
              <w:u w:val="none"/>
              <w:lang w:val="en-US" w:eastAsia="zh-CN" w:bidi="ar-SA"/>
            </w:rPr>
            <w:t>1</w:t>
          </w:r>
          <w:r>
            <w:rPr>
              <w:rFonts w:hint="eastAsia" w:ascii="宋体" w:hAnsi="宋体" w:eastAsia="宋体" w:cs="Times New Roman"/>
              <w:color w:val="auto"/>
              <w:kern w:val="0"/>
              <w:sz w:val="28"/>
              <w:szCs w:val="28"/>
              <w:u w:val="none"/>
              <w:lang w:val="en-US" w:eastAsia="zh-CN" w:bidi="ar-SA"/>
            </w:rPr>
            <w:t>3</w:t>
          </w:r>
          <w:r>
            <w:rPr>
              <w:rFonts w:ascii="宋体" w:hAnsi="宋体" w:eastAsia="宋体" w:cs="Times New Roman"/>
              <w:color w:val="auto"/>
              <w:kern w:val="0"/>
              <w:sz w:val="28"/>
              <w:szCs w:val="28"/>
              <w:u w:val="none"/>
              <w:lang w:val="en-US" w:eastAsia="zh-CN" w:bidi="ar-SA"/>
            </w:rPr>
            <w:fldChar w:fldCharType="end"/>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"_Toc529348780"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（二）绩效目标实现情况</w:t>
          </w:r>
          <w:r>
            <w:rPr>
              <w:rFonts w:ascii="宋体" w:hAnsi="宋体" w:eastAsia="宋体" w:cs="Times New Roman"/>
              <w:color w:val="auto"/>
              <w:kern w:val="0"/>
              <w:sz w:val="28"/>
              <w:szCs w:val="28"/>
              <w:u w:val="none"/>
              <w:lang w:val="en-US" w:eastAsia="zh-CN" w:bidi="ar-SA"/>
            </w:rPr>
            <w:tab/>
          </w:r>
          <w:r>
            <w:rPr>
              <w:rFonts w:ascii="宋体" w:hAnsi="宋体" w:eastAsia="宋体" w:cs="Times New Roman"/>
              <w:color w:val="auto"/>
              <w:kern w:val="0"/>
              <w:sz w:val="28"/>
              <w:szCs w:val="28"/>
              <w:u w:val="none"/>
              <w:lang w:val="en-US" w:eastAsia="zh-CN" w:bidi="ar-SA"/>
            </w:rPr>
            <w:fldChar w:fldCharType="begin"/>
          </w:r>
          <w:r>
            <w:rPr>
              <w:rFonts w:ascii="宋体" w:hAnsi="宋体" w:eastAsia="宋体" w:cs="Times New Roman"/>
              <w:color w:val="auto"/>
              <w:kern w:val="0"/>
              <w:sz w:val="28"/>
              <w:szCs w:val="28"/>
              <w:u w:val="none"/>
              <w:lang w:val="en-US" w:eastAsia="zh-CN" w:bidi="ar-SA"/>
            </w:rPr>
            <w:instrText xml:space="preserve"> PAGEREF _Toc529348780 \h </w:instrText>
          </w:r>
          <w:r>
            <w:rPr>
              <w:rFonts w:ascii="宋体" w:hAnsi="宋体" w:eastAsia="宋体" w:cs="Times New Roman"/>
              <w:color w:val="auto"/>
              <w:kern w:val="0"/>
              <w:sz w:val="28"/>
              <w:szCs w:val="28"/>
              <w:u w:val="none"/>
              <w:lang w:val="en-US" w:eastAsia="zh-CN" w:bidi="ar-SA"/>
            </w:rPr>
            <w:fldChar w:fldCharType="separate"/>
          </w:r>
          <w:r>
            <w:rPr>
              <w:rFonts w:ascii="宋体" w:hAnsi="宋体" w:eastAsia="宋体" w:cs="Times New Roman"/>
              <w:color w:val="auto"/>
              <w:kern w:val="0"/>
              <w:sz w:val="28"/>
              <w:szCs w:val="28"/>
              <w:u w:val="none"/>
              <w:lang w:val="en-US" w:eastAsia="zh-CN" w:bidi="ar-SA"/>
            </w:rPr>
            <w:t>1</w:t>
          </w:r>
          <w:r>
            <w:rPr>
              <w:rFonts w:hint="eastAsia" w:ascii="宋体" w:hAnsi="宋体" w:eastAsia="宋体" w:cs="Times New Roman"/>
              <w:color w:val="auto"/>
              <w:kern w:val="0"/>
              <w:sz w:val="28"/>
              <w:szCs w:val="28"/>
              <w:u w:val="none"/>
              <w:lang w:val="en-US" w:eastAsia="zh-CN" w:bidi="ar-SA"/>
            </w:rPr>
            <w:t>4</w:t>
          </w:r>
          <w:r>
            <w:rPr>
              <w:rFonts w:ascii="宋体" w:hAnsi="宋体" w:eastAsia="宋体" w:cs="Times New Roman"/>
              <w:color w:val="auto"/>
              <w:kern w:val="0"/>
              <w:sz w:val="28"/>
              <w:szCs w:val="28"/>
              <w:u w:val="none"/>
              <w:lang w:val="en-US" w:eastAsia="zh-CN" w:bidi="ar-SA"/>
            </w:rPr>
            <w:fldChar w:fldCharType="end"/>
          </w:r>
          <w:r>
            <w:rPr>
              <w:rFonts w:ascii="宋体" w:hAnsi="宋体" w:eastAsia="宋体" w:cs="Times New Roman"/>
              <w:color w:val="auto"/>
              <w:kern w:val="0"/>
              <w:sz w:val="28"/>
              <w:szCs w:val="28"/>
              <w:u w:val="none"/>
              <w:lang w:val="en-US" w:eastAsia="zh-CN" w:bidi="ar-SA"/>
            </w:rPr>
            <w:fldChar w:fldCharType="end"/>
          </w:r>
        </w:p>
        <w:p>
          <w:pPr>
            <w:widowControl/>
            <w:tabs>
              <w:tab w:val="right" w:leader="dot" w:pos="8789"/>
            </w:tabs>
            <w:spacing w:line="420" w:lineRule="exact"/>
            <w:ind w:right="36" w:rightChars="12"/>
            <w:jc w:val="left"/>
            <w:rPr>
              <w:rFonts w:hint="default"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"_Toc529348781"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（三）绩效自评与评价差异分析</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1</w:t>
          </w:r>
          <w:r>
            <w:rPr>
              <w:rFonts w:hint="eastAsia" w:ascii="宋体" w:hAnsi="宋体" w:eastAsia="宋体" w:cs="Times New Roman"/>
              <w:color w:val="auto"/>
              <w:kern w:val="0"/>
              <w:sz w:val="28"/>
              <w:szCs w:val="28"/>
              <w:u w:val="none"/>
              <w:lang w:val="en-US" w:eastAsia="zh-CN" w:bidi="ar-SA"/>
            </w:rPr>
            <w:fldChar w:fldCharType="end"/>
          </w:r>
          <w:r>
            <w:rPr>
              <w:rFonts w:hint="eastAsia" w:ascii="宋体" w:hAnsi="宋体" w:eastAsia="宋体" w:cs="Times New Roman"/>
              <w:color w:val="auto"/>
              <w:kern w:val="0"/>
              <w:sz w:val="28"/>
              <w:szCs w:val="28"/>
              <w:u w:val="none"/>
              <w:lang w:val="en-US" w:eastAsia="zh-CN" w:bidi="ar-SA"/>
            </w:rPr>
            <w:t>5</w:t>
          </w:r>
        </w:p>
        <w:p>
          <w:pPr>
            <w:widowControl/>
            <w:tabs>
              <w:tab w:val="right" w:leader="dot" w:pos="8789"/>
            </w:tabs>
            <w:spacing w:line="420" w:lineRule="exact"/>
            <w:ind w:right="36" w:rightChars="12"/>
            <w:jc w:val="left"/>
            <w:rPr>
              <w:rFonts w:hint="default"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"_Toc529348782"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五、绩效评价情况分析</w:t>
          </w:r>
          <w:r>
            <w:rPr>
              <w:rFonts w:ascii="宋体" w:hAnsi="宋体" w:eastAsia="宋体" w:cs="Times New Roman"/>
              <w:color w:val="auto"/>
              <w:kern w:val="0"/>
              <w:sz w:val="28"/>
              <w:szCs w:val="28"/>
              <w:u w:val="none"/>
              <w:lang w:val="en-US" w:eastAsia="zh-CN" w:bidi="ar-SA"/>
            </w:rPr>
            <w:tab/>
          </w:r>
          <w:r>
            <w:rPr>
              <w:rFonts w:ascii="宋体" w:hAnsi="宋体" w:eastAsia="宋体" w:cs="Times New Roman"/>
              <w:color w:val="auto"/>
              <w:kern w:val="0"/>
              <w:sz w:val="28"/>
              <w:szCs w:val="28"/>
              <w:u w:val="none"/>
              <w:lang w:val="en-US" w:eastAsia="zh-CN" w:bidi="ar-SA"/>
            </w:rPr>
            <w:fldChar w:fldCharType="begin"/>
          </w:r>
          <w:r>
            <w:rPr>
              <w:rFonts w:ascii="宋体" w:hAnsi="宋体" w:eastAsia="宋体" w:cs="Times New Roman"/>
              <w:color w:val="auto"/>
              <w:kern w:val="0"/>
              <w:sz w:val="28"/>
              <w:szCs w:val="28"/>
              <w:u w:val="none"/>
              <w:lang w:val="en-US" w:eastAsia="zh-CN" w:bidi="ar-SA"/>
            </w:rPr>
            <w:instrText xml:space="preserve"> PAGEREF _Toc529348782 \h </w:instrText>
          </w:r>
          <w:r>
            <w:rPr>
              <w:rFonts w:ascii="宋体" w:hAnsi="宋体" w:eastAsia="宋体" w:cs="Times New Roman"/>
              <w:color w:val="auto"/>
              <w:kern w:val="0"/>
              <w:sz w:val="28"/>
              <w:szCs w:val="28"/>
              <w:u w:val="none"/>
              <w:lang w:val="en-US" w:eastAsia="zh-CN" w:bidi="ar-SA"/>
            </w:rPr>
            <w:fldChar w:fldCharType="separate"/>
          </w:r>
          <w:r>
            <w:rPr>
              <w:rFonts w:hint="eastAsia" w:ascii="宋体" w:hAnsi="宋体" w:eastAsia="宋体" w:cs="Times New Roman"/>
              <w:color w:val="auto"/>
              <w:kern w:val="0"/>
              <w:sz w:val="28"/>
              <w:szCs w:val="28"/>
              <w:u w:val="none"/>
              <w:lang w:val="en-US" w:eastAsia="zh-CN" w:bidi="ar-SA"/>
            </w:rPr>
            <w:t>1</w:t>
          </w:r>
          <w:r>
            <w:rPr>
              <w:rFonts w:ascii="宋体" w:hAnsi="宋体" w:eastAsia="宋体" w:cs="Times New Roman"/>
              <w:color w:val="auto"/>
              <w:kern w:val="0"/>
              <w:sz w:val="28"/>
              <w:szCs w:val="28"/>
              <w:u w:val="none"/>
              <w:lang w:val="en-US" w:eastAsia="zh-CN" w:bidi="ar-SA"/>
            </w:rPr>
            <w:fldChar w:fldCharType="end"/>
          </w:r>
          <w:r>
            <w:rPr>
              <w:rFonts w:ascii="宋体" w:hAnsi="宋体" w:eastAsia="宋体" w:cs="Times New Roman"/>
              <w:color w:val="auto"/>
              <w:kern w:val="0"/>
              <w:sz w:val="28"/>
              <w:szCs w:val="28"/>
              <w:u w:val="none"/>
              <w:lang w:val="en-US" w:eastAsia="zh-CN" w:bidi="ar-SA"/>
            </w:rPr>
            <w:fldChar w:fldCharType="end"/>
          </w:r>
          <w:r>
            <w:rPr>
              <w:rFonts w:hint="eastAsia" w:ascii="宋体" w:hAnsi="宋体" w:eastAsia="宋体" w:cs="Times New Roman"/>
              <w:color w:val="auto"/>
              <w:kern w:val="0"/>
              <w:sz w:val="28"/>
              <w:szCs w:val="28"/>
              <w:u w:val="none"/>
              <w:lang w:val="en-US" w:eastAsia="zh-CN" w:bidi="ar-SA"/>
            </w:rPr>
            <w:t>6</w:t>
          </w:r>
        </w:p>
        <w:p>
          <w:pPr>
            <w:widowControl/>
            <w:tabs>
              <w:tab w:val="right" w:leader="dot" w:pos="8789"/>
            </w:tabs>
            <w:spacing w:line="420" w:lineRule="exact"/>
            <w:ind w:right="36" w:rightChars="12"/>
            <w:jc w:val="left"/>
            <w:rPr>
              <w:rFonts w:hint="default"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"_Toc529348783"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（一）决策情况分析</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1</w:t>
          </w:r>
          <w:r>
            <w:rPr>
              <w:rFonts w:ascii="宋体" w:hAnsi="宋体" w:eastAsia="宋体" w:cs="Times New Roman"/>
              <w:color w:val="auto"/>
              <w:kern w:val="0"/>
              <w:sz w:val="28"/>
              <w:szCs w:val="28"/>
              <w:u w:val="none"/>
              <w:lang w:val="en-US" w:eastAsia="zh-CN" w:bidi="ar-SA"/>
            </w:rPr>
            <w:fldChar w:fldCharType="end"/>
          </w:r>
          <w:r>
            <w:rPr>
              <w:rFonts w:hint="eastAsia" w:ascii="宋体" w:hAnsi="宋体" w:eastAsia="宋体" w:cs="Times New Roman"/>
              <w:color w:val="auto"/>
              <w:kern w:val="0"/>
              <w:sz w:val="28"/>
              <w:szCs w:val="28"/>
              <w:u w:val="none"/>
              <w:lang w:val="en-US" w:eastAsia="zh-CN" w:bidi="ar-SA"/>
            </w:rPr>
            <w:t>6</w:t>
          </w:r>
        </w:p>
        <w:p>
          <w:pPr>
            <w:widowControl/>
            <w:tabs>
              <w:tab w:val="right" w:leader="dot" w:pos="8789"/>
            </w:tabs>
            <w:spacing w:line="420" w:lineRule="exact"/>
            <w:ind w:right="36" w:rightChars="12"/>
            <w:jc w:val="left"/>
            <w:rPr>
              <w:rFonts w:hint="default"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"_Toc529348784"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（二）过程情况分析</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1</w:t>
          </w:r>
          <w:r>
            <w:rPr>
              <w:rFonts w:ascii="宋体" w:hAnsi="宋体" w:eastAsia="宋体" w:cs="Times New Roman"/>
              <w:color w:val="auto"/>
              <w:kern w:val="0"/>
              <w:sz w:val="28"/>
              <w:szCs w:val="28"/>
              <w:u w:val="none"/>
              <w:lang w:val="en-US" w:eastAsia="zh-CN" w:bidi="ar-SA"/>
            </w:rPr>
            <w:fldChar w:fldCharType="end"/>
          </w:r>
          <w:r>
            <w:rPr>
              <w:rFonts w:hint="eastAsia" w:ascii="宋体" w:hAnsi="宋体" w:eastAsia="宋体" w:cs="Times New Roman"/>
              <w:color w:val="auto"/>
              <w:kern w:val="0"/>
              <w:sz w:val="28"/>
              <w:szCs w:val="28"/>
              <w:u w:val="none"/>
              <w:lang w:val="en-US" w:eastAsia="zh-CN" w:bidi="ar-SA"/>
            </w:rPr>
            <w:t>7</w:t>
          </w:r>
        </w:p>
        <w:p>
          <w:pPr>
            <w:widowControl/>
            <w:tabs>
              <w:tab w:val="right" w:leader="dot" w:pos="8789"/>
            </w:tabs>
            <w:spacing w:line="420" w:lineRule="exact"/>
            <w:ind w:right="36" w:rightChars="12"/>
            <w:jc w:val="left"/>
            <w:rPr>
              <w:rFonts w:hint="default"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"_Toc529348785"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（三）产出情况分析</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1</w:t>
          </w:r>
          <w:r>
            <w:rPr>
              <w:rFonts w:ascii="宋体" w:hAnsi="宋体" w:eastAsia="宋体" w:cs="Times New Roman"/>
              <w:color w:val="auto"/>
              <w:kern w:val="0"/>
              <w:sz w:val="28"/>
              <w:szCs w:val="28"/>
              <w:u w:val="none"/>
              <w:lang w:val="en-US" w:eastAsia="zh-CN" w:bidi="ar-SA"/>
            </w:rPr>
            <w:fldChar w:fldCharType="end"/>
          </w:r>
          <w:r>
            <w:rPr>
              <w:rFonts w:hint="eastAsia" w:ascii="宋体" w:hAnsi="宋体" w:eastAsia="宋体" w:cs="Times New Roman"/>
              <w:color w:val="auto"/>
              <w:kern w:val="0"/>
              <w:sz w:val="28"/>
              <w:szCs w:val="28"/>
              <w:u w:val="none"/>
              <w:lang w:val="en-US" w:eastAsia="zh-CN" w:bidi="ar-SA"/>
            </w:rPr>
            <w:t>8</w:t>
          </w:r>
        </w:p>
        <w:p>
          <w:pPr>
            <w:widowControl/>
            <w:tabs>
              <w:tab w:val="right" w:leader="dot" w:pos="8789"/>
            </w:tabs>
            <w:spacing w:line="420" w:lineRule="exact"/>
            <w:ind w:right="36" w:rightChars="12"/>
            <w:jc w:val="left"/>
            <w:rPr>
              <w:rFonts w:hint="default"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"_Toc529348786"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（四）效果情况分析</w:t>
          </w:r>
          <w:r>
            <w:rPr>
              <w:rFonts w:ascii="宋体" w:hAnsi="宋体" w:eastAsia="宋体" w:cs="Times New Roman"/>
              <w:color w:val="auto"/>
              <w:kern w:val="0"/>
              <w:sz w:val="28"/>
              <w:szCs w:val="28"/>
              <w:u w:val="none"/>
              <w:lang w:val="en-US" w:eastAsia="zh-CN" w:bidi="ar-SA"/>
            </w:rPr>
            <w:tab/>
          </w:r>
          <w:r>
            <w:rPr>
              <w:rFonts w:ascii="宋体" w:hAnsi="宋体" w:eastAsia="宋体" w:cs="Times New Roman"/>
              <w:color w:val="auto"/>
              <w:kern w:val="0"/>
              <w:sz w:val="28"/>
              <w:szCs w:val="28"/>
              <w:u w:val="none"/>
              <w:lang w:val="en-US" w:eastAsia="zh-CN" w:bidi="ar-SA"/>
            </w:rPr>
            <w:fldChar w:fldCharType="end"/>
          </w:r>
          <w:r>
            <w:rPr>
              <w:rFonts w:hint="eastAsia" w:ascii="宋体" w:hAnsi="宋体" w:eastAsia="宋体" w:cs="Times New Roman"/>
              <w:color w:val="auto"/>
              <w:kern w:val="0"/>
              <w:sz w:val="28"/>
              <w:szCs w:val="28"/>
              <w:u w:val="none"/>
              <w:lang w:val="en-US" w:eastAsia="zh-CN" w:bidi="ar-SA"/>
            </w:rPr>
            <w:t>19</w:t>
          </w:r>
        </w:p>
        <w:p>
          <w:pPr>
            <w:widowControl/>
            <w:tabs>
              <w:tab w:val="right" w:leader="dot" w:pos="8789"/>
            </w:tabs>
            <w:spacing w:line="420" w:lineRule="exact"/>
            <w:ind w:right="36" w:rightChars="12"/>
            <w:jc w:val="left"/>
            <w:rPr>
              <w:rFonts w:hint="default"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"_Toc529348790"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七、存在的主要问题</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2</w:t>
          </w:r>
          <w:r>
            <w:rPr>
              <w:rFonts w:ascii="宋体" w:hAnsi="宋体" w:eastAsia="宋体" w:cs="Times New Roman"/>
              <w:color w:val="auto"/>
              <w:kern w:val="0"/>
              <w:sz w:val="28"/>
              <w:szCs w:val="28"/>
              <w:u w:val="none"/>
              <w:lang w:val="en-US" w:eastAsia="zh-CN" w:bidi="ar-SA"/>
            </w:rPr>
            <w:fldChar w:fldCharType="end"/>
          </w:r>
          <w:r>
            <w:rPr>
              <w:rFonts w:hint="eastAsia" w:ascii="宋体" w:hAnsi="宋体" w:eastAsia="宋体" w:cs="Times New Roman"/>
              <w:color w:val="auto"/>
              <w:kern w:val="0"/>
              <w:sz w:val="28"/>
              <w:szCs w:val="28"/>
              <w:u w:val="none"/>
              <w:lang w:val="en-US" w:eastAsia="zh-CN" w:bidi="ar-SA"/>
            </w:rPr>
            <w:t>0</w:t>
          </w:r>
        </w:p>
        <w:p>
          <w:pPr>
            <w:widowControl/>
            <w:tabs>
              <w:tab w:val="right" w:leader="dot" w:pos="8789"/>
            </w:tabs>
            <w:spacing w:line="420" w:lineRule="exact"/>
            <w:ind w:right="36" w:rightChars="12"/>
            <w:jc w:val="left"/>
            <w:rPr>
              <w:rFonts w:hint="default" w:ascii="宋体" w:hAnsi="宋体" w:eastAsia="宋体" w:cs="Times New Roman"/>
              <w:color w:val="auto"/>
              <w:kern w:val="0"/>
              <w:sz w:val="28"/>
              <w:szCs w:val="28"/>
              <w:u w:val="none"/>
              <w:lang w:val="en-US" w:eastAsia="zh-CN" w:bidi="ar-SA"/>
            </w:rPr>
          </w:pPr>
          <w:r>
            <w:rPr>
              <w:rFonts w:ascii="Calibri" w:hAnsi="Calibri" w:eastAsia="宋体" w:cs="Times New Roman"/>
              <w:kern w:val="0"/>
              <w:sz w:val="22"/>
              <w:szCs w:val="22"/>
              <w:lang w:val="en-US" w:eastAsia="zh-CN" w:bidi="ar-SA"/>
            </w:rPr>
            <w:fldChar w:fldCharType="begin"/>
          </w:r>
          <w:r>
            <w:rPr>
              <w:rFonts w:ascii="Calibri" w:hAnsi="Calibri" w:eastAsia="宋体" w:cs="Times New Roman"/>
              <w:kern w:val="0"/>
              <w:sz w:val="22"/>
              <w:szCs w:val="22"/>
              <w:lang w:val="en-US" w:eastAsia="zh-CN" w:bidi="ar-SA"/>
            </w:rPr>
            <w:instrText xml:space="preserve"> HYPERLINK \l "_Toc529348796" </w:instrText>
          </w:r>
          <w:r>
            <w:rPr>
              <w:rFonts w:ascii="Calibri" w:hAnsi="Calibri" w:eastAsia="宋体" w:cs="Times New Roman"/>
              <w:kern w:val="0"/>
              <w:sz w:val="22"/>
              <w:szCs w:val="22"/>
              <w:lang w:val="en-US" w:eastAsia="zh-CN" w:bidi="ar-SA"/>
            </w:rPr>
            <w:fldChar w:fldCharType="separate"/>
          </w:r>
          <w:r>
            <w:rPr>
              <w:rFonts w:hint="eastAsia" w:ascii="宋体" w:hAnsi="宋体" w:eastAsia="宋体" w:cs="Times New Roman"/>
              <w:color w:val="auto"/>
              <w:kern w:val="0"/>
              <w:sz w:val="28"/>
              <w:szCs w:val="28"/>
              <w:u w:val="none"/>
              <w:lang w:val="en-US" w:eastAsia="zh-CN" w:bidi="ar-SA"/>
            </w:rPr>
            <w:t>八、建议</w:t>
          </w:r>
          <w:r>
            <w:rPr>
              <w:rFonts w:ascii="宋体" w:hAnsi="宋体" w:eastAsia="宋体" w:cs="Times New Roman"/>
              <w:color w:val="auto"/>
              <w:kern w:val="0"/>
              <w:sz w:val="28"/>
              <w:szCs w:val="28"/>
              <w:u w:val="none"/>
              <w:lang w:val="en-US" w:eastAsia="zh-CN" w:bidi="ar-SA"/>
            </w:rPr>
            <w:tab/>
          </w:r>
          <w:r>
            <w:rPr>
              <w:rFonts w:hint="eastAsia" w:ascii="宋体" w:hAnsi="宋体" w:eastAsia="宋体" w:cs="Times New Roman"/>
              <w:color w:val="auto"/>
              <w:kern w:val="0"/>
              <w:sz w:val="28"/>
              <w:szCs w:val="28"/>
              <w:u w:val="none"/>
              <w:lang w:val="en-US" w:eastAsia="zh-CN" w:bidi="ar-SA"/>
            </w:rPr>
            <w:t>2</w:t>
          </w:r>
          <w:r>
            <w:rPr>
              <w:rFonts w:ascii="宋体" w:hAnsi="宋体" w:eastAsia="宋体" w:cs="Times New Roman"/>
              <w:color w:val="auto"/>
              <w:kern w:val="0"/>
              <w:sz w:val="28"/>
              <w:szCs w:val="28"/>
              <w:u w:val="none"/>
              <w:lang w:val="en-US" w:eastAsia="zh-CN" w:bidi="ar-SA"/>
            </w:rPr>
            <w:fldChar w:fldCharType="end"/>
          </w:r>
          <w:r>
            <w:rPr>
              <w:rFonts w:hint="eastAsia" w:ascii="宋体" w:hAnsi="宋体" w:eastAsia="宋体" w:cs="Times New Roman"/>
              <w:color w:val="auto"/>
              <w:kern w:val="0"/>
              <w:sz w:val="28"/>
              <w:szCs w:val="28"/>
              <w:u w:val="none"/>
              <w:lang w:val="en-US" w:eastAsia="zh-CN" w:bidi="ar-SA"/>
            </w:rPr>
            <w:t>4</w:t>
          </w:r>
        </w:p>
        <w:p>
          <w:pPr>
            <w:spacing w:line="579" w:lineRule="exact"/>
            <w:jc w:val="both"/>
            <w:rPr>
              <w:rFonts w:hint="eastAsia" w:ascii="Calibri" w:hAnsi="Calibri" w:eastAsia="宋体" w:cs="Times New Roman"/>
              <w:b w:val="0"/>
              <w:bCs w:val="0"/>
              <w:kern w:val="0"/>
              <w:sz w:val="22"/>
              <w:szCs w:val="22"/>
              <w:lang w:val="en-US" w:eastAsia="zh-CN" w:bidi="ar-SA"/>
            </w:rPr>
          </w:pPr>
          <w:r>
            <w:rPr>
              <w:rFonts w:ascii="宋体" w:hAnsi="宋体" w:eastAsia="宋体" w:cs="Times New Roman"/>
              <w:kern w:val="0"/>
              <w:sz w:val="28"/>
              <w:szCs w:val="28"/>
              <w:lang w:val="en-US" w:eastAsia="zh-CN" w:bidi="ar-SA"/>
            </w:rPr>
            <w:fldChar w:fldCharType="end"/>
          </w:r>
        </w:p>
      </w:sdtContent>
    </w:sdt>
    <w:p>
      <w:pPr>
        <w:spacing w:line="579" w:lineRule="exact"/>
        <w:jc w:val="center"/>
        <w:rPr>
          <w:rFonts w:hint="eastAsia" w:ascii="Arial Unicode MS" w:eastAsia="Arial Unicode MS"/>
          <w:sz w:val="44"/>
          <w:szCs w:val="44"/>
        </w:rPr>
      </w:pPr>
    </w:p>
    <w:p>
      <w:pPr>
        <w:spacing w:line="579" w:lineRule="exact"/>
        <w:jc w:val="center"/>
        <w:rPr>
          <w:rFonts w:hint="eastAsia" w:ascii="Arial Unicode MS" w:eastAsia="Arial Unicode MS"/>
          <w:sz w:val="44"/>
          <w:szCs w:val="44"/>
        </w:rPr>
      </w:pPr>
    </w:p>
    <w:p>
      <w:pPr>
        <w:spacing w:line="579" w:lineRule="exact"/>
        <w:jc w:val="center"/>
        <w:rPr>
          <w:rFonts w:hint="eastAsia" w:ascii="Arial Unicode MS" w:eastAsia="Arial Unicode MS"/>
          <w:sz w:val="44"/>
          <w:szCs w:val="44"/>
        </w:rPr>
        <w:sectPr>
          <w:footerReference r:id="rId5" w:type="default"/>
          <w:pgSz w:w="11906" w:h="16838"/>
          <w:pgMar w:top="1440" w:right="1800" w:bottom="1440" w:left="1800" w:header="851" w:footer="992" w:gutter="0"/>
          <w:pgNumType w:start="1"/>
          <w:cols w:space="425" w:num="1"/>
          <w:docGrid w:type="lines" w:linePitch="312" w:charSpace="0"/>
        </w:sectPr>
      </w:pPr>
    </w:p>
    <w:p>
      <w:pPr>
        <w:spacing w:line="579" w:lineRule="exact"/>
        <w:jc w:val="center"/>
        <w:rPr>
          <w:rFonts w:ascii="Arial Unicode MS" w:eastAsia="Arial Unicode MS"/>
          <w:sz w:val="44"/>
          <w:szCs w:val="44"/>
        </w:rPr>
      </w:pPr>
      <w:r>
        <w:rPr>
          <w:rFonts w:hint="eastAsia" w:ascii="Arial Unicode MS" w:eastAsia="Arial Unicode MS"/>
          <w:sz w:val="44"/>
          <w:szCs w:val="44"/>
        </w:rPr>
        <w:t>盈江县农业农村局2019年糖料蔗核心基地建设项目绩效评价报告</w:t>
      </w:r>
    </w:p>
    <w:p>
      <w:pPr>
        <w:spacing w:line="579" w:lineRule="exact"/>
        <w:rPr>
          <w:rFonts w:hAnsi="仿宋"/>
          <w:sz w:val="36"/>
          <w:szCs w:val="36"/>
        </w:rPr>
      </w:pPr>
    </w:p>
    <w:p>
      <w:pPr>
        <w:spacing w:line="579" w:lineRule="exact"/>
        <w:ind w:firstLine="600" w:firstLineChars="200"/>
        <w:rPr>
          <w:rFonts w:hint="eastAsia" w:hAnsi="仿宋"/>
          <w:szCs w:val="30"/>
          <w:lang w:val="en-US" w:eastAsia="zh-CN"/>
        </w:rPr>
      </w:pPr>
      <w:r>
        <w:rPr>
          <w:rFonts w:hint="eastAsia" w:hAnsi="仿宋"/>
          <w:szCs w:val="30"/>
          <w:lang w:val="en-US" w:eastAsia="zh-CN"/>
        </w:rPr>
        <w:t>为贯彻落实《中华人民共和国预算法》、《中共云南省委云南省人民政府关于全面实施预算绩效管理的实施意见》(云发〔2019〕11号)、《德宏州财政局 德宏州委宣传部 德宏州审计局关于印发德宏州全面实施预算绩效管理工作推进预算方案的通知》(德财〔2020〕81号)、《中</w:t>
      </w:r>
      <w:bookmarkStart w:id="48" w:name="_GoBack"/>
      <w:bookmarkEnd w:id="48"/>
      <w:r>
        <w:rPr>
          <w:rFonts w:hint="eastAsia" w:hAnsi="仿宋"/>
          <w:szCs w:val="30"/>
          <w:lang w:val="en-US" w:eastAsia="zh-CN"/>
        </w:rPr>
        <w:t>共盈江县委盈江县人民政府关于全面实施预算绩效管理的实施方案》(盈发〔2020〕17号)，云南永盛会计师事务所接受盈江县财政局委托，于2020年10月至2020年11月对盈江县农业农村局2019年糖料蔗核心基地建设项目进行绩效评价。现将评价情况报告如下：</w:t>
      </w:r>
    </w:p>
    <w:p>
      <w:pPr>
        <w:spacing w:line="579" w:lineRule="exact"/>
        <w:ind w:firstLine="600" w:firstLineChars="200"/>
        <w:outlineLvl w:val="0"/>
        <w:rPr>
          <w:rFonts w:ascii="黑体" w:hAnsi="黑体" w:eastAsia="黑体" w:cs="宋体"/>
          <w:szCs w:val="30"/>
        </w:rPr>
      </w:pPr>
      <w:bookmarkStart w:id="1" w:name="_Toc528070240"/>
      <w:bookmarkStart w:id="2" w:name="_Toc529348764"/>
      <w:r>
        <w:rPr>
          <w:rFonts w:hint="eastAsia" w:ascii="黑体" w:hAnsi="黑体" w:eastAsia="黑体" w:cs="宋体"/>
          <w:szCs w:val="30"/>
        </w:rPr>
        <w:t>一、基本情况</w:t>
      </w:r>
      <w:bookmarkEnd w:id="1"/>
      <w:bookmarkEnd w:id="2"/>
    </w:p>
    <w:p>
      <w:pPr>
        <w:spacing w:line="579" w:lineRule="exact"/>
        <w:ind w:firstLine="600" w:firstLineChars="200"/>
        <w:outlineLvl w:val="1"/>
        <w:rPr>
          <w:rFonts w:hint="eastAsia" w:ascii="楷体" w:hAnsi="楷体" w:eastAsia="楷体"/>
          <w:szCs w:val="30"/>
        </w:rPr>
      </w:pPr>
      <w:bookmarkStart w:id="3" w:name="_Toc528070241"/>
      <w:bookmarkStart w:id="4" w:name="_Toc529348765"/>
      <w:r>
        <w:rPr>
          <w:rFonts w:hint="eastAsia" w:ascii="楷体" w:hAnsi="楷体" w:eastAsia="楷体"/>
          <w:szCs w:val="30"/>
        </w:rPr>
        <w:t>（一）项目概况</w:t>
      </w:r>
      <w:bookmarkEnd w:id="3"/>
      <w:bookmarkEnd w:id="4"/>
    </w:p>
    <w:p>
      <w:pPr>
        <w:spacing w:line="579" w:lineRule="exact"/>
        <w:ind w:firstLine="600" w:firstLineChars="200"/>
        <w:rPr>
          <w:rFonts w:hint="eastAsia" w:hAnsi="仿宋"/>
          <w:szCs w:val="30"/>
          <w:lang w:val="en-US" w:eastAsia="zh-CN"/>
        </w:rPr>
      </w:pPr>
      <w:r>
        <w:rPr>
          <w:rFonts w:hint="eastAsia" w:hAnsi="仿宋"/>
          <w:szCs w:val="30"/>
          <w:lang w:val="en-US" w:eastAsia="zh-CN"/>
        </w:rPr>
        <w:t>2014年中央1号文件提出加强糖料生产能力建设，2015年国家编制实施的《糖料蔗主产区生产发展规划（2015-2020年）》，重点支持广西、云南蔗糖产业发展，生产布局在广西、云南等甘蔗主产区。蔗糖产业是云南省的第二大特色产业，德宏州蔗糖产业位列全省第二，是历届州委、州政府培育的传统支柱产业，已将蔗糖产业打造成州高原特色，农业重要示范产业，实施糖料蔗核心基地建设是实现糖料蔗产业高质量发展的重要举措。</w:t>
      </w:r>
    </w:p>
    <w:p>
      <w:pPr>
        <w:spacing w:line="579" w:lineRule="exact"/>
        <w:ind w:firstLine="600" w:firstLineChars="200"/>
        <w:rPr>
          <w:rFonts w:hint="default" w:hAnsi="仿宋"/>
          <w:szCs w:val="30"/>
          <w:lang w:val="zh-CN" w:eastAsia="zh-CN"/>
        </w:rPr>
      </w:pPr>
      <w:r>
        <w:rPr>
          <w:rFonts w:hint="default" w:hAnsi="仿宋"/>
          <w:szCs w:val="30"/>
          <w:lang w:val="zh-CN" w:eastAsia="zh-CN"/>
        </w:rPr>
        <w:t>根据《糖料蔗主产区生产发展规划（2015-2020年）》</w:t>
      </w:r>
      <w:r>
        <w:rPr>
          <w:rFonts w:hint="eastAsia" w:hAnsi="仿宋"/>
          <w:szCs w:val="30"/>
          <w:lang w:val="zh-CN" w:eastAsia="zh-CN"/>
        </w:rPr>
        <w:t>、</w:t>
      </w:r>
      <w:r>
        <w:rPr>
          <w:rFonts w:hint="default" w:hAnsi="仿宋"/>
          <w:szCs w:val="30"/>
          <w:lang w:val="zh-CN" w:eastAsia="zh-CN"/>
        </w:rPr>
        <w:t>《德宏州农业农村局关于下达2019年农田建设任务的通知》（德农发</w:t>
      </w:r>
      <w:r>
        <w:rPr>
          <w:rFonts w:hint="eastAsia" w:hAnsi="仿宋"/>
          <w:szCs w:val="30"/>
          <w:lang w:val="en-US" w:eastAsia="zh-CN"/>
        </w:rPr>
        <w:t>〔</w:t>
      </w:r>
      <w:r>
        <w:rPr>
          <w:rFonts w:hint="default" w:hAnsi="仿宋"/>
          <w:szCs w:val="30"/>
          <w:lang w:val="zh-CN" w:eastAsia="zh-CN"/>
        </w:rPr>
        <w:t>2019</w:t>
      </w:r>
      <w:r>
        <w:rPr>
          <w:rFonts w:hint="eastAsia" w:hAnsi="仿宋"/>
          <w:szCs w:val="30"/>
          <w:lang w:val="en-US" w:eastAsia="zh-CN"/>
        </w:rPr>
        <w:t>〕</w:t>
      </w:r>
      <w:r>
        <w:rPr>
          <w:rFonts w:hint="default" w:hAnsi="仿宋"/>
          <w:szCs w:val="30"/>
          <w:lang w:val="zh-CN" w:eastAsia="zh-CN"/>
        </w:rPr>
        <w:t>60号），2019年盈江县建设区域为盏西镇、太平镇、</w:t>
      </w:r>
      <w:r>
        <w:rPr>
          <w:rFonts w:hint="eastAsia" w:hAnsi="仿宋"/>
          <w:szCs w:val="30"/>
          <w:lang w:val="en-US" w:eastAsia="zh-CN"/>
        </w:rPr>
        <w:t>弄璋</w:t>
      </w:r>
      <w:r>
        <w:rPr>
          <w:rFonts w:hint="default" w:hAnsi="仿宋"/>
          <w:szCs w:val="30"/>
          <w:lang w:val="zh-CN" w:eastAsia="zh-CN"/>
        </w:rPr>
        <w:t>镇、平原镇、旧城镇、油松岭乡和新城乡所属区域的蔗田区域。</w:t>
      </w:r>
    </w:p>
    <w:p>
      <w:pPr>
        <w:spacing w:line="579" w:lineRule="exact"/>
        <w:ind w:firstLine="600" w:firstLineChars="200"/>
        <w:outlineLvl w:val="1"/>
        <w:rPr>
          <w:rFonts w:ascii="楷体" w:hAnsi="楷体" w:eastAsia="楷体"/>
          <w:color w:val="000000" w:themeColor="text1"/>
          <w:szCs w:val="30"/>
          <w14:textFill>
            <w14:solidFill>
              <w14:schemeClr w14:val="tx1"/>
            </w14:solidFill>
          </w14:textFill>
        </w:rPr>
      </w:pPr>
      <w:bookmarkStart w:id="5" w:name="_Toc2011"/>
      <w:r>
        <w:rPr>
          <w:rFonts w:hint="eastAsia" w:ascii="楷体" w:hAnsi="楷体" w:eastAsia="楷体"/>
          <w:color w:val="000000" w:themeColor="text1"/>
          <w:szCs w:val="30"/>
          <w14:textFill>
            <w14:solidFill>
              <w14:schemeClr w14:val="tx1"/>
            </w14:solidFill>
          </w14:textFill>
        </w:rPr>
        <w:t>（二）项目资金安排</w:t>
      </w:r>
      <w:r>
        <w:rPr>
          <w:rFonts w:hint="eastAsia" w:ascii="楷体" w:hAnsi="楷体" w:eastAsia="楷体"/>
          <w:color w:val="000000" w:themeColor="text1"/>
          <w:szCs w:val="30"/>
          <w:lang w:val="en-US" w:eastAsia="zh-CN"/>
          <w14:textFill>
            <w14:solidFill>
              <w14:schemeClr w14:val="tx1"/>
            </w14:solidFill>
          </w14:textFill>
        </w:rPr>
        <w:t>及使用</w:t>
      </w:r>
      <w:r>
        <w:rPr>
          <w:rFonts w:hint="eastAsia" w:ascii="楷体" w:hAnsi="楷体" w:eastAsia="楷体"/>
          <w:color w:val="000000" w:themeColor="text1"/>
          <w:szCs w:val="30"/>
          <w14:textFill>
            <w14:solidFill>
              <w14:schemeClr w14:val="tx1"/>
            </w14:solidFill>
          </w14:textFill>
        </w:rPr>
        <w:t>情况</w:t>
      </w:r>
      <w:bookmarkEnd w:id="5"/>
    </w:p>
    <w:p>
      <w:pPr>
        <w:spacing w:line="579" w:lineRule="exact"/>
        <w:ind w:firstLine="600" w:firstLineChars="200"/>
        <w:rPr>
          <w:rFonts w:hint="eastAsia" w:hAnsi="仿宋"/>
          <w:szCs w:val="30"/>
        </w:rPr>
      </w:pPr>
      <w:r>
        <w:rPr>
          <w:rFonts w:hint="eastAsia" w:hAnsi="仿宋"/>
          <w:szCs w:val="30"/>
          <w:lang w:val="en-US" w:eastAsia="zh-CN"/>
        </w:rPr>
        <w:t>1.</w:t>
      </w:r>
      <w:r>
        <w:rPr>
          <w:rFonts w:hint="eastAsia" w:hAnsi="仿宋"/>
          <w:szCs w:val="30"/>
        </w:rPr>
        <w:t>项目资金预算批复情况</w:t>
      </w:r>
    </w:p>
    <w:p>
      <w:pPr>
        <w:spacing w:line="579" w:lineRule="exact"/>
        <w:ind w:firstLine="600" w:firstLineChars="200"/>
        <w:rPr>
          <w:rFonts w:hint="default" w:hAnsi="仿宋" w:eastAsia="仿宋"/>
          <w:szCs w:val="30"/>
          <w:lang w:val="en-US" w:eastAsia="zh-CN"/>
        </w:rPr>
      </w:pPr>
      <w:r>
        <w:rPr>
          <w:rFonts w:hint="eastAsia" w:hAnsi="仿宋"/>
          <w:szCs w:val="30"/>
        </w:rPr>
        <w:t>根据《德宏州农业农村局 德宏州发展和改革委员会关于盈江糖料蔗核心基地建设项目实施方案的批复》（德农复字〔2019〕50号）</w:t>
      </w:r>
      <w:r>
        <w:rPr>
          <w:rFonts w:hint="eastAsia" w:hAnsi="仿宋"/>
          <w:szCs w:val="30"/>
          <w:lang w:eastAsia="zh-CN"/>
        </w:rPr>
        <w:t>，</w:t>
      </w:r>
      <w:r>
        <w:rPr>
          <w:rFonts w:hint="eastAsia" w:hAnsi="仿宋"/>
          <w:szCs w:val="30"/>
          <w:lang w:val="en-US" w:eastAsia="zh-CN"/>
        </w:rPr>
        <w:t>批准工程概算总投资11,333.86万元，其中：中央资金1,982.00万元，地方自筹资金195.47万元，整合其他项目资金9,156.39万元；批准2019年工程概算投资2,177.47万元，其中：建筑工程费1,982.00万元，独立费用152.78万元，基本预备费42.69万元。</w:t>
      </w:r>
    </w:p>
    <w:p>
      <w:pPr>
        <w:spacing w:line="579" w:lineRule="exact"/>
        <w:ind w:firstLine="600" w:firstLineChars="200"/>
        <w:rPr>
          <w:rFonts w:hAnsi="仿宋"/>
          <w:szCs w:val="30"/>
        </w:rPr>
      </w:pPr>
      <w:r>
        <w:rPr>
          <w:rFonts w:hint="eastAsia" w:hAnsi="仿宋"/>
          <w:szCs w:val="30"/>
        </w:rPr>
        <w:t>2.项目</w:t>
      </w:r>
      <w:r>
        <w:rPr>
          <w:rFonts w:hAnsi="仿宋"/>
          <w:szCs w:val="30"/>
        </w:rPr>
        <w:t>资金</w:t>
      </w:r>
      <w:r>
        <w:rPr>
          <w:rFonts w:hint="eastAsia" w:hAnsi="仿宋"/>
          <w:szCs w:val="30"/>
        </w:rPr>
        <w:t>到位情况</w:t>
      </w:r>
    </w:p>
    <w:p>
      <w:pPr>
        <w:spacing w:line="579" w:lineRule="exact"/>
        <w:ind w:firstLine="600" w:firstLineChars="200"/>
        <w:rPr>
          <w:rFonts w:hAnsi="仿宋"/>
          <w:szCs w:val="30"/>
        </w:rPr>
      </w:pPr>
      <w:r>
        <w:rPr>
          <w:rFonts w:hint="eastAsia" w:hAnsi="仿宋"/>
          <w:szCs w:val="30"/>
          <w:lang w:val="en-US" w:eastAsia="zh-CN"/>
        </w:rPr>
        <w:t>根据《盈江县财政局关于下达2019年统筹整合第六批脱贫攻坚项目资金的通知》（盈财整合</w:t>
      </w:r>
      <w:r>
        <w:rPr>
          <w:rFonts w:hint="eastAsia" w:hAnsi="仿宋"/>
          <w:szCs w:val="30"/>
        </w:rPr>
        <w:t>〔2019〕</w:t>
      </w:r>
      <w:r>
        <w:rPr>
          <w:rFonts w:hint="eastAsia" w:hAnsi="仿宋"/>
          <w:szCs w:val="30"/>
          <w:lang w:val="en-US" w:eastAsia="zh-CN"/>
        </w:rPr>
        <w:t>78号），下达预算</w:t>
      </w:r>
      <w:r>
        <w:rPr>
          <w:rFonts w:hAnsi="仿宋"/>
          <w:szCs w:val="30"/>
        </w:rPr>
        <w:t>资金</w:t>
      </w:r>
      <w:r>
        <w:rPr>
          <w:rFonts w:hint="eastAsia" w:hAnsi="仿宋"/>
          <w:szCs w:val="30"/>
          <w:lang w:val="en-US" w:eastAsia="zh-CN"/>
        </w:rPr>
        <w:t>1,982.00</w:t>
      </w:r>
      <w:r>
        <w:rPr>
          <w:rFonts w:hint="eastAsia" w:hAnsi="仿宋"/>
          <w:szCs w:val="30"/>
        </w:rPr>
        <w:t>万元</w:t>
      </w:r>
      <w:r>
        <w:rPr>
          <w:rFonts w:hAnsi="仿宋"/>
          <w:szCs w:val="30"/>
        </w:rPr>
        <w:t>，</w:t>
      </w:r>
      <w:r>
        <w:rPr>
          <w:rFonts w:hint="eastAsia" w:hAnsi="仿宋"/>
          <w:szCs w:val="30"/>
          <w:lang w:val="en-US" w:eastAsia="zh-CN"/>
        </w:rPr>
        <w:t>全部为中央资金，</w:t>
      </w:r>
      <w:r>
        <w:rPr>
          <w:rFonts w:hAnsi="仿宋"/>
          <w:szCs w:val="30"/>
        </w:rPr>
        <w:t>资金到位率</w:t>
      </w:r>
      <w:r>
        <w:rPr>
          <w:rFonts w:hint="eastAsia" w:hAnsi="仿宋"/>
          <w:szCs w:val="30"/>
          <w:lang w:val="en-US" w:eastAsia="zh-CN"/>
        </w:rPr>
        <w:t>91.02</w:t>
      </w:r>
      <w:r>
        <w:rPr>
          <w:rFonts w:hAnsi="仿宋"/>
          <w:szCs w:val="30"/>
        </w:rPr>
        <w:t>%</w:t>
      </w:r>
      <w:r>
        <w:rPr>
          <w:rFonts w:hint="eastAsia" w:hAnsi="仿宋"/>
          <w:szCs w:val="30"/>
          <w:lang w:eastAsia="zh-CN"/>
        </w:rPr>
        <w:t>，</w:t>
      </w:r>
      <w:r>
        <w:rPr>
          <w:rFonts w:hint="eastAsia" w:hAnsi="仿宋"/>
          <w:szCs w:val="30"/>
          <w:lang w:val="en-US" w:eastAsia="zh-CN"/>
        </w:rPr>
        <w:t>截至评价日</w:t>
      </w:r>
      <w:r>
        <w:rPr>
          <w:rFonts w:hint="eastAsia" w:hAnsi="仿宋"/>
          <w:szCs w:val="30"/>
        </w:rPr>
        <w:t>未到位资金</w:t>
      </w:r>
      <w:r>
        <w:rPr>
          <w:rFonts w:hint="eastAsia" w:hAnsi="仿宋"/>
          <w:szCs w:val="30"/>
          <w:lang w:val="en-US" w:eastAsia="zh-CN"/>
        </w:rPr>
        <w:t>195.47</w:t>
      </w:r>
      <w:r>
        <w:rPr>
          <w:rFonts w:hint="eastAsia" w:hAnsi="仿宋"/>
          <w:szCs w:val="30"/>
        </w:rPr>
        <w:t>万元</w:t>
      </w:r>
      <w:r>
        <w:rPr>
          <w:rFonts w:hAnsi="仿宋"/>
          <w:szCs w:val="30"/>
        </w:rPr>
        <w:t>。</w:t>
      </w:r>
    </w:p>
    <w:p>
      <w:pPr>
        <w:spacing w:line="579" w:lineRule="exact"/>
        <w:ind w:firstLine="600" w:firstLineChars="200"/>
        <w:rPr>
          <w:rFonts w:hint="eastAsia" w:hAnsi="仿宋"/>
          <w:szCs w:val="30"/>
          <w:lang w:val="en-US" w:eastAsia="zh-CN"/>
        </w:rPr>
      </w:pPr>
      <w:r>
        <w:rPr>
          <w:rFonts w:hint="eastAsia" w:hAnsi="仿宋"/>
          <w:szCs w:val="30"/>
          <w:lang w:val="en-US" w:eastAsia="zh-CN"/>
        </w:rPr>
        <w:t>3.项目资金使用情况</w:t>
      </w:r>
    </w:p>
    <w:p>
      <w:pPr>
        <w:spacing w:line="579" w:lineRule="exact"/>
        <w:ind w:firstLine="640" w:firstLineChars="200"/>
        <w:rPr>
          <w:rFonts w:hint="eastAsia" w:hAnsi="仿宋"/>
          <w:sz w:val="30"/>
          <w:szCs w:val="30"/>
          <w:lang w:eastAsia="zh-CN"/>
        </w:rPr>
      </w:pPr>
      <w:r>
        <w:rPr>
          <w:rFonts w:hint="eastAsia" w:ascii="宋体" w:hAnsi="宋体" w:cs="宋体"/>
          <w:sz w:val="32"/>
          <w:szCs w:val="32"/>
          <w:lang w:eastAsia="zh-CN"/>
        </w:rPr>
        <w:t>盈江县2019年糖料蔗核心基地建设项目</w:t>
      </w:r>
      <w:r>
        <w:rPr>
          <w:rFonts w:hint="eastAsia" w:hAnsi="仿宋"/>
          <w:szCs w:val="30"/>
          <w:lang w:val="en-US" w:eastAsia="zh-CN"/>
        </w:rPr>
        <w:t>实际使用</w:t>
      </w:r>
      <w:r>
        <w:rPr>
          <w:rFonts w:hint="eastAsia" w:ascii="仿宋" w:hAnsi="仿宋" w:eastAsia="仿宋"/>
          <w:sz w:val="30"/>
          <w:szCs w:val="30"/>
        </w:rPr>
        <w:t>资金</w:t>
      </w:r>
      <w:r>
        <w:rPr>
          <w:rFonts w:hint="eastAsia" w:hAnsi="仿宋"/>
          <w:sz w:val="30"/>
          <w:szCs w:val="30"/>
          <w:lang w:val="en-US" w:eastAsia="zh-CN"/>
        </w:rPr>
        <w:t>1,809.51</w:t>
      </w:r>
      <w:r>
        <w:rPr>
          <w:rFonts w:hint="eastAsia" w:ascii="仿宋" w:hAnsi="仿宋" w:eastAsia="仿宋"/>
          <w:sz w:val="30"/>
          <w:szCs w:val="30"/>
        </w:rPr>
        <w:t>万元，</w:t>
      </w:r>
      <w:r>
        <w:rPr>
          <w:rFonts w:hint="eastAsia" w:hAnsi="仿宋"/>
          <w:sz w:val="30"/>
          <w:szCs w:val="30"/>
          <w:lang w:val="en-US" w:eastAsia="zh-CN"/>
        </w:rPr>
        <w:t>结余资金172.49万元，于2020年4月上缴县财政局</w:t>
      </w:r>
      <w:r>
        <w:rPr>
          <w:rFonts w:hint="eastAsia" w:hAnsi="仿宋"/>
          <w:sz w:val="30"/>
          <w:szCs w:val="30"/>
          <w:lang w:eastAsia="zh-CN"/>
        </w:rPr>
        <w:t>。</w:t>
      </w:r>
    </w:p>
    <w:p>
      <w:pPr>
        <w:spacing w:line="579" w:lineRule="exact"/>
        <w:ind w:firstLine="600" w:firstLineChars="200"/>
        <w:outlineLvl w:val="1"/>
        <w:rPr>
          <w:rFonts w:ascii="楷体" w:hAnsi="楷体" w:eastAsia="楷体"/>
          <w:szCs w:val="30"/>
        </w:rPr>
      </w:pPr>
      <w:bookmarkStart w:id="6" w:name="_Toc529348767"/>
      <w:bookmarkStart w:id="7" w:name="_Toc528070243"/>
      <w:r>
        <w:rPr>
          <w:rFonts w:hint="eastAsia" w:ascii="楷体" w:hAnsi="楷体" w:eastAsia="楷体"/>
          <w:szCs w:val="30"/>
        </w:rPr>
        <w:t>（三）项目实施内容</w:t>
      </w:r>
      <w:bookmarkEnd w:id="6"/>
      <w:bookmarkEnd w:id="7"/>
    </w:p>
    <w:p>
      <w:pPr>
        <w:spacing w:line="579" w:lineRule="exact"/>
        <w:ind w:firstLine="640" w:firstLineChars="200"/>
        <w:rPr>
          <w:rFonts w:hint="eastAsia" w:ascii="宋体" w:hAnsi="宋体" w:cs="宋体"/>
          <w:sz w:val="32"/>
          <w:szCs w:val="32"/>
          <w:lang w:val="en-US" w:eastAsia="zh-CN"/>
        </w:rPr>
      </w:pPr>
      <w:r>
        <w:rPr>
          <w:rFonts w:hint="eastAsia" w:ascii="宋体" w:hAnsi="宋体" w:cs="宋体"/>
          <w:sz w:val="32"/>
          <w:szCs w:val="32"/>
        </w:rPr>
        <w:t>根据《德宏州农业农村局 德宏州发展和改革委员会关于盈江糖料蔗核心基地建设项目实施方案的批复》（德农复字〔2019〕50号），</w:t>
      </w:r>
      <w:r>
        <w:rPr>
          <w:rFonts w:hint="eastAsia" w:hAnsi="仿宋" w:cs="Times New Roman"/>
          <w:szCs w:val="30"/>
          <w:lang w:val="en-US" w:eastAsia="zh-CN"/>
        </w:rPr>
        <w:t>盈江县2019年糖料蔗核心基地建设项目涉及7个乡镇11个村，分别为盏西镇双龙村，太平镇芒允村，弄璋镇弄璋村，油松岭乡椿头塘村，旧城镇东山村，平原镇门町村、芒璋村、新莲村、陇中村，新城乡帮瓦村、傣龙村。</w:t>
      </w:r>
      <w:r>
        <w:rPr>
          <w:rFonts w:hint="eastAsia" w:ascii="宋体" w:hAnsi="宋体" w:cs="宋体"/>
          <w:sz w:val="32"/>
          <w:szCs w:val="32"/>
          <w:lang w:val="en-US" w:eastAsia="zh-CN"/>
        </w:rPr>
        <w:t>具体内容为：</w:t>
      </w:r>
    </w:p>
    <w:p>
      <w:pPr>
        <w:spacing w:line="579" w:lineRule="exact"/>
        <w:ind w:firstLine="640" w:firstLineChars="200"/>
        <w:rPr>
          <w:rFonts w:hint="default" w:ascii="宋体" w:hAnsi="宋体" w:cs="宋体"/>
          <w:sz w:val="32"/>
          <w:szCs w:val="32"/>
          <w:lang w:val="zh-CN"/>
        </w:rPr>
      </w:pPr>
      <w:r>
        <w:rPr>
          <w:rFonts w:hint="default" w:ascii="宋体" w:hAnsi="宋体" w:cs="宋体"/>
          <w:sz w:val="32"/>
          <w:szCs w:val="32"/>
          <w:lang w:val="zh-CN"/>
        </w:rPr>
        <w:t>建设糖料蔗核心基地3</w:t>
      </w:r>
      <w:r>
        <w:rPr>
          <w:rFonts w:hint="eastAsia" w:ascii="宋体" w:hAnsi="宋体" w:cs="宋体"/>
          <w:sz w:val="32"/>
          <w:szCs w:val="32"/>
          <w:lang w:val="en-US" w:eastAsia="zh-CN"/>
        </w:rPr>
        <w:t>3</w:t>
      </w:r>
      <w:r>
        <w:rPr>
          <w:rFonts w:hint="default" w:ascii="宋体" w:hAnsi="宋体" w:cs="宋体"/>
          <w:sz w:val="32"/>
          <w:szCs w:val="32"/>
          <w:lang w:val="zh-CN"/>
        </w:rPr>
        <w:t>000亩</w:t>
      </w:r>
      <w:r>
        <w:rPr>
          <w:rFonts w:hint="eastAsia" w:ascii="宋体" w:hAnsi="宋体" w:cs="宋体"/>
          <w:sz w:val="32"/>
          <w:szCs w:val="32"/>
          <w:lang w:val="zh-CN"/>
        </w:rPr>
        <w:t>；</w:t>
      </w:r>
      <w:r>
        <w:rPr>
          <w:rFonts w:hint="default" w:ascii="宋体" w:hAnsi="宋体" w:cs="宋体"/>
          <w:sz w:val="32"/>
          <w:szCs w:val="32"/>
          <w:lang w:val="zh-CN"/>
        </w:rPr>
        <w:t>新建三面防渗衬砌灌排沟渠52条，全长28850m（其中盏西镇6条，长4950m；太平镇6条，长6035m；</w:t>
      </w:r>
      <w:r>
        <w:rPr>
          <w:rFonts w:hint="eastAsia" w:ascii="宋体" w:hAnsi="宋体" w:cs="宋体"/>
          <w:sz w:val="32"/>
          <w:szCs w:val="32"/>
          <w:lang w:val="en-US" w:eastAsia="zh-CN"/>
        </w:rPr>
        <w:t>弄璋</w:t>
      </w:r>
      <w:r>
        <w:rPr>
          <w:rFonts w:hint="default" w:ascii="宋体" w:hAnsi="宋体" w:cs="宋体"/>
          <w:sz w:val="32"/>
          <w:szCs w:val="32"/>
          <w:lang w:val="zh-CN"/>
        </w:rPr>
        <w:t>镇5条，长2785m；油松岭乡5条，长810m；新城乡4条，长3534m；平原镇15条，长6279m；旧城镇11条，长4457m）</w:t>
      </w:r>
      <w:r>
        <w:rPr>
          <w:rFonts w:hint="eastAsia" w:ascii="宋体" w:hAnsi="宋体" w:cs="宋体"/>
          <w:sz w:val="32"/>
          <w:szCs w:val="32"/>
          <w:lang w:val="zh-CN"/>
        </w:rPr>
        <w:t>；</w:t>
      </w:r>
      <w:r>
        <w:rPr>
          <w:rFonts w:hint="default" w:ascii="宋体" w:hAnsi="宋体" w:cs="宋体"/>
          <w:sz w:val="32"/>
          <w:szCs w:val="32"/>
          <w:lang w:val="zh-CN"/>
        </w:rPr>
        <w:t>新修建田间机耕道27条，全长16896m（其中盏西镇1条，长1685m；太平镇2条，长2896m；弄璋镇3条，长1178m；油松岭乡3条，长725m；新城乡4条</w:t>
      </w:r>
      <w:r>
        <w:rPr>
          <w:rFonts w:hint="eastAsia" w:ascii="宋体" w:hAnsi="宋体" w:cs="宋体"/>
          <w:sz w:val="32"/>
          <w:szCs w:val="32"/>
          <w:lang w:val="en-US"/>
        </w:rPr>
        <w:t>，</w:t>
      </w:r>
      <w:r>
        <w:rPr>
          <w:rFonts w:hint="default" w:ascii="宋体" w:hAnsi="宋体" w:cs="宋体"/>
          <w:sz w:val="32"/>
          <w:szCs w:val="32"/>
          <w:lang w:val="zh-CN"/>
        </w:rPr>
        <w:t>长3534m；平原镇10条，长4616m；旧城镇4条，长2262m）</w:t>
      </w:r>
      <w:r>
        <w:rPr>
          <w:rFonts w:hint="eastAsia" w:ascii="宋体" w:hAnsi="宋体" w:cs="宋体"/>
          <w:sz w:val="32"/>
          <w:szCs w:val="32"/>
          <w:lang w:val="zh-CN"/>
        </w:rPr>
        <w:t>；</w:t>
      </w:r>
      <w:r>
        <w:rPr>
          <w:rFonts w:hint="default" w:ascii="宋体" w:hAnsi="宋体" w:cs="宋体"/>
          <w:sz w:val="32"/>
          <w:szCs w:val="32"/>
          <w:lang w:val="zh-CN"/>
        </w:rPr>
        <w:t>灌排沟渠及机耕道根据实际情况布置交叉建筑物有新建取水坝1座，新建背水槽1座，新建挡土墙470m，新建农桥6座，新建农机涵洞56座，新建预制混凝土涵洞59座，新建下田道237座，泄水池2座。</w:t>
      </w:r>
    </w:p>
    <w:p>
      <w:pPr>
        <w:spacing w:line="570" w:lineRule="exact"/>
        <w:ind w:firstLine="600" w:firstLineChars="200"/>
        <w:outlineLvl w:val="1"/>
        <w:rPr>
          <w:rFonts w:ascii="楷体" w:hAnsi="楷体" w:eastAsia="楷体"/>
          <w:sz w:val="30"/>
          <w:szCs w:val="30"/>
        </w:rPr>
      </w:pPr>
      <w:bookmarkStart w:id="8" w:name="_Toc51333611"/>
      <w:r>
        <w:rPr>
          <w:rFonts w:hint="eastAsia" w:ascii="楷体" w:hAnsi="楷体" w:eastAsia="楷体"/>
          <w:sz w:val="30"/>
          <w:szCs w:val="30"/>
        </w:rPr>
        <w:t>（四）绩效目标设立情况</w:t>
      </w:r>
      <w:bookmarkEnd w:id="8"/>
    </w:p>
    <w:p>
      <w:pPr>
        <w:spacing w:line="579" w:lineRule="exact"/>
        <w:ind w:firstLine="600" w:firstLineChars="200"/>
        <w:rPr>
          <w:rFonts w:hAnsi="仿宋"/>
          <w:szCs w:val="30"/>
        </w:rPr>
      </w:pPr>
      <w:r>
        <w:rPr>
          <w:rFonts w:hint="eastAsia" w:hAnsi="仿宋"/>
          <w:szCs w:val="30"/>
        </w:rPr>
        <w:t>1.预算申报绩效目标和绩效指标情况</w:t>
      </w:r>
    </w:p>
    <w:p>
      <w:pPr>
        <w:spacing w:line="579" w:lineRule="exact"/>
        <w:ind w:firstLine="600" w:firstLineChars="200"/>
        <w:rPr>
          <w:rFonts w:hint="default" w:ascii="宋体" w:hAnsi="宋体" w:cs="宋体"/>
          <w:sz w:val="32"/>
          <w:szCs w:val="32"/>
          <w:lang w:val="zh-CN"/>
        </w:rPr>
      </w:pPr>
      <w:r>
        <w:rPr>
          <w:rFonts w:hint="eastAsia" w:hAnsi="仿宋"/>
          <w:szCs w:val="30"/>
          <w:lang w:val="en-US" w:eastAsia="zh-CN"/>
        </w:rPr>
        <w:t>根据盈江县农业农村局绩效目标申报表，</w:t>
      </w:r>
      <w:r>
        <w:rPr>
          <w:rFonts w:hint="eastAsia" w:hAnsi="仿宋"/>
          <w:szCs w:val="30"/>
          <w:lang w:eastAsia="zh-CN"/>
        </w:rPr>
        <w:t>盈江县2019年糖料蔗核心基地建设项目</w:t>
      </w:r>
      <w:r>
        <w:rPr>
          <w:rFonts w:hint="eastAsia" w:hAnsi="仿宋"/>
          <w:szCs w:val="30"/>
          <w:lang w:val="en-US" w:eastAsia="zh-CN"/>
        </w:rPr>
        <w:t>申报</w:t>
      </w:r>
      <w:r>
        <w:rPr>
          <w:rFonts w:hint="eastAsia" w:hAnsi="仿宋"/>
          <w:szCs w:val="30"/>
        </w:rPr>
        <w:t>的绩效目标为</w:t>
      </w:r>
      <w:r>
        <w:rPr>
          <w:rFonts w:hint="eastAsia" w:hAnsi="仿宋"/>
          <w:szCs w:val="30"/>
          <w:lang w:eastAsia="zh-CN"/>
        </w:rPr>
        <w:t>：</w:t>
      </w:r>
      <w:r>
        <w:rPr>
          <w:rFonts w:hint="eastAsia" w:hAnsi="仿宋"/>
          <w:szCs w:val="30"/>
          <w:lang w:val="en-US" w:eastAsia="zh-CN"/>
        </w:rPr>
        <w:t>建设糖料蔗核心基地33000亩，工程内容：</w:t>
      </w:r>
      <w:r>
        <w:rPr>
          <w:rFonts w:hint="eastAsia" w:ascii="宋体" w:hAnsi="宋体" w:cs="宋体"/>
          <w:sz w:val="32"/>
          <w:szCs w:val="32"/>
          <w:lang w:val="en-US" w:eastAsia="zh-CN"/>
        </w:rPr>
        <w:t>灌溉与</w:t>
      </w:r>
      <w:r>
        <w:rPr>
          <w:rFonts w:hint="default" w:ascii="宋体" w:hAnsi="宋体" w:cs="宋体"/>
          <w:sz w:val="32"/>
          <w:szCs w:val="32"/>
          <w:lang w:val="zh-CN"/>
        </w:rPr>
        <w:t>排</w:t>
      </w:r>
      <w:r>
        <w:rPr>
          <w:rFonts w:hint="eastAsia" w:ascii="宋体" w:hAnsi="宋体" w:cs="宋体"/>
          <w:sz w:val="32"/>
          <w:szCs w:val="32"/>
          <w:lang w:val="en-US" w:eastAsia="zh-CN"/>
        </w:rPr>
        <w:t>水工程</w:t>
      </w:r>
      <w:r>
        <w:rPr>
          <w:rFonts w:hint="default" w:ascii="宋体" w:hAnsi="宋体" w:cs="宋体"/>
          <w:sz w:val="32"/>
          <w:szCs w:val="32"/>
          <w:lang w:val="zh-CN"/>
        </w:rPr>
        <w:t>52条，全长28850m</w:t>
      </w:r>
      <w:r>
        <w:rPr>
          <w:rFonts w:hint="eastAsia" w:ascii="宋体" w:hAnsi="宋体" w:cs="宋体"/>
          <w:sz w:val="32"/>
          <w:szCs w:val="32"/>
          <w:lang w:val="zh-CN"/>
        </w:rPr>
        <w:t>；</w:t>
      </w:r>
      <w:r>
        <w:rPr>
          <w:rFonts w:hint="eastAsia" w:ascii="宋体" w:hAnsi="宋体" w:cs="宋体"/>
          <w:sz w:val="32"/>
          <w:szCs w:val="32"/>
          <w:lang w:val="en-US" w:eastAsia="zh-CN"/>
        </w:rPr>
        <w:t>田间道路工程</w:t>
      </w:r>
      <w:r>
        <w:rPr>
          <w:rFonts w:hint="default" w:ascii="宋体" w:hAnsi="宋体" w:cs="宋体"/>
          <w:sz w:val="32"/>
          <w:szCs w:val="32"/>
          <w:lang w:val="zh-CN"/>
        </w:rPr>
        <w:t>27条，全长16896m</w:t>
      </w:r>
      <w:r>
        <w:rPr>
          <w:rFonts w:hint="eastAsia" w:ascii="宋体" w:hAnsi="宋体" w:cs="宋体"/>
          <w:sz w:val="32"/>
          <w:szCs w:val="32"/>
          <w:lang w:val="zh-CN"/>
        </w:rPr>
        <w:t>；</w:t>
      </w:r>
      <w:r>
        <w:rPr>
          <w:rFonts w:hint="default" w:ascii="宋体" w:hAnsi="宋体" w:cs="宋体"/>
          <w:sz w:val="32"/>
          <w:szCs w:val="32"/>
          <w:lang w:val="zh-CN"/>
        </w:rPr>
        <w:t>新建取水坝1座，新建背水槽1座，新建挡土墙470m，新建农桥6座，新建农机涵洞56座，新建预制混凝土涵洞59座，新建下田道237座，</w:t>
      </w:r>
      <w:r>
        <w:rPr>
          <w:rFonts w:hint="eastAsia" w:ascii="宋体" w:hAnsi="宋体" w:cs="宋体"/>
          <w:sz w:val="32"/>
          <w:szCs w:val="32"/>
          <w:lang w:val="en-US" w:eastAsia="zh-CN"/>
        </w:rPr>
        <w:t>沉砂</w:t>
      </w:r>
      <w:r>
        <w:rPr>
          <w:rFonts w:hint="default" w:ascii="宋体" w:hAnsi="宋体" w:cs="宋体"/>
          <w:sz w:val="32"/>
          <w:szCs w:val="32"/>
          <w:lang w:val="zh-CN"/>
        </w:rPr>
        <w:t>池2座。</w:t>
      </w:r>
    </w:p>
    <w:p>
      <w:pPr>
        <w:spacing w:line="579" w:lineRule="exact"/>
        <w:ind w:firstLine="600" w:firstLineChars="200"/>
        <w:rPr>
          <w:rFonts w:hint="eastAsia" w:hAnsi="仿宋"/>
          <w:sz w:val="30"/>
          <w:szCs w:val="30"/>
          <w:lang w:val="en-US" w:eastAsia="zh-CN"/>
        </w:rPr>
      </w:pPr>
      <w:r>
        <w:rPr>
          <w:rFonts w:hint="eastAsia" w:hAnsi="仿宋"/>
          <w:sz w:val="30"/>
          <w:szCs w:val="30"/>
          <w:lang w:val="en-US" w:eastAsia="zh-CN"/>
        </w:rPr>
        <w:t>盈江县农业农村局</w:t>
      </w:r>
      <w:r>
        <w:rPr>
          <w:rFonts w:hint="eastAsia" w:ascii="仿宋" w:hAnsi="仿宋" w:eastAsia="仿宋"/>
          <w:sz w:val="30"/>
          <w:szCs w:val="30"/>
        </w:rPr>
        <w:t>根据绩效目标，设立了</w:t>
      </w:r>
      <w:r>
        <w:rPr>
          <w:rFonts w:hint="eastAsia" w:hAnsi="仿宋"/>
          <w:sz w:val="30"/>
          <w:szCs w:val="30"/>
          <w:lang w:val="en-US" w:eastAsia="zh-CN"/>
        </w:rPr>
        <w:t>15</w:t>
      </w:r>
      <w:r>
        <w:rPr>
          <w:rFonts w:hint="eastAsia" w:ascii="仿宋" w:hAnsi="仿宋" w:eastAsia="仿宋"/>
          <w:sz w:val="30"/>
          <w:szCs w:val="30"/>
        </w:rPr>
        <w:t>个绩效考核指标。</w:t>
      </w:r>
      <w:r>
        <w:rPr>
          <w:rFonts w:hint="eastAsia" w:hAnsi="仿宋"/>
          <w:sz w:val="30"/>
          <w:szCs w:val="30"/>
          <w:lang w:val="en-US" w:eastAsia="zh-CN"/>
        </w:rPr>
        <w:t>具体如下表：</w:t>
      </w:r>
    </w:p>
    <w:p>
      <w:pPr>
        <w:keepNext w:val="0"/>
        <w:keepLines w:val="0"/>
        <w:pageBreakBefore w:val="0"/>
        <w:widowControl w:val="0"/>
        <w:kinsoku/>
        <w:wordWrap/>
        <w:overflowPunct/>
        <w:topLinePunct w:val="0"/>
        <w:autoSpaceDE/>
        <w:autoSpaceDN/>
        <w:bidi w:val="0"/>
        <w:adjustRightInd/>
        <w:snapToGrid/>
        <w:spacing w:before="157" w:beforeLines="50" w:after="157" w:afterLines="50" w:line="579" w:lineRule="exact"/>
        <w:ind w:firstLine="0" w:firstLineChars="0"/>
        <w:jc w:val="center"/>
        <w:textAlignment w:val="auto"/>
        <w:rPr>
          <w:rFonts w:hint="default" w:hAnsi="仿宋"/>
          <w:sz w:val="30"/>
          <w:szCs w:val="30"/>
          <w:lang w:val="en-US" w:eastAsia="zh-CN"/>
        </w:rPr>
      </w:pPr>
      <w:r>
        <w:rPr>
          <w:rFonts w:hint="eastAsia" w:ascii="黑体" w:hAnsi="黑体" w:eastAsia="黑体"/>
          <w:sz w:val="24"/>
          <w:szCs w:val="24"/>
        </w:rPr>
        <w:t>表</w:t>
      </w:r>
      <w:r>
        <w:rPr>
          <w:rFonts w:hint="eastAsia" w:ascii="黑体" w:hAnsi="黑体" w:eastAsia="黑体"/>
          <w:sz w:val="24"/>
          <w:szCs w:val="24"/>
          <w:lang w:val="en-US" w:eastAsia="zh-CN"/>
        </w:rPr>
        <w:t>1</w:t>
      </w:r>
      <w:r>
        <w:rPr>
          <w:rFonts w:hint="eastAsia" w:ascii="黑体" w:hAnsi="黑体" w:eastAsia="黑体"/>
          <w:sz w:val="24"/>
          <w:szCs w:val="24"/>
        </w:rPr>
        <w:t>：预算申报绩效指标表</w:t>
      </w:r>
    </w:p>
    <w:tbl>
      <w:tblPr>
        <w:tblStyle w:val="6"/>
        <w:tblW w:w="8215" w:type="dxa"/>
        <w:jc w:val="center"/>
        <w:shd w:val="clear" w:color="auto" w:fill="auto"/>
        <w:tblLayout w:type="fixed"/>
        <w:tblCellMar>
          <w:top w:w="0" w:type="dxa"/>
          <w:left w:w="0" w:type="dxa"/>
          <w:bottom w:w="0" w:type="dxa"/>
          <w:right w:w="0" w:type="dxa"/>
        </w:tblCellMar>
      </w:tblPr>
      <w:tblGrid>
        <w:gridCol w:w="960"/>
        <w:gridCol w:w="1495"/>
        <w:gridCol w:w="3564"/>
        <w:gridCol w:w="2196"/>
      </w:tblGrid>
      <w:tr>
        <w:tblPrEx>
          <w:shd w:val="clear" w:color="auto" w:fill="auto"/>
          <w:tblCellMar>
            <w:top w:w="0" w:type="dxa"/>
            <w:left w:w="0" w:type="dxa"/>
            <w:bottom w:w="0" w:type="dxa"/>
            <w:right w:w="0" w:type="dxa"/>
          </w:tblCellMar>
        </w:tblPrEx>
        <w:trPr>
          <w:trHeight w:val="431" w:hRule="atLeast"/>
          <w:tblHeader/>
          <w:jc w:val="center"/>
        </w:trPr>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一级指标</w:t>
            </w:r>
          </w:p>
        </w:tc>
        <w:tc>
          <w:tcPr>
            <w:tcW w:w="14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二级指标</w:t>
            </w: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三级指标</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指标值</w:t>
            </w:r>
          </w:p>
        </w:tc>
      </w:tr>
      <w:tr>
        <w:tblPrEx>
          <w:shd w:val="clear" w:color="auto" w:fill="auto"/>
          <w:tblCellMar>
            <w:top w:w="0" w:type="dxa"/>
            <w:left w:w="0" w:type="dxa"/>
            <w:bottom w:w="0" w:type="dxa"/>
            <w:right w:w="0" w:type="dxa"/>
          </w:tblCellMar>
        </w:tblPrEx>
        <w:trPr>
          <w:trHeight w:val="499" w:hRule="atLeast"/>
          <w:jc w:val="center"/>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产出指标</w:t>
            </w:r>
          </w:p>
        </w:tc>
        <w:tc>
          <w:tcPr>
            <w:tcW w:w="14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数量指标</w:t>
            </w: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产稳产农田建设面积</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≥25000亩</w:t>
            </w:r>
          </w:p>
        </w:tc>
      </w:tr>
      <w:tr>
        <w:tblPrEx>
          <w:shd w:val="clear" w:color="auto" w:fill="auto"/>
          <w:tblCellMar>
            <w:top w:w="0" w:type="dxa"/>
            <w:left w:w="0" w:type="dxa"/>
            <w:bottom w:w="0" w:type="dxa"/>
            <w:right w:w="0" w:type="dxa"/>
          </w:tblCellMar>
        </w:tblPrEx>
        <w:trPr>
          <w:trHeight w:val="441" w:hRule="atLeast"/>
          <w:jc w:val="center"/>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4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糖料蔗核心基地建设面积</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≥33000亩</w:t>
            </w:r>
          </w:p>
        </w:tc>
      </w:tr>
      <w:tr>
        <w:tblPrEx>
          <w:shd w:val="clear" w:color="auto" w:fill="auto"/>
          <w:tblCellMar>
            <w:top w:w="0" w:type="dxa"/>
            <w:left w:w="0" w:type="dxa"/>
            <w:bottom w:w="0" w:type="dxa"/>
            <w:right w:w="0" w:type="dxa"/>
          </w:tblCellMar>
        </w:tblPrEx>
        <w:trPr>
          <w:trHeight w:val="499" w:hRule="atLeast"/>
          <w:jc w:val="center"/>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4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质量指标</w:t>
            </w: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平原区生产道路通达度</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100%</w:t>
            </w:r>
          </w:p>
        </w:tc>
      </w:tr>
      <w:tr>
        <w:tblPrEx>
          <w:shd w:val="clear" w:color="auto" w:fill="auto"/>
          <w:tblCellMar>
            <w:top w:w="0" w:type="dxa"/>
            <w:left w:w="0" w:type="dxa"/>
            <w:bottom w:w="0" w:type="dxa"/>
            <w:right w:w="0" w:type="dxa"/>
          </w:tblCellMar>
        </w:tblPrEx>
        <w:trPr>
          <w:trHeight w:val="441" w:hRule="atLeast"/>
          <w:jc w:val="center"/>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4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丘陵区生产道路通达度</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≥90%</w:t>
            </w:r>
          </w:p>
        </w:tc>
      </w:tr>
      <w:tr>
        <w:tblPrEx>
          <w:shd w:val="clear" w:color="auto" w:fill="auto"/>
          <w:tblCellMar>
            <w:top w:w="0" w:type="dxa"/>
            <w:left w:w="0" w:type="dxa"/>
            <w:bottom w:w="0" w:type="dxa"/>
            <w:right w:w="0" w:type="dxa"/>
          </w:tblCellMar>
        </w:tblPrEx>
        <w:trPr>
          <w:trHeight w:val="419" w:hRule="atLeast"/>
          <w:jc w:val="center"/>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4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项目验收合格率</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≥100%</w:t>
            </w:r>
          </w:p>
        </w:tc>
      </w:tr>
      <w:tr>
        <w:tblPrEx>
          <w:shd w:val="clear" w:color="auto" w:fill="auto"/>
          <w:tblCellMar>
            <w:top w:w="0" w:type="dxa"/>
            <w:left w:w="0" w:type="dxa"/>
            <w:bottom w:w="0" w:type="dxa"/>
            <w:right w:w="0" w:type="dxa"/>
          </w:tblCellMar>
        </w:tblPrEx>
        <w:trPr>
          <w:trHeight w:val="90" w:hRule="atLeast"/>
          <w:jc w:val="center"/>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4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时效指标</w:t>
            </w: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任务完成及时率</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≥100%</w:t>
            </w:r>
          </w:p>
        </w:tc>
      </w:tr>
      <w:tr>
        <w:tblPrEx>
          <w:shd w:val="clear" w:color="auto" w:fill="auto"/>
          <w:tblCellMar>
            <w:top w:w="0" w:type="dxa"/>
            <w:left w:w="0" w:type="dxa"/>
            <w:bottom w:w="0" w:type="dxa"/>
            <w:right w:w="0" w:type="dxa"/>
          </w:tblCellMar>
        </w:tblPrEx>
        <w:trPr>
          <w:trHeight w:val="499" w:hRule="atLeast"/>
          <w:jc w:val="center"/>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4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成本指标</w:t>
            </w: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产稳产农田建设项目亩均补助标准</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1046元</w:t>
            </w:r>
          </w:p>
        </w:tc>
      </w:tr>
      <w:tr>
        <w:tblPrEx>
          <w:shd w:val="clear" w:color="auto" w:fill="auto"/>
          <w:tblCellMar>
            <w:top w:w="0" w:type="dxa"/>
            <w:left w:w="0" w:type="dxa"/>
            <w:bottom w:w="0" w:type="dxa"/>
            <w:right w:w="0" w:type="dxa"/>
          </w:tblCellMar>
        </w:tblPrEx>
        <w:trPr>
          <w:trHeight w:val="457" w:hRule="atLeast"/>
          <w:jc w:val="center"/>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4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糖料蔗核心基地建设项目亩均补助标准</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600元</w:t>
            </w:r>
          </w:p>
        </w:tc>
      </w:tr>
      <w:tr>
        <w:tblPrEx>
          <w:shd w:val="clear" w:color="auto" w:fill="auto"/>
          <w:tblCellMar>
            <w:top w:w="0" w:type="dxa"/>
            <w:left w:w="0" w:type="dxa"/>
            <w:bottom w:w="0" w:type="dxa"/>
            <w:right w:w="0" w:type="dxa"/>
          </w:tblCellMar>
        </w:tblPrEx>
        <w:trPr>
          <w:trHeight w:val="499" w:hRule="atLeast"/>
          <w:jc w:val="center"/>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效益指标</w:t>
            </w:r>
          </w:p>
        </w:tc>
        <w:tc>
          <w:tcPr>
            <w:tcW w:w="14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经济效益指标</w:t>
            </w: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新增粮食和其他作物产能</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≥1950万公斤</w:t>
            </w:r>
          </w:p>
        </w:tc>
      </w:tr>
      <w:tr>
        <w:tblPrEx>
          <w:shd w:val="clear" w:color="auto" w:fill="auto"/>
          <w:tblCellMar>
            <w:top w:w="0" w:type="dxa"/>
            <w:left w:w="0" w:type="dxa"/>
            <w:bottom w:w="0" w:type="dxa"/>
            <w:right w:w="0" w:type="dxa"/>
          </w:tblCellMar>
        </w:tblPrEx>
        <w:trPr>
          <w:trHeight w:val="499" w:hRule="atLeast"/>
          <w:jc w:val="center"/>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4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社会效益指标</w:t>
            </w: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受益建档立卡贫困人数</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≥3477人</w:t>
            </w:r>
          </w:p>
        </w:tc>
      </w:tr>
      <w:tr>
        <w:tblPrEx>
          <w:shd w:val="clear" w:color="auto" w:fill="auto"/>
          <w:tblCellMar>
            <w:top w:w="0" w:type="dxa"/>
            <w:left w:w="0" w:type="dxa"/>
            <w:bottom w:w="0" w:type="dxa"/>
            <w:right w:w="0" w:type="dxa"/>
          </w:tblCellMar>
        </w:tblPrEx>
        <w:trPr>
          <w:trHeight w:val="499" w:hRule="atLeast"/>
          <w:jc w:val="center"/>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4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带动建档立卡贫困人口脱贫数</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≥3477人</w:t>
            </w:r>
          </w:p>
        </w:tc>
      </w:tr>
      <w:tr>
        <w:tblPrEx>
          <w:shd w:val="clear" w:color="auto" w:fill="auto"/>
          <w:tblCellMar>
            <w:top w:w="0" w:type="dxa"/>
            <w:left w:w="0" w:type="dxa"/>
            <w:bottom w:w="0" w:type="dxa"/>
            <w:right w:w="0" w:type="dxa"/>
          </w:tblCellMar>
        </w:tblPrEx>
        <w:trPr>
          <w:trHeight w:val="499" w:hRule="atLeast"/>
          <w:jc w:val="center"/>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4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生态效益指标</w:t>
            </w: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耕地质量</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比上年提高</w:t>
            </w:r>
          </w:p>
        </w:tc>
      </w:tr>
      <w:tr>
        <w:tblPrEx>
          <w:shd w:val="clear" w:color="auto" w:fill="auto"/>
          <w:tblCellMar>
            <w:top w:w="0" w:type="dxa"/>
            <w:left w:w="0" w:type="dxa"/>
            <w:bottom w:w="0" w:type="dxa"/>
            <w:right w:w="0" w:type="dxa"/>
          </w:tblCellMar>
        </w:tblPrEx>
        <w:trPr>
          <w:trHeight w:val="499" w:hRule="atLeast"/>
          <w:jc w:val="center"/>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4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水资源利用率</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比上年提高</w:t>
            </w:r>
          </w:p>
        </w:tc>
      </w:tr>
      <w:tr>
        <w:tblPrEx>
          <w:shd w:val="clear" w:color="auto" w:fill="auto"/>
          <w:tblCellMar>
            <w:top w:w="0" w:type="dxa"/>
            <w:left w:w="0" w:type="dxa"/>
            <w:bottom w:w="0" w:type="dxa"/>
            <w:right w:w="0" w:type="dxa"/>
          </w:tblCellMar>
        </w:tblPrEx>
        <w:trPr>
          <w:trHeight w:val="499" w:hRule="atLeast"/>
          <w:jc w:val="center"/>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4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可持续影响指标</w:t>
            </w: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工程质量寿命</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≥10年</w:t>
            </w:r>
          </w:p>
        </w:tc>
      </w:tr>
      <w:tr>
        <w:tblPrEx>
          <w:shd w:val="clear" w:color="auto" w:fill="auto"/>
          <w:tblCellMar>
            <w:top w:w="0" w:type="dxa"/>
            <w:left w:w="0" w:type="dxa"/>
            <w:bottom w:w="0" w:type="dxa"/>
            <w:right w:w="0" w:type="dxa"/>
          </w:tblCellMar>
        </w:tblPrEx>
        <w:trPr>
          <w:trHeight w:val="499" w:hRule="atLeast"/>
          <w:jc w:val="center"/>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满意度指标</w:t>
            </w:r>
          </w:p>
        </w:tc>
        <w:tc>
          <w:tcPr>
            <w:tcW w:w="14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服务对象满意度指标</w:t>
            </w: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受益群众满意度</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≥90%</w:t>
            </w:r>
          </w:p>
        </w:tc>
      </w:tr>
      <w:tr>
        <w:tblPrEx>
          <w:tblCellMar>
            <w:top w:w="0" w:type="dxa"/>
            <w:left w:w="0" w:type="dxa"/>
            <w:bottom w:w="0" w:type="dxa"/>
            <w:right w:w="0" w:type="dxa"/>
          </w:tblCellMar>
        </w:tblPrEx>
        <w:trPr>
          <w:trHeight w:val="499" w:hRule="atLeast"/>
          <w:jc w:val="center"/>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4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35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受益乡镇、村满意度</w:t>
            </w:r>
          </w:p>
        </w:tc>
        <w:tc>
          <w:tcPr>
            <w:tcW w:w="21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≥90%</w:t>
            </w:r>
          </w:p>
        </w:tc>
      </w:tr>
    </w:tbl>
    <w:p>
      <w:pPr>
        <w:spacing w:line="579" w:lineRule="exact"/>
        <w:ind w:firstLine="600" w:firstLineChars="200"/>
        <w:rPr>
          <w:rFonts w:hint="eastAsia" w:hAnsi="仿宋"/>
          <w:szCs w:val="30"/>
        </w:rPr>
      </w:pPr>
      <w:r>
        <w:rPr>
          <w:rFonts w:hint="eastAsia" w:hAnsi="仿宋"/>
          <w:szCs w:val="30"/>
        </w:rPr>
        <w:t>根据《盈江县财政局关于下达2019年统筹整合第六批脱贫攻坚项目资金的通知》（盈财整合〔2019〕78号）</w:t>
      </w:r>
      <w:r>
        <w:rPr>
          <w:rFonts w:hint="eastAsia" w:hAnsi="仿宋"/>
          <w:szCs w:val="30"/>
          <w:lang w:eastAsia="zh-CN"/>
        </w:rPr>
        <w:t>，</w:t>
      </w:r>
      <w:r>
        <w:rPr>
          <w:rFonts w:hint="eastAsia" w:hAnsi="仿宋"/>
          <w:szCs w:val="30"/>
          <w:lang w:val="en-US" w:eastAsia="zh-CN"/>
        </w:rPr>
        <w:t>盈江县财政局</w:t>
      </w:r>
      <w:r>
        <w:rPr>
          <w:rFonts w:hint="eastAsia" w:hAnsi="仿宋"/>
          <w:szCs w:val="30"/>
        </w:rPr>
        <w:t>针对</w:t>
      </w:r>
      <w:r>
        <w:rPr>
          <w:rFonts w:hint="eastAsia" w:hAnsi="仿宋"/>
          <w:szCs w:val="30"/>
          <w:lang w:eastAsia="zh-CN"/>
        </w:rPr>
        <w:t>盈江县2019年糖料蔗核心基地建设项目</w:t>
      </w:r>
      <w:r>
        <w:rPr>
          <w:rFonts w:hint="eastAsia" w:hAnsi="仿宋"/>
          <w:szCs w:val="30"/>
          <w:lang w:val="en-US" w:eastAsia="zh-CN"/>
        </w:rPr>
        <w:t>下达</w:t>
      </w:r>
      <w:r>
        <w:rPr>
          <w:rFonts w:hint="eastAsia" w:hAnsi="仿宋"/>
          <w:szCs w:val="30"/>
        </w:rPr>
        <w:t>的绩效目标为：完成糖料蔗核心基地建设33000亩</w:t>
      </w:r>
      <w:r>
        <w:rPr>
          <w:rFonts w:hint="eastAsia" w:hAnsi="仿宋"/>
          <w:szCs w:val="30"/>
          <w:lang w:eastAsia="zh-CN"/>
        </w:rPr>
        <w:t>，</w:t>
      </w:r>
      <w:r>
        <w:rPr>
          <w:rFonts w:hint="eastAsia" w:hAnsi="仿宋"/>
          <w:szCs w:val="30"/>
        </w:rPr>
        <w:t>平原区生产道路通达100%， 丘陵区生产道路通90%以上，新增甘蔗产能达1650万公斤，耕地质量提高0.5级，水资源利用率达63%，受益群众满意度达90%以上。</w:t>
      </w:r>
    </w:p>
    <w:p>
      <w:pPr>
        <w:spacing w:line="579" w:lineRule="exact"/>
        <w:ind w:firstLine="600" w:firstLineChars="200"/>
        <w:rPr>
          <w:rFonts w:hAnsi="仿宋"/>
          <w:color w:val="auto"/>
          <w:szCs w:val="30"/>
        </w:rPr>
      </w:pPr>
      <w:r>
        <w:rPr>
          <w:rFonts w:hint="eastAsia" w:hAnsi="仿宋"/>
          <w:color w:val="auto"/>
          <w:szCs w:val="30"/>
        </w:rPr>
        <w:t>2.绩效评价调整后的绩效指标情况</w:t>
      </w:r>
    </w:p>
    <w:p>
      <w:pPr>
        <w:spacing w:line="579" w:lineRule="exact"/>
        <w:ind w:firstLine="600" w:firstLineChars="200"/>
        <w:rPr>
          <w:rFonts w:hAnsi="仿宋" w:cs="仿宋"/>
          <w:szCs w:val="30"/>
        </w:rPr>
      </w:pPr>
      <w:r>
        <w:rPr>
          <w:rFonts w:hint="eastAsia" w:hAnsi="仿宋"/>
          <w:color w:val="auto"/>
          <w:szCs w:val="30"/>
          <w:lang w:val="en-US" w:eastAsia="zh-CN"/>
        </w:rPr>
        <w:t>由于盈江县农业农村局将本项目与盈江县2019年全国新增千亿斤增粮生产能力规划田间工程建设项目合并申报绩效目标，</w:t>
      </w:r>
      <w:r>
        <w:rPr>
          <w:rFonts w:hint="eastAsia" w:hAnsi="仿宋" w:cs="仿宋"/>
          <w:szCs w:val="30"/>
        </w:rPr>
        <w:t>绩效目标细化</w:t>
      </w:r>
      <w:r>
        <w:rPr>
          <w:rFonts w:hint="eastAsia" w:hAnsi="仿宋" w:cs="仿宋"/>
          <w:szCs w:val="30"/>
          <w:lang w:val="en-US" w:eastAsia="zh-CN"/>
        </w:rPr>
        <w:t>分解</w:t>
      </w:r>
      <w:r>
        <w:rPr>
          <w:rFonts w:hint="eastAsia" w:hAnsi="仿宋" w:cs="仿宋"/>
          <w:szCs w:val="30"/>
        </w:rPr>
        <w:t>的</w:t>
      </w:r>
      <w:r>
        <w:rPr>
          <w:rFonts w:hint="eastAsia" w:hAnsi="仿宋"/>
          <w:color w:val="auto"/>
          <w:szCs w:val="30"/>
          <w:lang w:val="en-US" w:eastAsia="zh-CN"/>
        </w:rPr>
        <w:t>绩效指标缺乏考核项目产出关键性指标且部分指标值无法衡量，</w:t>
      </w:r>
      <w:r>
        <w:rPr>
          <w:rFonts w:hint="eastAsia" w:hAnsi="仿宋" w:cs="仿宋"/>
          <w:szCs w:val="30"/>
        </w:rPr>
        <w:t>本次绩效评价</w:t>
      </w:r>
      <w:r>
        <w:rPr>
          <w:rFonts w:hint="eastAsia" w:hAnsi="仿宋" w:cs="仿宋"/>
          <w:szCs w:val="30"/>
          <w:lang w:val="en-US" w:eastAsia="zh-CN"/>
        </w:rPr>
        <w:t>根据</w:t>
      </w:r>
      <w:r>
        <w:rPr>
          <w:rFonts w:hint="eastAsia" w:hAnsi="仿宋" w:cs="仿宋"/>
          <w:szCs w:val="30"/>
        </w:rPr>
        <w:t>项目申报表、年度工作计划和总结、实施方案等</w:t>
      </w:r>
      <w:r>
        <w:rPr>
          <w:rFonts w:hAnsi="仿宋" w:cs="仿宋"/>
          <w:szCs w:val="30"/>
        </w:rPr>
        <w:t>，结合</w:t>
      </w:r>
      <w:r>
        <w:rPr>
          <w:rFonts w:hint="eastAsia" w:hAnsi="仿宋" w:cs="仿宋"/>
          <w:szCs w:val="30"/>
          <w:lang w:val="en-US" w:eastAsia="zh-CN"/>
        </w:rPr>
        <w:t>项目自身</w:t>
      </w:r>
      <w:r>
        <w:rPr>
          <w:rFonts w:hint="eastAsia" w:hAnsi="仿宋" w:cs="仿宋"/>
          <w:szCs w:val="30"/>
        </w:rPr>
        <w:t>特点</w:t>
      </w:r>
      <w:r>
        <w:rPr>
          <w:rFonts w:hAnsi="仿宋" w:cs="仿宋"/>
          <w:szCs w:val="30"/>
        </w:rPr>
        <w:t>，在与</w:t>
      </w:r>
      <w:r>
        <w:rPr>
          <w:rFonts w:hint="eastAsia" w:hAnsi="仿宋" w:cs="仿宋"/>
          <w:szCs w:val="30"/>
        </w:rPr>
        <w:t>项目实施单位</w:t>
      </w:r>
      <w:r>
        <w:rPr>
          <w:rFonts w:hAnsi="仿宋" w:cs="仿宋"/>
          <w:szCs w:val="30"/>
        </w:rPr>
        <w:t>沟通协商</w:t>
      </w:r>
      <w:r>
        <w:rPr>
          <w:rFonts w:hint="eastAsia" w:hAnsi="仿宋" w:cs="仿宋"/>
          <w:szCs w:val="30"/>
        </w:rPr>
        <w:t>一致</w:t>
      </w:r>
      <w:r>
        <w:rPr>
          <w:rFonts w:hAnsi="仿宋" w:cs="仿宋"/>
          <w:szCs w:val="30"/>
        </w:rPr>
        <w:t>的基础上，</w:t>
      </w:r>
      <w:r>
        <w:rPr>
          <w:rFonts w:hint="eastAsia" w:hAnsi="仿宋" w:cs="仿宋"/>
          <w:szCs w:val="30"/>
          <w:lang w:val="en-US" w:eastAsia="zh-CN"/>
        </w:rPr>
        <w:t>确定了盈江县2019年糖料蔗核心基地建设项目的</w:t>
      </w:r>
      <w:r>
        <w:rPr>
          <w:rFonts w:hint="eastAsia" w:hAnsi="仿宋" w:cs="仿宋"/>
          <w:szCs w:val="30"/>
        </w:rPr>
        <w:t>绩效</w:t>
      </w:r>
      <w:r>
        <w:rPr>
          <w:rFonts w:hAnsi="仿宋" w:cs="仿宋"/>
          <w:szCs w:val="30"/>
        </w:rPr>
        <w:t>目标</w:t>
      </w:r>
      <w:r>
        <w:rPr>
          <w:rFonts w:hint="eastAsia" w:hAnsi="仿宋" w:cs="仿宋"/>
          <w:szCs w:val="30"/>
          <w:lang w:eastAsia="zh-CN"/>
        </w:rPr>
        <w:t>。</w:t>
      </w:r>
      <w:r>
        <w:rPr>
          <w:rFonts w:hint="eastAsia" w:hAnsi="仿宋" w:cs="仿宋"/>
          <w:szCs w:val="30"/>
          <w:lang w:val="en-US" w:eastAsia="zh-CN"/>
        </w:rPr>
        <w:t>具体情况</w:t>
      </w:r>
      <w:r>
        <w:rPr>
          <w:rFonts w:hAnsi="仿宋" w:cs="仿宋"/>
          <w:szCs w:val="30"/>
        </w:rPr>
        <w:t>如下：</w:t>
      </w:r>
    </w:p>
    <w:p>
      <w:pPr>
        <w:spacing w:line="579" w:lineRule="exact"/>
        <w:ind w:firstLine="600" w:firstLineChars="200"/>
        <w:rPr>
          <w:rFonts w:hint="eastAsia" w:hAnsi="仿宋" w:cs="仿宋"/>
          <w:szCs w:val="30"/>
        </w:rPr>
      </w:pPr>
      <w:r>
        <w:rPr>
          <w:rFonts w:hint="eastAsia" w:hAnsi="仿宋" w:cs="仿宋"/>
          <w:szCs w:val="30"/>
          <w:lang w:val="en-US" w:eastAsia="zh-CN"/>
        </w:rPr>
        <w:t>（1）通过项目实施</w:t>
      </w:r>
      <w:r>
        <w:rPr>
          <w:rFonts w:hint="eastAsia" w:hAnsi="仿宋" w:cs="仿宋"/>
          <w:szCs w:val="30"/>
        </w:rPr>
        <w:t>完成建设糖料蔗核心基地33000亩</w:t>
      </w:r>
      <w:r>
        <w:rPr>
          <w:rFonts w:hint="eastAsia" w:hAnsi="仿宋" w:cs="仿宋"/>
          <w:szCs w:val="30"/>
          <w:lang w:eastAsia="zh-CN"/>
        </w:rPr>
        <w:t>；</w:t>
      </w:r>
      <w:r>
        <w:rPr>
          <w:rFonts w:hint="eastAsia" w:hAnsi="仿宋" w:cs="仿宋"/>
          <w:szCs w:val="30"/>
        </w:rPr>
        <w:t>新建灌溉与排水工程52条，全长28850m；</w:t>
      </w:r>
      <w:r>
        <w:rPr>
          <w:rFonts w:hint="eastAsia" w:hAnsi="仿宋" w:cs="仿宋"/>
          <w:szCs w:val="30"/>
          <w:lang w:val="en-US" w:eastAsia="zh-CN"/>
        </w:rPr>
        <w:t>新修</w:t>
      </w:r>
      <w:r>
        <w:rPr>
          <w:rFonts w:hint="eastAsia" w:hAnsi="仿宋" w:cs="仿宋"/>
          <w:szCs w:val="30"/>
        </w:rPr>
        <w:t>田间道路工程27条，全长16896m；新建取水坝1座，新建背水槽1座，新建挡土墙470m，新建农桥6座，新建农机涵洞56座，新建预制混凝土涵洞59座，新建下田道237座，沉砂池2座。</w:t>
      </w:r>
    </w:p>
    <w:p>
      <w:pPr>
        <w:numPr>
          <w:ilvl w:val="0"/>
          <w:numId w:val="0"/>
        </w:numPr>
        <w:spacing w:line="579" w:lineRule="exact"/>
        <w:ind w:firstLine="600" w:firstLineChars="200"/>
        <w:rPr>
          <w:rFonts w:hAnsi="仿宋" w:cs="仿宋"/>
          <w:szCs w:val="30"/>
        </w:rPr>
      </w:pPr>
      <w:r>
        <w:rPr>
          <w:rFonts w:hint="eastAsia" w:hAnsi="仿宋" w:cs="仿宋"/>
          <w:szCs w:val="30"/>
          <w:lang w:eastAsia="zh-CN"/>
        </w:rPr>
        <w:t>（</w:t>
      </w:r>
      <w:r>
        <w:rPr>
          <w:rFonts w:hint="eastAsia" w:hAnsi="仿宋" w:cs="仿宋"/>
          <w:szCs w:val="30"/>
          <w:lang w:val="en-US" w:eastAsia="zh-CN"/>
        </w:rPr>
        <w:t>2</w:t>
      </w:r>
      <w:r>
        <w:rPr>
          <w:rFonts w:hint="eastAsia" w:hAnsi="仿宋" w:cs="仿宋"/>
          <w:szCs w:val="30"/>
          <w:lang w:eastAsia="zh-CN"/>
        </w:rPr>
        <w:t>）</w:t>
      </w:r>
      <w:r>
        <w:rPr>
          <w:rFonts w:hint="eastAsia" w:hAnsi="仿宋" w:cs="仿宋"/>
          <w:szCs w:val="30"/>
        </w:rPr>
        <w:t>通过改善和解决项目区灌溉排水、基础设施和交通问题，使项目区甘蔗作物亩产达5.4吨，亩均增产0.5吨，总产量达178200吨。</w:t>
      </w:r>
    </w:p>
    <w:p>
      <w:pPr>
        <w:numPr>
          <w:ilvl w:val="0"/>
          <w:numId w:val="0"/>
        </w:numPr>
        <w:spacing w:line="579" w:lineRule="exact"/>
        <w:ind w:firstLine="600" w:firstLineChars="200"/>
        <w:rPr>
          <w:rFonts w:hAnsi="仿宋" w:cs="仿宋"/>
          <w:szCs w:val="30"/>
        </w:rPr>
      </w:pPr>
      <w:r>
        <w:rPr>
          <w:rFonts w:hint="eastAsia" w:hAnsi="仿宋" w:cs="仿宋"/>
          <w:szCs w:val="30"/>
          <w:lang w:eastAsia="zh-CN"/>
        </w:rPr>
        <w:t>（</w:t>
      </w:r>
      <w:r>
        <w:rPr>
          <w:rFonts w:hint="eastAsia" w:hAnsi="仿宋" w:cs="仿宋"/>
          <w:szCs w:val="30"/>
          <w:lang w:val="en-US" w:eastAsia="zh-CN"/>
        </w:rPr>
        <w:t>3</w:t>
      </w:r>
      <w:r>
        <w:rPr>
          <w:rFonts w:hint="eastAsia" w:hAnsi="仿宋" w:cs="仿宋"/>
          <w:szCs w:val="30"/>
          <w:lang w:eastAsia="zh-CN"/>
        </w:rPr>
        <w:t>）</w:t>
      </w:r>
      <w:r>
        <w:rPr>
          <w:rFonts w:hint="eastAsia" w:hAnsi="仿宋" w:cs="仿宋"/>
          <w:szCs w:val="30"/>
        </w:rPr>
        <w:t>通过项目实施，改善项目区农业生产灌源条件，稳定甘蔗种植面积，提高灌溉保证率和土地利用率，改善水土涵养条件，防治水土流失，加快农业种植结构的调整步伐，推进蔗糖产业发展，促进农业和农村经济的发展，增加农民经济收入。</w:t>
      </w:r>
    </w:p>
    <w:p>
      <w:pPr>
        <w:numPr>
          <w:ilvl w:val="0"/>
          <w:numId w:val="0"/>
        </w:numPr>
        <w:spacing w:line="579" w:lineRule="exact"/>
        <w:ind w:firstLine="600" w:firstLineChars="200"/>
        <w:rPr>
          <w:rFonts w:hint="eastAsia" w:hAnsi="仿宋" w:eastAsia="仿宋" w:cs="仿宋"/>
          <w:szCs w:val="30"/>
          <w:lang w:eastAsia="zh-CN"/>
        </w:rPr>
      </w:pPr>
      <w:r>
        <w:rPr>
          <w:rFonts w:hint="eastAsia" w:hAnsi="仿宋" w:cs="仿宋"/>
          <w:szCs w:val="30"/>
          <w:lang w:eastAsia="zh-CN"/>
        </w:rPr>
        <w:t>（</w:t>
      </w:r>
      <w:r>
        <w:rPr>
          <w:rFonts w:hint="eastAsia" w:hAnsi="仿宋" w:cs="仿宋"/>
          <w:szCs w:val="30"/>
          <w:lang w:val="en-US" w:eastAsia="zh-CN"/>
        </w:rPr>
        <w:t>4</w:t>
      </w:r>
      <w:r>
        <w:rPr>
          <w:rFonts w:hint="eastAsia" w:hAnsi="仿宋" w:cs="仿宋"/>
          <w:szCs w:val="30"/>
          <w:lang w:eastAsia="zh-CN"/>
        </w:rPr>
        <w:t>）</w:t>
      </w:r>
      <w:r>
        <w:rPr>
          <w:rFonts w:hint="eastAsia" w:hAnsi="仿宋" w:cs="仿宋"/>
          <w:szCs w:val="30"/>
        </w:rPr>
        <w:t>科学施肥、高效中低毒农药施用等配套农艺措施的落实，减少生产中偏施氮肥、滥用农药对周边环境的影响，改善农业生态环境</w:t>
      </w:r>
      <w:r>
        <w:rPr>
          <w:rFonts w:hint="eastAsia" w:hAnsi="仿宋" w:cs="仿宋"/>
          <w:szCs w:val="30"/>
          <w:lang w:eastAsia="zh-CN"/>
        </w:rPr>
        <w:t>。</w:t>
      </w:r>
    </w:p>
    <w:p>
      <w:pPr>
        <w:numPr>
          <w:ilvl w:val="0"/>
          <w:numId w:val="0"/>
        </w:numPr>
        <w:spacing w:line="579" w:lineRule="exact"/>
        <w:ind w:firstLine="600" w:firstLineChars="200"/>
        <w:rPr>
          <w:rFonts w:hint="default" w:hAnsi="仿宋" w:eastAsia="仿宋" w:cs="仿宋"/>
          <w:szCs w:val="30"/>
          <w:lang w:val="en-US" w:eastAsia="zh-CN"/>
        </w:rPr>
      </w:pPr>
      <w:r>
        <w:rPr>
          <w:rFonts w:hint="eastAsia" w:hAnsi="仿宋" w:cs="仿宋"/>
          <w:szCs w:val="30"/>
          <w:lang w:eastAsia="zh-CN"/>
        </w:rPr>
        <w:t>（</w:t>
      </w:r>
      <w:r>
        <w:rPr>
          <w:rFonts w:hint="eastAsia" w:hAnsi="仿宋" w:cs="仿宋"/>
          <w:szCs w:val="30"/>
          <w:lang w:val="en-US" w:eastAsia="zh-CN"/>
        </w:rPr>
        <w:t>5</w:t>
      </w:r>
      <w:r>
        <w:rPr>
          <w:rFonts w:hint="eastAsia" w:hAnsi="仿宋" w:cs="仿宋"/>
          <w:szCs w:val="30"/>
          <w:lang w:eastAsia="zh-CN"/>
        </w:rPr>
        <w:t>）</w:t>
      </w:r>
      <w:r>
        <w:rPr>
          <w:rFonts w:hint="eastAsia" w:hAnsi="仿宋" w:cs="仿宋"/>
          <w:szCs w:val="30"/>
          <w:lang w:val="en-US" w:eastAsia="zh-CN"/>
        </w:rPr>
        <w:t>受益对象满意度达90%。</w:t>
      </w:r>
    </w:p>
    <w:p>
      <w:pPr>
        <w:spacing w:line="579" w:lineRule="exact"/>
        <w:ind w:firstLine="600" w:firstLineChars="200"/>
        <w:rPr>
          <w:rFonts w:hint="eastAsia" w:hAnsi="仿宋" w:cs="仿宋"/>
          <w:szCs w:val="30"/>
        </w:rPr>
      </w:pPr>
      <w:r>
        <w:rPr>
          <w:rFonts w:hint="eastAsia" w:hAnsi="仿宋" w:cs="仿宋"/>
          <w:szCs w:val="30"/>
        </w:rPr>
        <w:t>调整后的绩效目标、绩效指标详见附件1：绩效评价绩效目标表。</w:t>
      </w:r>
    </w:p>
    <w:p>
      <w:pPr>
        <w:spacing w:line="579" w:lineRule="exact"/>
        <w:ind w:firstLine="600" w:firstLineChars="200"/>
        <w:rPr>
          <w:rFonts w:hint="eastAsia" w:ascii="楷体" w:hAnsi="楷体" w:eastAsia="楷体"/>
          <w:color w:val="000000" w:themeColor="text1"/>
          <w:szCs w:val="30"/>
          <w14:textFill>
            <w14:solidFill>
              <w14:schemeClr w14:val="tx1"/>
            </w14:solidFill>
          </w14:textFill>
        </w:rPr>
      </w:pPr>
      <w:bookmarkStart w:id="9" w:name="_Toc6712"/>
      <w:r>
        <w:rPr>
          <w:rFonts w:ascii="楷体" w:hAnsi="楷体" w:eastAsia="楷体"/>
          <w:color w:val="000000" w:themeColor="text1"/>
          <w:szCs w:val="30"/>
          <w14:textFill>
            <w14:solidFill>
              <w14:schemeClr w14:val="tx1"/>
            </w14:solidFill>
          </w14:textFill>
        </w:rPr>
        <w:fldChar w:fldCharType="begin"/>
      </w:r>
      <w:r>
        <w:rPr>
          <w:rFonts w:ascii="楷体" w:hAnsi="楷体" w:eastAsia="楷体"/>
          <w:color w:val="000000" w:themeColor="text1"/>
          <w:szCs w:val="30"/>
          <w14:textFill>
            <w14:solidFill>
              <w14:schemeClr w14:val="tx1"/>
            </w14:solidFill>
          </w14:textFill>
        </w:rPr>
        <w:instrText xml:space="preserve"> HYPERLINK \l "_Toc434746189" </w:instrText>
      </w:r>
      <w:r>
        <w:rPr>
          <w:rFonts w:ascii="楷体" w:hAnsi="楷体" w:eastAsia="楷体"/>
          <w:color w:val="000000" w:themeColor="text1"/>
          <w:szCs w:val="30"/>
          <w14:textFill>
            <w14:solidFill>
              <w14:schemeClr w14:val="tx1"/>
            </w14:solidFill>
          </w14:textFill>
        </w:rPr>
        <w:fldChar w:fldCharType="separate"/>
      </w:r>
      <w:bookmarkStart w:id="10" w:name="_Toc516669091"/>
      <w:r>
        <w:rPr>
          <w:rFonts w:hint="eastAsia" w:ascii="楷体" w:hAnsi="楷体" w:eastAsia="楷体"/>
          <w:color w:val="000000" w:themeColor="text1"/>
          <w:szCs w:val="30"/>
          <w14:textFill>
            <w14:solidFill>
              <w14:schemeClr w14:val="tx1"/>
            </w14:solidFill>
          </w14:textFill>
        </w:rPr>
        <w:t>（五）</w:t>
      </w:r>
      <w:r>
        <w:rPr>
          <w:rFonts w:ascii="楷体" w:hAnsi="楷体" w:eastAsia="楷体"/>
          <w:color w:val="000000" w:themeColor="text1"/>
          <w:szCs w:val="30"/>
          <w14:textFill>
            <w14:solidFill>
              <w14:schemeClr w14:val="tx1"/>
            </w14:solidFill>
          </w14:textFill>
        </w:rPr>
        <w:fldChar w:fldCharType="end"/>
      </w:r>
      <w:r>
        <w:rPr>
          <w:rFonts w:hint="eastAsia" w:ascii="楷体" w:hAnsi="楷体" w:eastAsia="楷体"/>
          <w:color w:val="000000" w:themeColor="text1"/>
          <w:szCs w:val="30"/>
          <w14:textFill>
            <w14:solidFill>
              <w14:schemeClr w14:val="tx1"/>
            </w14:solidFill>
          </w14:textFill>
        </w:rPr>
        <w:t>组织管理情况</w:t>
      </w:r>
      <w:bookmarkEnd w:id="9"/>
      <w:bookmarkEnd w:id="10"/>
    </w:p>
    <w:p>
      <w:pPr>
        <w:numPr>
          <w:ilvl w:val="0"/>
          <w:numId w:val="0"/>
        </w:numPr>
        <w:spacing w:line="579" w:lineRule="exact"/>
        <w:ind w:firstLine="600" w:firstLineChars="200"/>
        <w:rPr>
          <w:rFonts w:hint="eastAsia" w:hAnsi="仿宋" w:eastAsia="仿宋" w:cs="仿宋"/>
          <w:szCs w:val="30"/>
          <w:lang w:val="en-US" w:eastAsia="zh-CN"/>
        </w:rPr>
      </w:pPr>
      <w:r>
        <w:rPr>
          <w:rFonts w:hint="eastAsia" w:hAnsi="仿宋" w:cs="仿宋"/>
          <w:szCs w:val="30"/>
        </w:rPr>
        <w:t>1.项目组织情况</w:t>
      </w:r>
    </w:p>
    <w:p>
      <w:pPr>
        <w:numPr>
          <w:ilvl w:val="0"/>
          <w:numId w:val="0"/>
        </w:numPr>
        <w:spacing w:line="579" w:lineRule="exact"/>
        <w:ind w:firstLine="600" w:firstLineChars="200"/>
        <w:rPr>
          <w:rFonts w:hint="eastAsia" w:hAnsi="仿宋" w:cs="仿宋"/>
          <w:szCs w:val="30"/>
        </w:rPr>
      </w:pPr>
      <w:r>
        <w:rPr>
          <w:rFonts w:hint="eastAsia" w:hAnsi="仿宋" w:cs="仿宋"/>
          <w:szCs w:val="30"/>
        </w:rPr>
        <w:t>为确保项目顺利推进，成立了由分管农业</w:t>
      </w:r>
      <w:r>
        <w:rPr>
          <w:rFonts w:hint="eastAsia" w:hAnsi="仿宋" w:cs="仿宋"/>
          <w:szCs w:val="30"/>
          <w:lang w:val="en-US" w:eastAsia="zh-CN"/>
        </w:rPr>
        <w:t>局的</w:t>
      </w:r>
      <w:r>
        <w:rPr>
          <w:rFonts w:hint="eastAsia" w:hAnsi="仿宋" w:cs="仿宋"/>
          <w:szCs w:val="30"/>
        </w:rPr>
        <w:t>副县长任组长，县农业局局长任副组长，涉及乡镇领导、农业局分管领导、相关股室站所及制糖企业负责人为成员的领导小组。领导小组负责统筹组织项目实施相关工作，协调解决期间遇到的困难和问题，同时成立了由</w:t>
      </w:r>
      <w:r>
        <w:rPr>
          <w:rFonts w:hint="eastAsia" w:hAnsi="仿宋"/>
          <w:szCs w:val="30"/>
          <w:lang w:val="en-US" w:eastAsia="zh-CN"/>
        </w:rPr>
        <w:t>盈江县农业农村</w:t>
      </w:r>
      <w:r>
        <w:rPr>
          <w:rFonts w:hint="eastAsia" w:hAnsi="仿宋"/>
          <w:szCs w:val="30"/>
        </w:rPr>
        <w:t>局</w:t>
      </w:r>
      <w:r>
        <w:rPr>
          <w:rFonts w:hint="eastAsia" w:hAnsi="仿宋"/>
          <w:szCs w:val="30"/>
          <w:lang w:val="en-US" w:eastAsia="zh-CN"/>
        </w:rPr>
        <w:t>下属</w:t>
      </w:r>
      <w:r>
        <w:rPr>
          <w:rFonts w:hint="eastAsia" w:hAnsi="仿宋" w:cs="仿宋"/>
          <w:szCs w:val="30"/>
        </w:rPr>
        <w:t>甘蔗技术推广站站长为组长，相关人员为成员的项目实施组，负责项目实施的具体工作。</w:t>
      </w:r>
    </w:p>
    <w:p>
      <w:pPr>
        <w:numPr>
          <w:ilvl w:val="0"/>
          <w:numId w:val="0"/>
        </w:numPr>
        <w:spacing w:line="579" w:lineRule="exact"/>
        <w:ind w:firstLine="600" w:firstLineChars="200"/>
        <w:rPr>
          <w:rFonts w:hint="eastAsia" w:hAnsi="仿宋" w:cs="仿宋"/>
          <w:szCs w:val="30"/>
        </w:rPr>
      </w:pPr>
      <w:r>
        <w:rPr>
          <w:rFonts w:hint="eastAsia" w:hAnsi="仿宋" w:cs="仿宋"/>
          <w:szCs w:val="30"/>
        </w:rPr>
        <w:t>2.项目管理情况</w:t>
      </w:r>
    </w:p>
    <w:p>
      <w:pPr>
        <w:numPr>
          <w:ilvl w:val="0"/>
          <w:numId w:val="0"/>
        </w:numPr>
        <w:spacing w:line="579" w:lineRule="exact"/>
        <w:ind w:firstLine="600" w:firstLineChars="200"/>
        <w:rPr>
          <w:rFonts w:hint="eastAsia" w:hAnsi="仿宋" w:cs="仿宋"/>
          <w:szCs w:val="30"/>
        </w:rPr>
      </w:pPr>
      <w:r>
        <w:rPr>
          <w:rFonts w:hint="eastAsia" w:hAnsi="仿宋"/>
          <w:szCs w:val="30"/>
          <w:lang w:val="en-US" w:eastAsia="zh-CN"/>
        </w:rPr>
        <w:t>盈江县农业农村</w:t>
      </w:r>
      <w:r>
        <w:rPr>
          <w:rFonts w:hint="eastAsia" w:hAnsi="仿宋"/>
          <w:szCs w:val="30"/>
        </w:rPr>
        <w:t>局是项目实施单位，</w:t>
      </w:r>
      <w:r>
        <w:rPr>
          <w:rFonts w:hAnsi="仿宋"/>
          <w:szCs w:val="30"/>
        </w:rPr>
        <w:t>按项目计划内容或批复的实施方案，负责该项目实施的统一部署、协调各方关系、安排项目进度、资金拨付、</w:t>
      </w:r>
      <w:r>
        <w:rPr>
          <w:rFonts w:hint="eastAsia" w:hAnsi="仿宋"/>
          <w:szCs w:val="30"/>
        </w:rPr>
        <w:t>监督管理</w:t>
      </w:r>
      <w:r>
        <w:rPr>
          <w:rFonts w:hint="eastAsia" w:hAnsi="仿宋"/>
          <w:szCs w:val="30"/>
          <w:lang w:eastAsia="zh-CN"/>
        </w:rPr>
        <w:t>、</w:t>
      </w:r>
      <w:r>
        <w:rPr>
          <w:rFonts w:hAnsi="仿宋"/>
          <w:szCs w:val="30"/>
        </w:rPr>
        <w:t>工期质量管理和资料管理等</w:t>
      </w:r>
      <w:r>
        <w:rPr>
          <w:rFonts w:hint="eastAsia" w:hAnsi="仿宋"/>
          <w:szCs w:val="30"/>
        </w:rPr>
        <w:t>工作</w:t>
      </w:r>
      <w:r>
        <w:rPr>
          <w:rFonts w:hAnsi="仿宋"/>
          <w:szCs w:val="30"/>
        </w:rPr>
        <w:t>。</w:t>
      </w:r>
      <w:r>
        <w:rPr>
          <w:rFonts w:hint="eastAsia" w:hAnsi="仿宋"/>
          <w:szCs w:val="30"/>
          <w:lang w:val="en-US" w:eastAsia="zh-CN"/>
        </w:rPr>
        <w:t>盈江县农业农村局将</w:t>
      </w:r>
      <w:r>
        <w:rPr>
          <w:rFonts w:hint="eastAsia" w:hAnsi="仿宋"/>
          <w:szCs w:val="30"/>
        </w:rPr>
        <w:t>该项目划分为6个标段</w:t>
      </w:r>
      <w:r>
        <w:rPr>
          <w:rFonts w:hint="eastAsia" w:hAnsi="仿宋"/>
          <w:szCs w:val="30"/>
          <w:lang w:val="en-US" w:eastAsia="zh-CN"/>
        </w:rPr>
        <w:t>，</w:t>
      </w:r>
      <w:r>
        <w:rPr>
          <w:rFonts w:hint="eastAsia" w:hAnsi="仿宋"/>
          <w:szCs w:val="30"/>
        </w:rPr>
        <w:t>通过公开招标</w:t>
      </w:r>
      <w:r>
        <w:rPr>
          <w:rFonts w:hint="eastAsia" w:hAnsi="仿宋"/>
          <w:szCs w:val="30"/>
          <w:lang w:val="en-US" w:eastAsia="zh-CN"/>
        </w:rPr>
        <w:t>方式</w:t>
      </w:r>
      <w:r>
        <w:rPr>
          <w:rFonts w:hint="eastAsia" w:hAnsi="仿宋"/>
          <w:szCs w:val="30"/>
        </w:rPr>
        <w:t>，</w:t>
      </w:r>
      <w:r>
        <w:rPr>
          <w:rFonts w:hint="eastAsia" w:hAnsi="仿宋"/>
          <w:szCs w:val="30"/>
          <w:lang w:val="en-US" w:eastAsia="zh-CN"/>
        </w:rPr>
        <w:t>确定项目</w:t>
      </w:r>
      <w:r>
        <w:rPr>
          <w:rFonts w:hint="eastAsia" w:hAnsi="仿宋"/>
          <w:szCs w:val="30"/>
        </w:rPr>
        <w:t>施工单位：云南正达建筑工程有限公司（第一标段）</w:t>
      </w:r>
      <w:r>
        <w:rPr>
          <w:rFonts w:hint="eastAsia" w:hAnsi="仿宋"/>
          <w:szCs w:val="30"/>
          <w:lang w:eastAsia="zh-CN"/>
        </w:rPr>
        <w:t>、</w:t>
      </w:r>
      <w:r>
        <w:rPr>
          <w:rFonts w:hint="eastAsia" w:hAnsi="仿宋"/>
          <w:szCs w:val="30"/>
        </w:rPr>
        <w:t>云南驰骋建筑工程有限公司（第二标段）</w:t>
      </w:r>
      <w:r>
        <w:rPr>
          <w:rFonts w:hint="eastAsia" w:hAnsi="仿宋"/>
          <w:szCs w:val="30"/>
          <w:lang w:eastAsia="zh-CN"/>
        </w:rPr>
        <w:t>、</w:t>
      </w:r>
      <w:r>
        <w:rPr>
          <w:rFonts w:hint="eastAsia" w:hAnsi="仿宋"/>
          <w:szCs w:val="30"/>
        </w:rPr>
        <w:t>云南勤竣建筑工程有限公司（第三标段）</w:t>
      </w:r>
      <w:r>
        <w:rPr>
          <w:rFonts w:hint="eastAsia" w:hAnsi="仿宋"/>
          <w:szCs w:val="30"/>
          <w:lang w:eastAsia="zh-CN"/>
        </w:rPr>
        <w:t>、</w:t>
      </w:r>
      <w:r>
        <w:rPr>
          <w:rFonts w:hint="eastAsia" w:hAnsi="仿宋"/>
          <w:szCs w:val="30"/>
        </w:rPr>
        <w:t>云南盈汇建筑工程有限公司（第四标段）</w:t>
      </w:r>
      <w:r>
        <w:rPr>
          <w:rFonts w:hint="eastAsia" w:hAnsi="仿宋"/>
          <w:szCs w:val="30"/>
          <w:lang w:eastAsia="zh-CN"/>
        </w:rPr>
        <w:t>、</w:t>
      </w:r>
      <w:r>
        <w:rPr>
          <w:rFonts w:hint="eastAsia" w:hAnsi="仿宋"/>
          <w:szCs w:val="30"/>
        </w:rPr>
        <w:t>云南保山鹏程建筑工程有限责任公司（第五标段）</w:t>
      </w:r>
      <w:r>
        <w:rPr>
          <w:rFonts w:hint="eastAsia" w:hAnsi="仿宋"/>
          <w:szCs w:val="30"/>
          <w:lang w:eastAsia="zh-CN"/>
        </w:rPr>
        <w:t>、</w:t>
      </w:r>
      <w:r>
        <w:rPr>
          <w:rFonts w:hint="eastAsia" w:hAnsi="仿宋"/>
          <w:szCs w:val="30"/>
        </w:rPr>
        <w:t>云南泽木建筑工程有限公司（第六标段）</w:t>
      </w:r>
      <w:r>
        <w:rPr>
          <w:rFonts w:hint="eastAsia" w:hAnsi="仿宋"/>
          <w:szCs w:val="30"/>
          <w:lang w:eastAsia="zh-CN"/>
        </w:rPr>
        <w:t>；</w:t>
      </w:r>
      <w:r>
        <w:rPr>
          <w:rFonts w:hint="eastAsia" w:hAnsi="仿宋"/>
          <w:szCs w:val="30"/>
          <w:lang w:val="en-US" w:eastAsia="zh-CN"/>
        </w:rPr>
        <w:t>监理单位</w:t>
      </w:r>
      <w:r>
        <w:rPr>
          <w:rFonts w:hint="eastAsia" w:hAnsi="仿宋"/>
          <w:szCs w:val="30"/>
        </w:rPr>
        <w:t>云南恒昌建设监理咨询有限公司。</w:t>
      </w:r>
      <w:r>
        <w:rPr>
          <w:rFonts w:hint="eastAsia" w:hAnsi="仿宋" w:cs="仿宋"/>
          <w:color w:val="auto"/>
          <w:szCs w:val="30"/>
          <w:lang w:val="en-US" w:eastAsia="zh-CN"/>
        </w:rPr>
        <w:t>项目实施过程中</w:t>
      </w:r>
      <w:r>
        <w:rPr>
          <w:rFonts w:hint="eastAsia" w:hAnsi="仿宋" w:cs="仿宋"/>
          <w:szCs w:val="30"/>
        </w:rPr>
        <w:t>县领导小组和</w:t>
      </w:r>
      <w:r>
        <w:rPr>
          <w:rFonts w:hint="eastAsia" w:hAnsi="仿宋" w:cs="仿宋"/>
          <w:szCs w:val="30"/>
          <w:lang w:val="en-US" w:eastAsia="zh-CN"/>
        </w:rPr>
        <w:t>县农业农村局</w:t>
      </w:r>
      <w:r>
        <w:rPr>
          <w:rFonts w:hint="eastAsia" w:hAnsi="仿宋" w:cs="仿宋"/>
          <w:szCs w:val="30"/>
        </w:rPr>
        <w:t>相关人员</w:t>
      </w:r>
      <w:r>
        <w:rPr>
          <w:rFonts w:hint="eastAsia" w:hAnsi="仿宋" w:cs="仿宋"/>
          <w:color w:val="auto"/>
          <w:szCs w:val="30"/>
          <w:lang w:val="en-US" w:eastAsia="zh-CN"/>
        </w:rPr>
        <w:t>采取定期或不定期听取汇报、现场勘验等方式，对项目实施的具体情况、完成进度、资金使用等内容进行监督检查。</w:t>
      </w:r>
    </w:p>
    <w:p>
      <w:pPr>
        <w:numPr>
          <w:ilvl w:val="0"/>
          <w:numId w:val="0"/>
        </w:numPr>
        <w:spacing w:line="579" w:lineRule="exact"/>
        <w:ind w:firstLine="600" w:firstLineChars="200"/>
      </w:pPr>
      <w:r>
        <w:rPr>
          <w:rFonts w:hint="eastAsia" w:hAnsi="仿宋" w:cs="仿宋"/>
          <w:szCs w:val="30"/>
          <w:lang w:val="en-US" w:eastAsia="zh-CN"/>
        </w:rPr>
        <w:t>3</w:t>
      </w:r>
      <w:r>
        <w:rPr>
          <w:rFonts w:hint="eastAsia" w:hAnsi="仿宋" w:cs="仿宋"/>
          <w:szCs w:val="30"/>
        </w:rPr>
        <w:t>.</w:t>
      </w:r>
      <w:r>
        <w:rPr>
          <w:rFonts w:hint="eastAsia" w:hAnsi="仿宋" w:cs="仿宋"/>
          <w:szCs w:val="30"/>
          <w:lang w:val="en-US" w:eastAsia="zh-CN"/>
        </w:rPr>
        <w:t>资金</w:t>
      </w:r>
      <w:r>
        <w:rPr>
          <w:rFonts w:hint="eastAsia" w:hAnsi="仿宋" w:cs="仿宋"/>
          <w:szCs w:val="30"/>
        </w:rPr>
        <w:t>管理情况</w:t>
      </w:r>
    </w:p>
    <w:p>
      <w:pPr>
        <w:numPr>
          <w:ilvl w:val="-1"/>
          <w:numId w:val="0"/>
        </w:numPr>
        <w:spacing w:line="240" w:lineRule="auto"/>
        <w:ind w:firstLine="600" w:firstLineChars="200"/>
        <w:rPr>
          <w:rFonts w:hint="eastAsia"/>
        </w:rPr>
      </w:pPr>
      <w:r>
        <w:rPr>
          <w:rFonts w:hint="eastAsia" w:ascii="仿宋" w:hAnsi="仿宋" w:eastAsia="仿宋" w:cs="仿宋"/>
          <w:kern w:val="30"/>
          <w:sz w:val="30"/>
          <w:szCs w:val="30"/>
        </w:rPr>
        <w:t>在项目资金管理使用中，</w:t>
      </w:r>
      <w:r>
        <w:rPr>
          <w:rFonts w:hint="eastAsia" w:hAnsi="仿宋"/>
          <w:szCs w:val="30"/>
          <w:lang w:val="en-US" w:eastAsia="zh-CN"/>
        </w:rPr>
        <w:t>盈江县农业农村</w:t>
      </w:r>
      <w:r>
        <w:rPr>
          <w:rFonts w:hint="eastAsia" w:hAnsi="仿宋"/>
          <w:szCs w:val="30"/>
        </w:rPr>
        <w:t>局</w:t>
      </w:r>
      <w:r>
        <w:rPr>
          <w:rFonts w:hint="eastAsia" w:ascii="仿宋" w:hAnsi="仿宋" w:eastAsia="仿宋" w:cs="仿宋"/>
          <w:kern w:val="30"/>
          <w:sz w:val="30"/>
          <w:szCs w:val="30"/>
        </w:rPr>
        <w:t>按照</w:t>
      </w:r>
      <w:r>
        <w:rPr>
          <w:rFonts w:hint="eastAsia"/>
          <w:lang w:eastAsia="zh-CN"/>
        </w:rPr>
        <w:t>《</w:t>
      </w:r>
      <w:r>
        <w:rPr>
          <w:rFonts w:hint="eastAsia"/>
          <w:lang w:val="en-US" w:eastAsia="zh-CN"/>
        </w:rPr>
        <w:t>农田建设资金管理办法</w:t>
      </w:r>
      <w:r>
        <w:rPr>
          <w:rFonts w:hint="eastAsia"/>
          <w:lang w:eastAsia="zh-CN"/>
        </w:rPr>
        <w:t>》</w:t>
      </w:r>
      <w:r>
        <w:rPr>
          <w:rFonts w:hint="eastAsia" w:ascii="仿宋" w:hAnsi="仿宋" w:eastAsia="仿宋" w:cs="仿宋"/>
          <w:kern w:val="30"/>
          <w:sz w:val="30"/>
          <w:szCs w:val="30"/>
        </w:rPr>
        <w:t>要求</w:t>
      </w:r>
      <w:r>
        <w:rPr>
          <w:rFonts w:hint="eastAsia" w:hAnsi="仿宋" w:cs="仿宋"/>
          <w:kern w:val="30"/>
          <w:sz w:val="30"/>
          <w:szCs w:val="30"/>
          <w:lang w:val="en-US" w:eastAsia="zh-CN"/>
        </w:rPr>
        <w:t>管理和使用项目资金</w:t>
      </w:r>
      <w:r>
        <w:rPr>
          <w:rFonts w:hint="eastAsia" w:ascii="仿宋" w:hAnsi="仿宋" w:eastAsia="仿宋" w:cs="仿宋"/>
          <w:kern w:val="30"/>
          <w:sz w:val="30"/>
          <w:szCs w:val="30"/>
        </w:rPr>
        <w:t>，设立专账进行资金管理。</w:t>
      </w:r>
    </w:p>
    <w:p>
      <w:pPr>
        <w:spacing w:line="579" w:lineRule="exact"/>
        <w:ind w:firstLine="600" w:firstLineChars="200"/>
        <w:outlineLvl w:val="0"/>
        <w:rPr>
          <w:rFonts w:hint="eastAsia" w:ascii="黑体" w:hAnsi="黑体" w:eastAsia="黑体" w:cs="宋体"/>
          <w:szCs w:val="30"/>
        </w:rPr>
      </w:pPr>
      <w:r>
        <w:rPr>
          <w:rFonts w:hint="eastAsia" w:ascii="黑体" w:hAnsi="黑体" w:eastAsia="黑体" w:cs="宋体"/>
          <w:szCs w:val="30"/>
        </w:rPr>
        <w:t>二、绩效自评情况</w:t>
      </w:r>
    </w:p>
    <w:p>
      <w:pPr>
        <w:spacing w:line="570" w:lineRule="exact"/>
        <w:ind w:firstLine="600" w:firstLineChars="200"/>
        <w:outlineLvl w:val="1"/>
        <w:rPr>
          <w:rFonts w:hint="eastAsia" w:ascii="楷体" w:hAnsi="楷体" w:eastAsia="楷体" w:cs="Times New Roman"/>
          <w:kern w:val="2"/>
          <w:sz w:val="30"/>
          <w:szCs w:val="30"/>
          <w:lang w:val="en-US" w:eastAsia="zh-CN"/>
        </w:rPr>
      </w:pPr>
      <w:r>
        <w:rPr>
          <w:rFonts w:hint="eastAsia" w:ascii="楷体" w:hAnsi="楷体" w:eastAsia="楷体" w:cs="Times New Roman"/>
          <w:kern w:val="2"/>
          <w:sz w:val="30"/>
          <w:szCs w:val="30"/>
        </w:rPr>
        <w:t>（</w:t>
      </w:r>
      <w:r>
        <w:rPr>
          <w:rFonts w:hint="eastAsia" w:ascii="楷体" w:hAnsi="楷体" w:eastAsia="楷体" w:cs="Times New Roman"/>
          <w:kern w:val="2"/>
          <w:sz w:val="30"/>
          <w:szCs w:val="30"/>
          <w:lang w:val="en-US" w:eastAsia="zh-CN"/>
        </w:rPr>
        <w:t>一）绩效自评概述</w:t>
      </w:r>
    </w:p>
    <w:p>
      <w:pPr>
        <w:numPr>
          <w:ilvl w:val="0"/>
          <w:numId w:val="0"/>
        </w:numPr>
        <w:spacing w:line="579" w:lineRule="exact"/>
        <w:ind w:firstLine="600" w:firstLineChars="200"/>
        <w:rPr>
          <w:rFonts w:hint="eastAsia" w:ascii="仿宋" w:hAnsi="仿宋" w:eastAsia="仿宋" w:cs="仿宋"/>
          <w:sz w:val="30"/>
          <w:szCs w:val="30"/>
          <w:lang w:val="en-US" w:eastAsia="zh-CN"/>
        </w:rPr>
      </w:pPr>
      <w:r>
        <w:rPr>
          <w:rFonts w:hint="eastAsia" w:hAnsi="仿宋" w:cs="仿宋"/>
          <w:sz w:val="30"/>
          <w:szCs w:val="30"/>
          <w:lang w:val="en-US" w:eastAsia="zh-CN"/>
        </w:rPr>
        <w:t>盈江县农业农村局按</w:t>
      </w:r>
      <w:r>
        <w:rPr>
          <w:rFonts w:hint="eastAsia" w:ascii="仿宋" w:hAnsi="仿宋" w:eastAsia="仿宋" w:cs="仿宋"/>
          <w:sz w:val="30"/>
          <w:szCs w:val="30"/>
          <w:lang w:val="en-US" w:eastAsia="zh-CN"/>
        </w:rPr>
        <w:t>《盈江县财政局关于对2019年度部分项目开展绩效自评的通知》（盈财发〔2020〕180号）</w:t>
      </w:r>
      <w:r>
        <w:rPr>
          <w:rFonts w:hint="eastAsia" w:hAnsi="仿宋" w:cs="仿宋"/>
          <w:sz w:val="30"/>
          <w:szCs w:val="30"/>
          <w:lang w:val="en-US" w:eastAsia="zh-CN"/>
        </w:rPr>
        <w:t>要求，对盈江县2019年糖料蔗核心基地建设项目开展了绩效自评工作。盈江县甘蔗技术推广站</w:t>
      </w:r>
      <w:r>
        <w:rPr>
          <w:rFonts w:hint="eastAsia" w:ascii="仿宋" w:hAnsi="仿宋" w:eastAsia="仿宋" w:cs="仿宋"/>
          <w:sz w:val="30"/>
          <w:szCs w:val="30"/>
          <w:lang w:val="en-US" w:eastAsia="zh-CN"/>
        </w:rPr>
        <w:t>具体负责组织，成立了绩效自评工作组，通过实地调研、查阅分析统计报表等方式，对资金使用情况、项目效益情况等进行了综合分析。</w:t>
      </w:r>
    </w:p>
    <w:p>
      <w:pPr>
        <w:numPr>
          <w:ilvl w:val="0"/>
          <w:numId w:val="0"/>
        </w:numPr>
        <w:spacing w:line="579" w:lineRule="exact"/>
        <w:ind w:firstLine="600" w:firstLineChars="200"/>
        <w:rPr>
          <w:rFonts w:hint="eastAsia" w:ascii="仿宋" w:hAnsi="仿宋" w:eastAsia="仿宋" w:cs="仿宋"/>
          <w:sz w:val="30"/>
          <w:szCs w:val="30"/>
          <w:lang w:val="en-US" w:eastAsia="zh-CN"/>
        </w:rPr>
      </w:pPr>
      <w:bookmarkStart w:id="11" w:name="_Toc56861567"/>
      <w:r>
        <w:rPr>
          <w:rFonts w:hint="eastAsia" w:ascii="楷体" w:hAnsi="楷体" w:eastAsia="楷体"/>
          <w:sz w:val="30"/>
          <w:szCs w:val="30"/>
        </w:rPr>
        <w:t>（二）绩效自评结论</w:t>
      </w:r>
      <w:bookmarkEnd w:id="11"/>
    </w:p>
    <w:p>
      <w:pPr>
        <w:numPr>
          <w:ilvl w:val="0"/>
          <w:numId w:val="0"/>
        </w:numPr>
        <w:spacing w:line="579"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盈江县2019年糖料蔗核心基地建设项目</w:t>
      </w:r>
      <w:r>
        <w:rPr>
          <w:rFonts w:hint="eastAsia" w:hAnsi="仿宋" w:cs="仿宋"/>
          <w:sz w:val="30"/>
          <w:szCs w:val="30"/>
          <w:lang w:val="en-US" w:eastAsia="zh-CN"/>
        </w:rPr>
        <w:t>未设置</w:t>
      </w:r>
      <w:r>
        <w:rPr>
          <w:rFonts w:hint="eastAsia" w:ascii="仿宋" w:hAnsi="仿宋" w:eastAsia="仿宋" w:cs="仿宋"/>
          <w:sz w:val="30"/>
          <w:szCs w:val="30"/>
          <w:lang w:val="en-US" w:eastAsia="zh-CN"/>
        </w:rPr>
        <w:t>绩效自评指标</w:t>
      </w:r>
      <w:r>
        <w:rPr>
          <w:rFonts w:hint="eastAsia" w:hAnsi="仿宋" w:cs="仿宋"/>
          <w:sz w:val="30"/>
          <w:szCs w:val="30"/>
          <w:lang w:val="en-US" w:eastAsia="zh-CN"/>
        </w:rPr>
        <w:t>，无绩效自评分值体现</w:t>
      </w:r>
      <w:r>
        <w:rPr>
          <w:rFonts w:hint="eastAsia" w:ascii="仿宋" w:hAnsi="仿宋" w:eastAsia="仿宋" w:cs="仿宋"/>
          <w:sz w:val="30"/>
          <w:szCs w:val="30"/>
          <w:lang w:val="en-US" w:eastAsia="zh-CN"/>
        </w:rPr>
        <w:t>。自评结论如下：</w:t>
      </w:r>
    </w:p>
    <w:p>
      <w:pPr>
        <w:numPr>
          <w:ilvl w:val="0"/>
          <w:numId w:val="0"/>
        </w:numPr>
        <w:spacing w:line="579" w:lineRule="exact"/>
        <w:ind w:firstLine="600" w:firstLineChars="200"/>
        <w:rPr>
          <w:rFonts w:hint="eastAsia" w:ascii="仿宋" w:hAnsi="仿宋" w:eastAsia="仿宋" w:cs="仿宋"/>
          <w:sz w:val="30"/>
          <w:szCs w:val="30"/>
          <w:lang w:val="en-US" w:eastAsia="zh-CN"/>
        </w:rPr>
      </w:pPr>
      <w:r>
        <w:rPr>
          <w:rFonts w:hint="eastAsia" w:hAnsi="仿宋" w:cs="仿宋"/>
          <w:sz w:val="30"/>
          <w:szCs w:val="30"/>
          <w:lang w:val="en-US" w:eastAsia="zh-CN"/>
        </w:rPr>
        <w:t>评价等级为优。一是</w:t>
      </w:r>
      <w:r>
        <w:rPr>
          <w:rFonts w:hint="eastAsia" w:ascii="仿宋" w:hAnsi="仿宋" w:eastAsia="仿宋" w:cs="仿宋"/>
          <w:sz w:val="30"/>
          <w:szCs w:val="30"/>
          <w:lang w:val="en-US" w:eastAsia="zh-CN"/>
        </w:rPr>
        <w:t>道路沟渠修建后，亩节约劳动成本80元，33000亩年节约劳动力成本264万元。二是增效。通过项目的实施，盈江糖料蔗核心基地建设项目测产验收组于2020年11月4日—11月5日对糖料蔗核心基地建设项目区及非项目区进行田间测产，项目区平均亩产量为7.51吨，平均蔗糖份达11.41%，较非示范区平均亩增产1.56吨，增糖0.4%,种植品种均为一类、二类品种，亩均增产1.56吨，按糖厂甘蔗收购单价440元/吨，项目区总增产51480吨，总产值增2265.12万元。以上两项合计，每年节本+增效=264+2265.12=2529.24万元，经济效益好。</w:t>
      </w:r>
      <w:r>
        <w:rPr>
          <w:rFonts w:hint="eastAsia" w:hAnsi="仿宋" w:cs="仿宋"/>
          <w:sz w:val="30"/>
          <w:szCs w:val="30"/>
          <w:lang w:val="en-US" w:eastAsia="zh-CN"/>
        </w:rPr>
        <w:t>三是</w:t>
      </w:r>
      <w:r>
        <w:rPr>
          <w:rFonts w:hint="eastAsia" w:ascii="仿宋" w:hAnsi="仿宋" w:eastAsia="仿宋" w:cs="仿宋"/>
          <w:sz w:val="30"/>
          <w:szCs w:val="30"/>
          <w:lang w:val="en-US" w:eastAsia="zh-CN"/>
        </w:rPr>
        <w:t>完善水利促进经济发展，农民增收，改善群众生产生活环境条件。</w:t>
      </w:r>
    </w:p>
    <w:p>
      <w:pPr>
        <w:overflowPunct w:val="0"/>
        <w:spacing w:line="570" w:lineRule="exact"/>
        <w:ind w:firstLine="629"/>
        <w:outlineLvl w:val="0"/>
        <w:rPr>
          <w:rFonts w:ascii="黑体" w:hAnsi="黑体" w:eastAsia="黑体"/>
          <w:sz w:val="30"/>
          <w:szCs w:val="30"/>
        </w:rPr>
      </w:pPr>
      <w:bookmarkStart w:id="12" w:name="_Toc51333616"/>
      <w:r>
        <w:rPr>
          <w:rFonts w:hint="eastAsia" w:ascii="黑体" w:hAnsi="黑体" w:eastAsia="黑体"/>
          <w:sz w:val="30"/>
          <w:szCs w:val="30"/>
        </w:rPr>
        <w:t>三、绩效评价组织情况</w:t>
      </w:r>
      <w:bookmarkEnd w:id="12"/>
    </w:p>
    <w:p>
      <w:pPr>
        <w:spacing w:line="570" w:lineRule="exact"/>
        <w:ind w:firstLine="600" w:firstLineChars="200"/>
        <w:outlineLvl w:val="1"/>
        <w:rPr>
          <w:rFonts w:ascii="楷体" w:hAnsi="楷体" w:eastAsia="楷体"/>
          <w:sz w:val="30"/>
          <w:szCs w:val="30"/>
        </w:rPr>
      </w:pPr>
      <w:bookmarkStart w:id="13" w:name="_Toc9439743"/>
      <w:bookmarkStart w:id="14" w:name="_Toc51333617"/>
      <w:r>
        <w:rPr>
          <w:rFonts w:hint="eastAsia" w:ascii="楷体" w:hAnsi="楷体" w:eastAsia="楷体"/>
          <w:sz w:val="30"/>
          <w:szCs w:val="30"/>
        </w:rPr>
        <w:t>（一）绩效评价依据</w:t>
      </w:r>
      <w:bookmarkEnd w:id="13"/>
      <w:bookmarkEnd w:id="14"/>
    </w:p>
    <w:p>
      <w:pPr>
        <w:spacing w:line="579" w:lineRule="exact"/>
        <w:ind w:firstLine="600" w:firstLineChars="200"/>
        <w:rPr>
          <w:rFonts w:hint="eastAsia" w:ascii="仿宋" w:hAnsi="仿宋" w:eastAsia="仿宋"/>
          <w:sz w:val="30"/>
          <w:szCs w:val="30"/>
          <w:lang w:eastAsia="zh-CN"/>
        </w:rPr>
      </w:pPr>
      <w:r>
        <w:rPr>
          <w:rFonts w:ascii="仿宋" w:hAnsi="仿宋" w:eastAsia="仿宋"/>
          <w:sz w:val="30"/>
          <w:szCs w:val="30"/>
        </w:rPr>
        <w:t>1.《中华人民共和国预算法》</w:t>
      </w:r>
      <w:r>
        <w:rPr>
          <w:rFonts w:hint="eastAsia" w:hAnsi="仿宋"/>
          <w:sz w:val="30"/>
          <w:szCs w:val="30"/>
          <w:lang w:eastAsia="zh-CN"/>
        </w:rPr>
        <w:t>；</w:t>
      </w:r>
    </w:p>
    <w:p>
      <w:pPr>
        <w:spacing w:line="579" w:lineRule="exact"/>
        <w:ind w:firstLine="600" w:firstLineChars="200"/>
        <w:rPr>
          <w:rFonts w:hint="eastAsia" w:ascii="仿宋" w:hAnsi="仿宋" w:eastAsia="仿宋"/>
          <w:sz w:val="30"/>
          <w:szCs w:val="30"/>
          <w:lang w:eastAsia="zh-CN"/>
        </w:rPr>
      </w:pPr>
      <w:r>
        <w:rPr>
          <w:rFonts w:ascii="仿宋" w:hAnsi="仿宋" w:eastAsia="仿宋"/>
          <w:sz w:val="30"/>
          <w:szCs w:val="30"/>
        </w:rPr>
        <w:t>2.</w:t>
      </w:r>
      <w:r>
        <w:rPr>
          <w:rFonts w:hint="eastAsia" w:ascii="仿宋" w:hAnsi="仿宋" w:eastAsia="仿宋"/>
          <w:sz w:val="30"/>
          <w:szCs w:val="30"/>
          <w:lang w:val="en-US" w:eastAsia="zh-CN"/>
        </w:rPr>
        <w:t>《中共云南省委 云南省人民政府印发</w:t>
      </w:r>
      <w:r>
        <w:rPr>
          <w:rFonts w:hint="eastAsia" w:hAnsi="仿宋"/>
          <w:sz w:val="30"/>
          <w:szCs w:val="30"/>
          <w:lang w:val="en-US" w:eastAsia="zh-CN"/>
        </w:rPr>
        <w:t>的</w:t>
      </w:r>
      <w:r>
        <w:rPr>
          <w:rFonts w:hint="eastAsia" w:ascii="仿宋" w:hAnsi="仿宋" w:eastAsia="仿宋"/>
          <w:sz w:val="30"/>
          <w:szCs w:val="30"/>
          <w:lang w:val="en-US" w:eastAsia="zh-CN"/>
        </w:rPr>
        <w:t>关于全面实施预算绩效管理的实施意见》</w:t>
      </w:r>
      <w:r>
        <w:rPr>
          <w:rFonts w:hint="eastAsia" w:hAnsi="仿宋"/>
          <w:sz w:val="30"/>
          <w:szCs w:val="30"/>
          <w:lang w:eastAsia="zh-CN"/>
        </w:rPr>
        <w:t>；</w:t>
      </w:r>
    </w:p>
    <w:p>
      <w:pPr>
        <w:spacing w:line="579" w:lineRule="exact"/>
        <w:ind w:firstLine="600" w:firstLineChars="200"/>
        <w:rPr>
          <w:rFonts w:hint="eastAsia" w:ascii="仿宋" w:hAnsi="仿宋" w:eastAsia="仿宋"/>
          <w:sz w:val="30"/>
          <w:szCs w:val="30"/>
        </w:rPr>
      </w:pPr>
      <w:r>
        <w:rPr>
          <w:rFonts w:ascii="仿宋" w:hAnsi="仿宋" w:eastAsia="仿宋"/>
          <w:sz w:val="30"/>
          <w:szCs w:val="30"/>
        </w:rPr>
        <w:t>3</w:t>
      </w:r>
      <w:r>
        <w:rPr>
          <w:rFonts w:hint="eastAsia" w:ascii="仿宋" w:hAnsi="仿宋" w:eastAsia="仿宋"/>
          <w:sz w:val="30"/>
          <w:szCs w:val="30"/>
        </w:rPr>
        <w:t>.</w:t>
      </w:r>
      <w:r>
        <w:rPr>
          <w:rFonts w:hint="eastAsia" w:hAnsi="仿宋"/>
          <w:sz w:val="30"/>
          <w:szCs w:val="30"/>
          <w:lang w:eastAsia="zh-CN"/>
        </w:rPr>
        <w:t>《</w:t>
      </w:r>
      <w:r>
        <w:rPr>
          <w:rFonts w:hint="eastAsia" w:ascii="仿宋" w:hAnsi="仿宋" w:eastAsia="仿宋"/>
          <w:sz w:val="30"/>
          <w:szCs w:val="30"/>
        </w:rPr>
        <w:t>云南省农业厅</w:t>
      </w:r>
      <w:r>
        <w:rPr>
          <w:rFonts w:hint="eastAsia" w:hAnsi="仿宋"/>
          <w:sz w:val="30"/>
          <w:szCs w:val="30"/>
          <w:lang w:val="en-US" w:eastAsia="zh-CN"/>
        </w:rPr>
        <w:t xml:space="preserve"> </w:t>
      </w:r>
      <w:r>
        <w:rPr>
          <w:rFonts w:hint="eastAsia" w:ascii="仿宋" w:hAnsi="仿宋" w:eastAsia="仿宋"/>
          <w:sz w:val="30"/>
          <w:szCs w:val="30"/>
        </w:rPr>
        <w:t>云南省发展和改革委员会</w:t>
      </w:r>
      <w:r>
        <w:rPr>
          <w:rFonts w:hint="eastAsia" w:hAnsi="仿宋"/>
          <w:sz w:val="30"/>
          <w:szCs w:val="30"/>
          <w:lang w:val="en-US" w:eastAsia="zh-CN"/>
        </w:rPr>
        <w:t xml:space="preserve"> 云</w:t>
      </w:r>
      <w:r>
        <w:rPr>
          <w:rFonts w:hint="eastAsia" w:ascii="仿宋" w:hAnsi="仿宋" w:eastAsia="仿宋"/>
          <w:sz w:val="30"/>
          <w:szCs w:val="30"/>
        </w:rPr>
        <w:t>南省农业综合开发办公室关于印发云南省中央预算内投资农业建设项目管理办法的通知</w:t>
      </w:r>
      <w:r>
        <w:rPr>
          <w:rFonts w:hint="eastAsia" w:hAnsi="仿宋"/>
          <w:sz w:val="30"/>
          <w:szCs w:val="30"/>
          <w:lang w:eastAsia="zh-CN"/>
        </w:rPr>
        <w:t>》（</w:t>
      </w:r>
      <w:r>
        <w:rPr>
          <w:rFonts w:hint="eastAsia" w:hAnsi="仿宋"/>
          <w:sz w:val="30"/>
          <w:szCs w:val="30"/>
          <w:lang w:val="en-US" w:eastAsia="zh-CN"/>
        </w:rPr>
        <w:t>云农计</w:t>
      </w:r>
      <w:r>
        <w:rPr>
          <w:rFonts w:hint="eastAsia" w:ascii="仿宋" w:hAnsi="仿宋" w:eastAsia="仿宋"/>
          <w:sz w:val="30"/>
          <w:szCs w:val="30"/>
        </w:rPr>
        <w:t>〔201</w:t>
      </w:r>
      <w:r>
        <w:rPr>
          <w:rFonts w:hint="eastAsia" w:hAnsi="仿宋"/>
          <w:sz w:val="30"/>
          <w:szCs w:val="30"/>
          <w:lang w:val="en-US" w:eastAsia="zh-CN"/>
        </w:rPr>
        <w:t>7</w:t>
      </w:r>
      <w:r>
        <w:rPr>
          <w:rFonts w:hint="eastAsia" w:ascii="仿宋" w:hAnsi="仿宋" w:eastAsia="仿宋"/>
          <w:sz w:val="30"/>
          <w:szCs w:val="30"/>
        </w:rPr>
        <w:t>〕</w:t>
      </w:r>
      <w:r>
        <w:rPr>
          <w:rFonts w:hint="eastAsia" w:hAnsi="仿宋"/>
          <w:sz w:val="30"/>
          <w:szCs w:val="30"/>
          <w:lang w:val="en-US" w:eastAsia="zh-CN"/>
        </w:rPr>
        <w:t>34</w:t>
      </w:r>
      <w:r>
        <w:rPr>
          <w:rFonts w:hint="eastAsia" w:ascii="仿宋" w:hAnsi="仿宋" w:eastAsia="仿宋"/>
          <w:sz w:val="30"/>
          <w:szCs w:val="30"/>
        </w:rPr>
        <w:t>号</w:t>
      </w:r>
      <w:r>
        <w:rPr>
          <w:rFonts w:hint="eastAsia" w:hAnsi="仿宋"/>
          <w:sz w:val="30"/>
          <w:szCs w:val="30"/>
          <w:lang w:eastAsia="zh-CN"/>
        </w:rPr>
        <w:t>）</w:t>
      </w:r>
    </w:p>
    <w:p>
      <w:pPr>
        <w:spacing w:line="579" w:lineRule="exact"/>
        <w:ind w:firstLine="600" w:firstLineChars="200"/>
        <w:rPr>
          <w:rFonts w:hint="eastAsia" w:ascii="仿宋" w:hAnsi="仿宋" w:eastAsia="仿宋"/>
          <w:sz w:val="30"/>
          <w:szCs w:val="30"/>
          <w:lang w:eastAsia="zh-CN"/>
        </w:rPr>
      </w:pPr>
      <w:r>
        <w:rPr>
          <w:rFonts w:hint="eastAsia" w:hAnsi="仿宋"/>
          <w:sz w:val="30"/>
          <w:szCs w:val="30"/>
          <w:lang w:val="en-US" w:eastAsia="zh-CN"/>
        </w:rPr>
        <w:t>4.</w:t>
      </w:r>
      <w:r>
        <w:rPr>
          <w:rFonts w:hint="eastAsia" w:ascii="仿宋" w:hAnsi="仿宋" w:eastAsia="仿宋"/>
          <w:sz w:val="30"/>
          <w:szCs w:val="30"/>
        </w:rPr>
        <w:t>《德宏州财政局 德宏州委宣传部 德宏州审计局关于印发德宏州全面实施预算绩效管理工作推进预算方案的通知》(德财〔2020〕81号)</w:t>
      </w:r>
      <w:r>
        <w:rPr>
          <w:rFonts w:hint="eastAsia" w:hAnsi="仿宋"/>
          <w:sz w:val="30"/>
          <w:szCs w:val="30"/>
          <w:lang w:eastAsia="zh-CN"/>
        </w:rPr>
        <w:t>；</w:t>
      </w:r>
    </w:p>
    <w:p>
      <w:pPr>
        <w:spacing w:line="579" w:lineRule="exact"/>
        <w:ind w:firstLine="600" w:firstLineChars="200"/>
        <w:rPr>
          <w:rFonts w:hint="eastAsia" w:ascii="仿宋" w:hAnsi="仿宋" w:eastAsia="仿宋"/>
          <w:sz w:val="30"/>
          <w:szCs w:val="30"/>
        </w:rPr>
      </w:pPr>
      <w:r>
        <w:rPr>
          <w:rFonts w:hint="eastAsia" w:hAnsi="仿宋"/>
          <w:sz w:val="30"/>
          <w:szCs w:val="30"/>
          <w:lang w:val="en-US" w:eastAsia="zh-CN"/>
        </w:rPr>
        <w:t>5</w:t>
      </w:r>
      <w:r>
        <w:rPr>
          <w:rFonts w:hint="eastAsia" w:ascii="仿宋" w:hAnsi="仿宋" w:eastAsia="仿宋"/>
          <w:sz w:val="30"/>
          <w:szCs w:val="30"/>
        </w:rPr>
        <w:t>.《德宏州农业农村局 德宏州发展和改革委员会关于盈江糖料蔗核心基地建设项目实施方案的批复》（德农复字〔2019〕50号）；</w:t>
      </w:r>
    </w:p>
    <w:p>
      <w:pPr>
        <w:spacing w:line="579" w:lineRule="exact"/>
        <w:ind w:firstLine="600" w:firstLineChars="200"/>
        <w:rPr>
          <w:rFonts w:ascii="仿宋" w:hAnsi="仿宋" w:eastAsia="仿宋"/>
          <w:sz w:val="30"/>
          <w:szCs w:val="30"/>
        </w:rPr>
      </w:pPr>
      <w:r>
        <w:rPr>
          <w:rFonts w:hint="eastAsia" w:hAnsi="仿宋"/>
          <w:sz w:val="30"/>
          <w:szCs w:val="30"/>
          <w:lang w:val="en-US" w:eastAsia="zh-CN"/>
        </w:rPr>
        <w:t>6.</w:t>
      </w:r>
      <w:r>
        <w:rPr>
          <w:rFonts w:hint="eastAsia" w:ascii="仿宋" w:hAnsi="仿宋" w:eastAsia="仿宋"/>
          <w:sz w:val="30"/>
          <w:szCs w:val="30"/>
        </w:rPr>
        <w:t>《中共盈江县委盈江县人民政府关于全面实施预算绩效管理的实施方案》(盈发〔2020〕17号)</w:t>
      </w:r>
      <w:r>
        <w:rPr>
          <w:rFonts w:hint="eastAsia" w:hAnsi="仿宋"/>
          <w:sz w:val="30"/>
          <w:szCs w:val="30"/>
          <w:lang w:eastAsia="zh-CN"/>
        </w:rPr>
        <w:t>；</w:t>
      </w:r>
    </w:p>
    <w:p>
      <w:pPr>
        <w:spacing w:line="579" w:lineRule="exact"/>
        <w:ind w:firstLine="600" w:firstLineChars="200"/>
        <w:rPr>
          <w:rFonts w:hint="eastAsia" w:ascii="仿宋" w:hAnsi="仿宋" w:eastAsia="仿宋"/>
          <w:sz w:val="30"/>
          <w:szCs w:val="30"/>
          <w:lang w:eastAsia="zh-CN"/>
        </w:rPr>
      </w:pPr>
      <w:r>
        <w:rPr>
          <w:rFonts w:ascii="仿宋" w:hAnsi="仿宋" w:eastAsia="仿宋"/>
          <w:sz w:val="30"/>
          <w:szCs w:val="30"/>
        </w:rPr>
        <w:t>7.</w:t>
      </w:r>
      <w:r>
        <w:rPr>
          <w:rFonts w:hint="eastAsia" w:ascii="仿宋" w:hAnsi="仿宋" w:eastAsia="仿宋"/>
          <w:sz w:val="30"/>
          <w:szCs w:val="30"/>
        </w:rPr>
        <w:t>《</w:t>
      </w:r>
      <w:r>
        <w:rPr>
          <w:rFonts w:hint="eastAsia" w:hAnsi="仿宋"/>
          <w:sz w:val="30"/>
          <w:szCs w:val="30"/>
          <w:lang w:val="en-US" w:eastAsia="zh-CN"/>
        </w:rPr>
        <w:t>盈江糖料蔗核心基地建设项目实施方案</w:t>
      </w:r>
      <w:r>
        <w:rPr>
          <w:rFonts w:hint="eastAsia" w:ascii="仿宋" w:hAnsi="仿宋" w:eastAsia="仿宋"/>
          <w:sz w:val="30"/>
          <w:szCs w:val="30"/>
        </w:rPr>
        <w:t>》</w:t>
      </w:r>
      <w:r>
        <w:rPr>
          <w:rFonts w:hint="eastAsia" w:hAnsi="仿宋"/>
          <w:sz w:val="30"/>
          <w:szCs w:val="30"/>
          <w:lang w:eastAsia="zh-CN"/>
        </w:rPr>
        <w:t>；</w:t>
      </w:r>
    </w:p>
    <w:p>
      <w:pPr>
        <w:spacing w:line="579" w:lineRule="exact"/>
        <w:ind w:firstLine="600" w:firstLineChars="200"/>
        <w:rPr>
          <w:rFonts w:hint="eastAsia" w:ascii="仿宋" w:hAnsi="仿宋" w:eastAsia="仿宋"/>
          <w:sz w:val="30"/>
          <w:szCs w:val="30"/>
          <w:lang w:val="en-US" w:eastAsia="zh-CN"/>
        </w:rPr>
      </w:pPr>
      <w:r>
        <w:rPr>
          <w:rFonts w:hint="eastAsia" w:hAnsi="仿宋"/>
          <w:sz w:val="30"/>
          <w:szCs w:val="30"/>
          <w:lang w:val="en-US" w:eastAsia="zh-CN"/>
        </w:rPr>
        <w:t>8.</w:t>
      </w:r>
      <w:r>
        <w:rPr>
          <w:rFonts w:ascii="仿宋" w:hAnsi="仿宋" w:eastAsia="仿宋"/>
          <w:sz w:val="30"/>
          <w:szCs w:val="30"/>
        </w:rPr>
        <w:t>其它相关依据文件</w:t>
      </w:r>
      <w:r>
        <w:rPr>
          <w:rFonts w:hint="eastAsia" w:hAnsi="仿宋"/>
          <w:sz w:val="30"/>
          <w:szCs w:val="30"/>
          <w:lang w:eastAsia="zh-CN"/>
        </w:rPr>
        <w:t>。</w:t>
      </w:r>
    </w:p>
    <w:p>
      <w:pPr>
        <w:spacing w:line="570" w:lineRule="exact"/>
        <w:ind w:firstLine="600" w:firstLineChars="200"/>
        <w:outlineLvl w:val="1"/>
        <w:rPr>
          <w:rFonts w:hint="eastAsia" w:ascii="楷体" w:hAnsi="楷体" w:eastAsia="楷体" w:cs="Times New Roman"/>
          <w:kern w:val="2"/>
          <w:sz w:val="30"/>
          <w:szCs w:val="30"/>
          <w:lang w:val="en-US" w:eastAsia="zh-CN"/>
        </w:rPr>
      </w:pPr>
      <w:r>
        <w:rPr>
          <w:rFonts w:hint="eastAsia" w:ascii="楷体" w:hAnsi="楷体" w:eastAsia="楷体" w:cs="Times New Roman"/>
          <w:kern w:val="2"/>
          <w:sz w:val="30"/>
          <w:szCs w:val="30"/>
          <w:lang w:val="en-US" w:eastAsia="zh-CN"/>
        </w:rPr>
        <w:t>（二）绩效评价方法</w:t>
      </w:r>
    </w:p>
    <w:p>
      <w:pPr>
        <w:numPr>
          <w:ilvl w:val="0"/>
          <w:numId w:val="0"/>
        </w:numPr>
        <w:spacing w:line="579"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结合本次绩效评价项目的具体情况，为确保本次绩效评价工作的真实可靠，主要通过审阅资料、现场调研、实地评价、问卷调查、数据分析等方法进行评价。</w:t>
      </w:r>
    </w:p>
    <w:p>
      <w:pPr>
        <w:numPr>
          <w:ilvl w:val="0"/>
          <w:numId w:val="0"/>
        </w:numPr>
        <w:spacing w:line="579"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1.审阅资料</w:t>
      </w:r>
    </w:p>
    <w:p>
      <w:pPr>
        <w:numPr>
          <w:ilvl w:val="0"/>
          <w:numId w:val="0"/>
        </w:numPr>
        <w:spacing w:line="579"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收集与项目预算、管理、绩效相关的评价资料，形成绩效评价的基础资料，并对基础资料的真实性、可靠性进行审阅。包括查阅项目立项申报文件、报表资料、项目管理情况、资金管理情况、自评报告，对需要现场调查的问题做好记录。具体为：（1）对实施单位上报的自评报告进行认真审阅，核实项目单位自评工作是否按要求完成，评价完成的效果和质量，收集绩效评价的基础数据；（2）对项目实施单位填报的项目</w:t>
      </w:r>
      <w:r>
        <w:rPr>
          <w:rFonts w:hint="eastAsia" w:hAnsi="仿宋" w:cs="仿宋"/>
          <w:sz w:val="30"/>
          <w:szCs w:val="30"/>
          <w:lang w:val="en-US" w:eastAsia="zh-CN"/>
        </w:rPr>
        <w:t>完工</w:t>
      </w:r>
      <w:r>
        <w:rPr>
          <w:rFonts w:hint="eastAsia" w:ascii="仿宋" w:hAnsi="仿宋" w:eastAsia="仿宋" w:cs="仿宋"/>
          <w:sz w:val="30"/>
          <w:szCs w:val="30"/>
          <w:lang w:val="en-US" w:eastAsia="zh-CN"/>
        </w:rPr>
        <w:t>情况表、资金</w:t>
      </w:r>
      <w:r>
        <w:rPr>
          <w:rFonts w:hint="eastAsia" w:hAnsi="仿宋" w:cs="仿宋"/>
          <w:sz w:val="30"/>
          <w:szCs w:val="30"/>
          <w:lang w:val="en-US" w:eastAsia="zh-CN"/>
        </w:rPr>
        <w:t>到位</w:t>
      </w:r>
      <w:r>
        <w:rPr>
          <w:rFonts w:hint="eastAsia" w:ascii="仿宋" w:hAnsi="仿宋" w:eastAsia="仿宋" w:cs="仿宋"/>
          <w:sz w:val="30"/>
          <w:szCs w:val="30"/>
          <w:lang w:val="en-US" w:eastAsia="zh-CN"/>
        </w:rPr>
        <w:t>使用情况表进行审阅，通过实地调查、原始凭证查阅等进行核实；（3）收集项目绩效的相关资料并结合问卷调查、座谈访谈结果对项目绩效进行客观评价。</w:t>
      </w:r>
    </w:p>
    <w:p>
      <w:pPr>
        <w:numPr>
          <w:ilvl w:val="0"/>
          <w:numId w:val="0"/>
        </w:numPr>
        <w:spacing w:line="579"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2.现场调研</w:t>
      </w:r>
    </w:p>
    <w:p>
      <w:pPr>
        <w:numPr>
          <w:ilvl w:val="0"/>
          <w:numId w:val="0"/>
        </w:numPr>
        <w:spacing w:line="579"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通过调研，进一步了解项目基本情况、项目组织管理情况、项目资金管理情况、项目实施</w:t>
      </w:r>
      <w:r>
        <w:rPr>
          <w:rFonts w:hint="eastAsia" w:hAnsi="仿宋" w:cs="仿宋"/>
          <w:sz w:val="30"/>
          <w:szCs w:val="30"/>
          <w:lang w:val="en-US" w:eastAsia="zh-CN"/>
        </w:rPr>
        <w:t>、</w:t>
      </w:r>
      <w:r>
        <w:rPr>
          <w:rFonts w:hint="eastAsia" w:ascii="仿宋" w:hAnsi="仿宋" w:eastAsia="仿宋" w:cs="仿宋"/>
          <w:sz w:val="30"/>
          <w:szCs w:val="30"/>
          <w:lang w:val="en-US" w:eastAsia="zh-CN"/>
        </w:rPr>
        <w:t>绩效目标申报和实现情况，结合项目特点制定评价指标体系。</w:t>
      </w:r>
    </w:p>
    <w:p>
      <w:pPr>
        <w:numPr>
          <w:ilvl w:val="0"/>
          <w:numId w:val="0"/>
        </w:numPr>
        <w:spacing w:line="579"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3.实地评价</w:t>
      </w:r>
    </w:p>
    <w:p>
      <w:pPr>
        <w:numPr>
          <w:ilvl w:val="0"/>
          <w:numId w:val="0"/>
        </w:numPr>
        <w:spacing w:line="579"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绩效评价工作组根据分工，采用资料收集与数据填报、案卷研究、实地调研、座谈会、问卷调查等方式，组织开展实地评价。实地评价过程中，根据评价对象的具体情况，收集评价数据、资料；同时发放调查问卷，调查项目的综合满意度及其他与评价相关的信息。</w:t>
      </w:r>
    </w:p>
    <w:p>
      <w:pPr>
        <w:numPr>
          <w:ilvl w:val="0"/>
          <w:numId w:val="0"/>
        </w:numPr>
        <w:spacing w:line="579"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4.问卷调查</w:t>
      </w:r>
    </w:p>
    <w:p>
      <w:pPr>
        <w:numPr>
          <w:ilvl w:val="0"/>
          <w:numId w:val="0"/>
        </w:numPr>
        <w:spacing w:line="579"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通过现场调查与座谈、发放调查问卷等方式，了解项目实施情况，发现项目管理、实施过程中存在的问题，寻求完善相关政策和项目实施的建议，着重对项目产出和效果情况进行调查了解，为项目实施效果提供定性与定量评价的依据。</w:t>
      </w:r>
    </w:p>
    <w:p>
      <w:pPr>
        <w:numPr>
          <w:ilvl w:val="0"/>
          <w:numId w:val="0"/>
        </w:numPr>
        <w:spacing w:line="579"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5.数据分析</w:t>
      </w:r>
    </w:p>
    <w:p>
      <w:pPr>
        <w:numPr>
          <w:ilvl w:val="0"/>
          <w:numId w:val="0"/>
        </w:numPr>
        <w:spacing w:line="579"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依据项目设立时的申报文件、批复下达文件，对照项目实际完成内容，评价项目的完成情况；依据相关政策文件，评价项目是否按照项目管理办法等文件执行；依据项目资金计划文件和凭证，评价项目资金下拨、到位及使用情况；将项目绩效目标与实施结果对比分析，判断项目目标的实现情况；将项目预期效益与实施效果数据进行对比分析，结合开展的问卷调查，评价项目预期效果和效益实现程度。</w:t>
      </w:r>
    </w:p>
    <w:p>
      <w:pPr>
        <w:numPr>
          <w:ilvl w:val="0"/>
          <w:numId w:val="0"/>
        </w:numPr>
        <w:spacing w:line="579" w:lineRule="exact"/>
        <w:ind w:firstLine="600" w:firstLineChars="200"/>
        <w:rPr>
          <w:rFonts w:hint="eastAsia" w:ascii="仿宋" w:hAnsi="仿宋" w:eastAsia="仿宋" w:cs="仿宋"/>
          <w:sz w:val="30"/>
          <w:szCs w:val="30"/>
          <w:lang w:val="en-US" w:eastAsia="zh-CN"/>
        </w:rPr>
      </w:pPr>
      <w:r>
        <w:rPr>
          <w:rFonts w:hint="eastAsia" w:ascii="楷体" w:hAnsi="楷体" w:eastAsia="楷体" w:cs="Times New Roman"/>
          <w:kern w:val="2"/>
          <w:sz w:val="30"/>
          <w:szCs w:val="30"/>
          <w:lang w:val="en-US" w:eastAsia="zh-CN"/>
        </w:rPr>
        <w:t>（三）绩效评价指标体系</w:t>
      </w:r>
    </w:p>
    <w:p>
      <w:pPr>
        <w:numPr>
          <w:ilvl w:val="0"/>
          <w:numId w:val="0"/>
        </w:numPr>
        <w:spacing w:line="579"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1.绩效评价指标</w:t>
      </w:r>
    </w:p>
    <w:p>
      <w:pPr>
        <w:numPr>
          <w:ilvl w:val="0"/>
          <w:numId w:val="0"/>
        </w:numPr>
        <w:spacing w:line="579" w:lineRule="exact"/>
        <w:ind w:firstLine="600" w:firstLineChars="20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根据项目特点，项目绩效评价指标体系设置“</w:t>
      </w:r>
      <w:r>
        <w:rPr>
          <w:rFonts w:hint="eastAsia" w:hAnsi="仿宋" w:cs="仿宋"/>
          <w:color w:val="auto"/>
          <w:sz w:val="30"/>
          <w:szCs w:val="30"/>
          <w:lang w:val="en-US" w:eastAsia="zh-CN"/>
        </w:rPr>
        <w:t>决策</w:t>
      </w:r>
      <w:r>
        <w:rPr>
          <w:rFonts w:hint="eastAsia" w:ascii="仿宋" w:hAnsi="仿宋" w:eastAsia="仿宋" w:cs="仿宋"/>
          <w:color w:val="auto"/>
          <w:sz w:val="30"/>
          <w:szCs w:val="30"/>
          <w:lang w:val="en-US" w:eastAsia="zh-CN"/>
        </w:rPr>
        <w:t>、过程、产出、效果”4个一级指标，并按照1</w:t>
      </w:r>
      <w:r>
        <w:rPr>
          <w:rFonts w:hint="eastAsia" w:hAnsi="仿宋" w:cs="仿宋"/>
          <w:color w:val="auto"/>
          <w:sz w:val="30"/>
          <w:szCs w:val="30"/>
          <w:lang w:val="en-US" w:eastAsia="zh-CN"/>
        </w:rPr>
        <w:t>5</w:t>
      </w:r>
      <w:r>
        <w:rPr>
          <w:rFonts w:hint="eastAsia" w:ascii="仿宋" w:hAnsi="仿宋" w:eastAsia="仿宋" w:cs="仿宋"/>
          <w:color w:val="auto"/>
          <w:sz w:val="30"/>
          <w:szCs w:val="30"/>
          <w:lang w:val="en-US" w:eastAsia="zh-CN"/>
        </w:rPr>
        <w:t>%、2</w:t>
      </w:r>
      <w:r>
        <w:rPr>
          <w:rFonts w:hint="eastAsia" w:hAnsi="仿宋" w:cs="仿宋"/>
          <w:color w:val="auto"/>
          <w:sz w:val="30"/>
          <w:szCs w:val="30"/>
          <w:lang w:val="en-US" w:eastAsia="zh-CN"/>
        </w:rPr>
        <w:t>0</w:t>
      </w:r>
      <w:r>
        <w:rPr>
          <w:rFonts w:hint="eastAsia" w:ascii="仿宋" w:hAnsi="仿宋" w:eastAsia="仿宋" w:cs="仿宋"/>
          <w:color w:val="auto"/>
          <w:sz w:val="30"/>
          <w:szCs w:val="30"/>
          <w:lang w:val="en-US" w:eastAsia="zh-CN"/>
        </w:rPr>
        <w:t>%、35%和30%的权重进行评分。具体评分标准根据评价指标体系各项指标对应的考核内容和范围进行确定。</w:t>
      </w:r>
    </w:p>
    <w:p>
      <w:pPr>
        <w:numPr>
          <w:ilvl w:val="0"/>
          <w:numId w:val="0"/>
        </w:numPr>
        <w:spacing w:line="579" w:lineRule="exact"/>
        <w:ind w:firstLine="600" w:firstLineChars="20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w:t>
      </w:r>
      <w:r>
        <w:rPr>
          <w:rFonts w:hint="eastAsia" w:hAnsi="仿宋" w:cs="仿宋"/>
          <w:color w:val="auto"/>
          <w:sz w:val="30"/>
          <w:szCs w:val="30"/>
          <w:lang w:val="en-US" w:eastAsia="zh-CN"/>
        </w:rPr>
        <w:t>决策</w:t>
      </w:r>
      <w:r>
        <w:rPr>
          <w:rFonts w:hint="eastAsia" w:ascii="仿宋" w:hAnsi="仿宋" w:eastAsia="仿宋" w:cs="仿宋"/>
          <w:color w:val="auto"/>
          <w:sz w:val="30"/>
          <w:szCs w:val="30"/>
          <w:lang w:val="en-US" w:eastAsia="zh-CN"/>
        </w:rPr>
        <w:t>”指标由“项目立项、</w:t>
      </w:r>
      <w:r>
        <w:rPr>
          <w:rFonts w:hint="eastAsia" w:hAnsi="仿宋" w:cs="仿宋"/>
          <w:color w:val="auto"/>
          <w:sz w:val="30"/>
          <w:szCs w:val="30"/>
          <w:lang w:val="en-US" w:eastAsia="zh-CN"/>
        </w:rPr>
        <w:t>绩效目标、</w:t>
      </w:r>
      <w:r>
        <w:rPr>
          <w:rFonts w:hint="eastAsia" w:ascii="仿宋" w:hAnsi="仿宋" w:eastAsia="仿宋" w:cs="仿宋"/>
          <w:color w:val="auto"/>
          <w:sz w:val="30"/>
          <w:szCs w:val="30"/>
          <w:lang w:val="en-US" w:eastAsia="zh-CN"/>
        </w:rPr>
        <w:t>资金</w:t>
      </w:r>
      <w:r>
        <w:rPr>
          <w:rFonts w:hint="eastAsia" w:hAnsi="仿宋" w:cs="仿宋"/>
          <w:color w:val="auto"/>
          <w:sz w:val="30"/>
          <w:szCs w:val="30"/>
          <w:lang w:val="en-US" w:eastAsia="zh-CN"/>
        </w:rPr>
        <w:t>投入</w:t>
      </w:r>
      <w:r>
        <w:rPr>
          <w:rFonts w:hint="eastAsia" w:ascii="仿宋" w:hAnsi="仿宋" w:eastAsia="仿宋" w:cs="仿宋"/>
          <w:color w:val="auto"/>
          <w:sz w:val="30"/>
          <w:szCs w:val="30"/>
          <w:lang w:val="en-US" w:eastAsia="zh-CN"/>
        </w:rPr>
        <w:t>”</w:t>
      </w:r>
      <w:r>
        <w:rPr>
          <w:rFonts w:hint="eastAsia" w:hAnsi="仿宋" w:cs="仿宋"/>
          <w:color w:val="auto"/>
          <w:sz w:val="30"/>
          <w:szCs w:val="30"/>
          <w:lang w:val="en-US" w:eastAsia="zh-CN"/>
        </w:rPr>
        <w:t>3</w:t>
      </w:r>
      <w:r>
        <w:rPr>
          <w:rFonts w:hint="eastAsia" w:ascii="仿宋" w:hAnsi="仿宋" w:eastAsia="仿宋" w:cs="仿宋"/>
          <w:color w:val="auto"/>
          <w:sz w:val="30"/>
          <w:szCs w:val="30"/>
          <w:lang w:val="en-US" w:eastAsia="zh-CN"/>
        </w:rPr>
        <w:t>个二级指标构成，同时将</w:t>
      </w:r>
      <w:r>
        <w:rPr>
          <w:rFonts w:hint="eastAsia" w:hAnsi="仿宋" w:cs="仿宋"/>
          <w:color w:val="auto"/>
          <w:sz w:val="30"/>
          <w:szCs w:val="30"/>
          <w:lang w:val="en-US" w:eastAsia="zh-CN"/>
        </w:rPr>
        <w:t>3</w:t>
      </w:r>
      <w:r>
        <w:rPr>
          <w:rFonts w:hint="eastAsia" w:ascii="仿宋" w:hAnsi="仿宋" w:eastAsia="仿宋" w:cs="仿宋"/>
          <w:color w:val="auto"/>
          <w:sz w:val="30"/>
          <w:szCs w:val="30"/>
          <w:lang w:val="en-US" w:eastAsia="zh-CN"/>
        </w:rPr>
        <w:t>个二级指标细化为</w:t>
      </w:r>
      <w:r>
        <w:rPr>
          <w:rFonts w:hint="eastAsia" w:hAnsi="仿宋" w:cs="仿宋"/>
          <w:color w:val="auto"/>
          <w:sz w:val="30"/>
          <w:szCs w:val="30"/>
          <w:lang w:val="en-US" w:eastAsia="zh-CN"/>
        </w:rPr>
        <w:t>6</w:t>
      </w:r>
      <w:r>
        <w:rPr>
          <w:rFonts w:hint="eastAsia" w:ascii="仿宋" w:hAnsi="仿宋" w:eastAsia="仿宋" w:cs="仿宋"/>
          <w:color w:val="auto"/>
          <w:sz w:val="30"/>
          <w:szCs w:val="30"/>
          <w:lang w:val="en-US" w:eastAsia="zh-CN"/>
        </w:rPr>
        <w:t>个三级指标，</w:t>
      </w:r>
      <w:r>
        <w:rPr>
          <w:rFonts w:hint="eastAsia" w:hAnsi="仿宋" w:cs="仿宋"/>
          <w:color w:val="auto"/>
          <w:sz w:val="30"/>
          <w:szCs w:val="30"/>
          <w:lang w:val="en-US" w:eastAsia="zh-CN"/>
        </w:rPr>
        <w:t>21</w:t>
      </w:r>
      <w:r>
        <w:rPr>
          <w:rFonts w:hint="eastAsia" w:ascii="仿宋" w:hAnsi="仿宋" w:eastAsia="仿宋" w:cs="仿宋"/>
          <w:color w:val="auto"/>
          <w:sz w:val="30"/>
          <w:szCs w:val="30"/>
          <w:lang w:val="en-US" w:eastAsia="zh-CN"/>
        </w:rPr>
        <w:t>个评分项，</w:t>
      </w:r>
      <w:r>
        <w:rPr>
          <w:rFonts w:hint="eastAsia" w:hAnsi="仿宋" w:cs="仿宋"/>
          <w:color w:val="auto"/>
          <w:sz w:val="30"/>
          <w:szCs w:val="30"/>
          <w:lang w:val="en-US" w:eastAsia="zh-CN"/>
        </w:rPr>
        <w:t>全为</w:t>
      </w:r>
      <w:r>
        <w:rPr>
          <w:rFonts w:hint="eastAsia" w:ascii="仿宋" w:hAnsi="仿宋" w:eastAsia="仿宋" w:cs="仿宋"/>
          <w:color w:val="auto"/>
          <w:sz w:val="30"/>
          <w:szCs w:val="30"/>
          <w:lang w:val="en-US" w:eastAsia="zh-CN"/>
        </w:rPr>
        <w:t>定性评分项。主要考核项目立项依据充分性、立项程序规范性</w:t>
      </w:r>
      <w:r>
        <w:rPr>
          <w:rFonts w:hint="eastAsia" w:hAnsi="仿宋" w:cs="仿宋"/>
          <w:color w:val="auto"/>
          <w:sz w:val="30"/>
          <w:szCs w:val="30"/>
          <w:lang w:val="en-US" w:eastAsia="zh-CN"/>
        </w:rPr>
        <w:t>、</w:t>
      </w:r>
      <w:r>
        <w:rPr>
          <w:rFonts w:hint="eastAsia" w:ascii="仿宋" w:hAnsi="仿宋" w:eastAsia="仿宋" w:cs="仿宋"/>
          <w:color w:val="auto"/>
          <w:sz w:val="30"/>
          <w:szCs w:val="30"/>
          <w:lang w:val="en-US" w:eastAsia="zh-CN"/>
        </w:rPr>
        <w:t>绩效目标合理性、绩效指标明确性、预算编制科学性、资金分配合理性。</w:t>
      </w:r>
    </w:p>
    <w:p>
      <w:pPr>
        <w:numPr>
          <w:ilvl w:val="0"/>
          <w:numId w:val="0"/>
        </w:numPr>
        <w:spacing w:line="579" w:lineRule="exact"/>
        <w:ind w:firstLine="600" w:firstLineChars="200"/>
        <w:rPr>
          <w:rFonts w:hint="eastAsia" w:ascii="仿宋" w:hAnsi="仿宋" w:eastAsia="仿宋" w:cs="仿宋"/>
          <w:color w:val="FF0000"/>
          <w:sz w:val="30"/>
          <w:szCs w:val="30"/>
          <w:lang w:val="en-US" w:eastAsia="zh-CN"/>
        </w:rPr>
      </w:pPr>
      <w:r>
        <w:rPr>
          <w:rFonts w:hint="eastAsia" w:ascii="仿宋" w:hAnsi="仿宋" w:eastAsia="仿宋" w:cs="仿宋"/>
          <w:color w:val="auto"/>
          <w:sz w:val="30"/>
          <w:szCs w:val="30"/>
          <w:lang w:val="en-US" w:eastAsia="zh-CN"/>
        </w:rPr>
        <w:t>“过程”指标由“项目管理、资金管理”2个二级指标构成，同时将2个二级指标分解为</w:t>
      </w:r>
      <w:r>
        <w:rPr>
          <w:rFonts w:hint="eastAsia" w:hAnsi="仿宋" w:cs="仿宋"/>
          <w:color w:val="auto"/>
          <w:sz w:val="30"/>
          <w:szCs w:val="30"/>
          <w:lang w:val="en-US" w:eastAsia="zh-CN"/>
        </w:rPr>
        <w:t>9</w:t>
      </w:r>
      <w:r>
        <w:rPr>
          <w:rFonts w:hint="eastAsia" w:ascii="仿宋" w:hAnsi="仿宋" w:eastAsia="仿宋" w:cs="仿宋"/>
          <w:color w:val="auto"/>
          <w:sz w:val="30"/>
          <w:szCs w:val="30"/>
          <w:lang w:val="en-US" w:eastAsia="zh-CN"/>
        </w:rPr>
        <w:t>个三级指标，</w:t>
      </w:r>
      <w:r>
        <w:rPr>
          <w:rFonts w:hint="eastAsia" w:hAnsi="仿宋" w:cs="仿宋"/>
          <w:color w:val="auto"/>
          <w:sz w:val="30"/>
          <w:szCs w:val="30"/>
          <w:lang w:val="en-US" w:eastAsia="zh-CN"/>
        </w:rPr>
        <w:t>21</w:t>
      </w:r>
      <w:r>
        <w:rPr>
          <w:rFonts w:hint="eastAsia" w:ascii="仿宋" w:hAnsi="仿宋" w:eastAsia="仿宋" w:cs="仿宋"/>
          <w:color w:val="auto"/>
          <w:sz w:val="30"/>
          <w:szCs w:val="30"/>
          <w:lang w:val="en-US" w:eastAsia="zh-CN"/>
        </w:rPr>
        <w:t>个评分项，其中包含</w:t>
      </w:r>
      <w:r>
        <w:rPr>
          <w:rFonts w:hint="eastAsia" w:hAnsi="仿宋" w:cs="仿宋"/>
          <w:color w:val="auto"/>
          <w:sz w:val="30"/>
          <w:szCs w:val="30"/>
          <w:lang w:val="en-US" w:eastAsia="zh-CN"/>
        </w:rPr>
        <w:t>3</w:t>
      </w:r>
      <w:r>
        <w:rPr>
          <w:rFonts w:hint="eastAsia" w:ascii="仿宋" w:hAnsi="仿宋" w:eastAsia="仿宋" w:cs="仿宋"/>
          <w:color w:val="auto"/>
          <w:sz w:val="30"/>
          <w:szCs w:val="30"/>
          <w:lang w:val="en-US" w:eastAsia="zh-CN"/>
        </w:rPr>
        <w:t>个定量评分项和</w:t>
      </w:r>
      <w:r>
        <w:rPr>
          <w:rFonts w:hint="eastAsia" w:hAnsi="仿宋" w:cs="仿宋"/>
          <w:color w:val="auto"/>
          <w:sz w:val="30"/>
          <w:szCs w:val="30"/>
          <w:lang w:val="en-US" w:eastAsia="zh-CN"/>
        </w:rPr>
        <w:t>18</w:t>
      </w:r>
      <w:r>
        <w:rPr>
          <w:rFonts w:hint="eastAsia" w:ascii="仿宋" w:hAnsi="仿宋" w:eastAsia="仿宋" w:cs="仿宋"/>
          <w:color w:val="auto"/>
          <w:sz w:val="30"/>
          <w:szCs w:val="30"/>
          <w:lang w:val="en-US" w:eastAsia="zh-CN"/>
        </w:rPr>
        <w:t>个定性评分项。主要考核管理制度健全性、制度执行有效性、项目验收规范性、项目执行一致性、监督检查、绩效自评报告、资金到位率、预算执行率和资金使用合规性</w:t>
      </w:r>
      <w:r>
        <w:rPr>
          <w:rFonts w:hint="eastAsia" w:hAnsi="仿宋" w:cs="仿宋"/>
          <w:color w:val="auto"/>
          <w:sz w:val="30"/>
          <w:szCs w:val="30"/>
          <w:lang w:val="en-US" w:eastAsia="zh-CN"/>
        </w:rPr>
        <w:t>等情况</w:t>
      </w:r>
      <w:r>
        <w:rPr>
          <w:rFonts w:hint="eastAsia" w:ascii="仿宋" w:hAnsi="仿宋" w:eastAsia="仿宋" w:cs="仿宋"/>
          <w:color w:val="auto"/>
          <w:sz w:val="30"/>
          <w:szCs w:val="30"/>
          <w:lang w:val="en-US" w:eastAsia="zh-CN"/>
        </w:rPr>
        <w:t>。</w:t>
      </w:r>
    </w:p>
    <w:p>
      <w:pPr>
        <w:numPr>
          <w:ilvl w:val="0"/>
          <w:numId w:val="0"/>
        </w:numPr>
        <w:spacing w:line="579" w:lineRule="exact"/>
        <w:ind w:firstLine="600" w:firstLineChars="200"/>
        <w:rPr>
          <w:rFonts w:hint="eastAsia" w:ascii="仿宋" w:hAnsi="仿宋" w:eastAsia="仿宋" w:cs="仿宋"/>
          <w:color w:val="FF0000"/>
          <w:sz w:val="30"/>
          <w:szCs w:val="30"/>
          <w:lang w:val="en-US" w:eastAsia="zh-CN"/>
        </w:rPr>
      </w:pPr>
      <w:r>
        <w:rPr>
          <w:rFonts w:hint="eastAsia" w:ascii="仿宋" w:hAnsi="仿宋" w:eastAsia="仿宋" w:cs="仿宋"/>
          <w:color w:val="auto"/>
          <w:sz w:val="30"/>
          <w:szCs w:val="30"/>
          <w:lang w:val="en-US" w:eastAsia="zh-CN"/>
        </w:rPr>
        <w:t>“产出”指标由“产出数量、产出</w:t>
      </w:r>
      <w:r>
        <w:rPr>
          <w:rFonts w:hint="eastAsia" w:hAnsi="仿宋" w:cs="仿宋"/>
          <w:color w:val="auto"/>
          <w:sz w:val="30"/>
          <w:szCs w:val="30"/>
          <w:lang w:val="en-US" w:eastAsia="zh-CN"/>
        </w:rPr>
        <w:t>时效</w:t>
      </w:r>
      <w:r>
        <w:rPr>
          <w:rFonts w:hint="eastAsia" w:ascii="仿宋" w:hAnsi="仿宋" w:eastAsia="仿宋" w:cs="仿宋"/>
          <w:color w:val="auto"/>
          <w:sz w:val="30"/>
          <w:szCs w:val="30"/>
          <w:lang w:val="en-US" w:eastAsia="zh-CN"/>
        </w:rPr>
        <w:t>、</w:t>
      </w:r>
      <w:r>
        <w:rPr>
          <w:rFonts w:hint="eastAsia" w:hAnsi="仿宋" w:cs="仿宋"/>
          <w:color w:val="auto"/>
          <w:sz w:val="30"/>
          <w:szCs w:val="30"/>
          <w:lang w:val="en-US" w:eastAsia="zh-CN"/>
        </w:rPr>
        <w:t>产出成本、</w:t>
      </w:r>
      <w:r>
        <w:rPr>
          <w:rFonts w:hint="eastAsia" w:ascii="仿宋" w:hAnsi="仿宋" w:eastAsia="仿宋" w:cs="仿宋"/>
          <w:color w:val="auto"/>
          <w:sz w:val="30"/>
          <w:szCs w:val="30"/>
          <w:lang w:val="en-US" w:eastAsia="zh-CN"/>
        </w:rPr>
        <w:t>产出质量”</w:t>
      </w:r>
      <w:r>
        <w:rPr>
          <w:rFonts w:hint="eastAsia" w:hAnsi="仿宋" w:cs="仿宋"/>
          <w:color w:val="auto"/>
          <w:sz w:val="30"/>
          <w:szCs w:val="30"/>
          <w:lang w:val="en-US" w:eastAsia="zh-CN"/>
        </w:rPr>
        <w:t>4</w:t>
      </w:r>
      <w:r>
        <w:rPr>
          <w:rFonts w:hint="eastAsia" w:ascii="仿宋" w:hAnsi="仿宋" w:eastAsia="仿宋" w:cs="仿宋"/>
          <w:color w:val="auto"/>
          <w:sz w:val="30"/>
          <w:szCs w:val="30"/>
          <w:lang w:val="en-US" w:eastAsia="zh-CN"/>
        </w:rPr>
        <w:t>个二级指标构成，同时将</w:t>
      </w:r>
      <w:r>
        <w:rPr>
          <w:rFonts w:hint="eastAsia" w:hAnsi="仿宋" w:cs="仿宋"/>
          <w:color w:val="auto"/>
          <w:sz w:val="30"/>
          <w:szCs w:val="30"/>
          <w:lang w:val="en-US" w:eastAsia="zh-CN"/>
        </w:rPr>
        <w:t>4</w:t>
      </w:r>
      <w:r>
        <w:rPr>
          <w:rFonts w:hint="eastAsia" w:ascii="仿宋" w:hAnsi="仿宋" w:eastAsia="仿宋" w:cs="仿宋"/>
          <w:color w:val="auto"/>
          <w:sz w:val="30"/>
          <w:szCs w:val="30"/>
          <w:lang w:val="en-US" w:eastAsia="zh-CN"/>
        </w:rPr>
        <w:t>个二级指标分解为</w:t>
      </w:r>
      <w:r>
        <w:rPr>
          <w:rFonts w:hint="eastAsia" w:hAnsi="仿宋" w:cs="仿宋"/>
          <w:color w:val="auto"/>
          <w:sz w:val="30"/>
          <w:szCs w:val="30"/>
          <w:lang w:val="en-US" w:eastAsia="zh-CN"/>
        </w:rPr>
        <w:t>7</w:t>
      </w:r>
      <w:r>
        <w:rPr>
          <w:rFonts w:hint="eastAsia" w:ascii="仿宋" w:hAnsi="仿宋" w:eastAsia="仿宋" w:cs="仿宋"/>
          <w:color w:val="auto"/>
          <w:sz w:val="30"/>
          <w:szCs w:val="30"/>
          <w:lang w:val="en-US" w:eastAsia="zh-CN"/>
        </w:rPr>
        <w:t>个三级指标，</w:t>
      </w:r>
      <w:r>
        <w:rPr>
          <w:rFonts w:hint="eastAsia" w:hAnsi="仿宋" w:cs="仿宋"/>
          <w:color w:val="auto"/>
          <w:sz w:val="30"/>
          <w:szCs w:val="30"/>
          <w:lang w:val="en-US" w:eastAsia="zh-CN"/>
        </w:rPr>
        <w:t>20</w:t>
      </w:r>
      <w:r>
        <w:rPr>
          <w:rFonts w:hint="eastAsia" w:ascii="仿宋" w:hAnsi="仿宋" w:eastAsia="仿宋" w:cs="仿宋"/>
          <w:color w:val="auto"/>
          <w:sz w:val="30"/>
          <w:szCs w:val="30"/>
          <w:lang w:val="en-US" w:eastAsia="zh-CN"/>
        </w:rPr>
        <w:t>个评分项，</w:t>
      </w:r>
      <w:r>
        <w:rPr>
          <w:rFonts w:hint="eastAsia" w:hAnsi="仿宋" w:cs="仿宋"/>
          <w:color w:val="auto"/>
          <w:sz w:val="30"/>
          <w:szCs w:val="30"/>
          <w:lang w:val="en-US" w:eastAsia="zh-CN"/>
        </w:rPr>
        <w:t>全为</w:t>
      </w:r>
      <w:r>
        <w:rPr>
          <w:rFonts w:hint="eastAsia" w:ascii="仿宋" w:hAnsi="仿宋" w:eastAsia="仿宋" w:cs="仿宋"/>
          <w:color w:val="auto"/>
          <w:sz w:val="30"/>
          <w:szCs w:val="30"/>
          <w:lang w:val="en-US" w:eastAsia="zh-CN"/>
        </w:rPr>
        <w:t>定</w:t>
      </w:r>
      <w:r>
        <w:rPr>
          <w:rFonts w:hint="eastAsia" w:hAnsi="仿宋" w:cs="仿宋"/>
          <w:color w:val="auto"/>
          <w:sz w:val="30"/>
          <w:szCs w:val="30"/>
          <w:lang w:val="en-US" w:eastAsia="zh-CN"/>
        </w:rPr>
        <w:t>量</w:t>
      </w:r>
      <w:r>
        <w:rPr>
          <w:rFonts w:hint="eastAsia" w:ascii="仿宋" w:hAnsi="仿宋" w:eastAsia="仿宋" w:cs="仿宋"/>
          <w:color w:val="auto"/>
          <w:sz w:val="30"/>
          <w:szCs w:val="30"/>
          <w:lang w:val="en-US" w:eastAsia="zh-CN"/>
        </w:rPr>
        <w:t>评分项。主要综合考核项目实际完</w:t>
      </w:r>
      <w:r>
        <w:rPr>
          <w:rFonts w:hint="eastAsia" w:hAnsi="仿宋" w:cs="仿宋"/>
          <w:color w:val="auto"/>
          <w:sz w:val="30"/>
          <w:szCs w:val="30"/>
          <w:lang w:val="en-US" w:eastAsia="zh-CN"/>
        </w:rPr>
        <w:t>成情况</w:t>
      </w:r>
      <w:r>
        <w:rPr>
          <w:rFonts w:hint="eastAsia" w:ascii="仿宋" w:hAnsi="仿宋" w:eastAsia="仿宋" w:cs="仿宋"/>
          <w:color w:val="auto"/>
          <w:sz w:val="30"/>
          <w:szCs w:val="30"/>
          <w:lang w:val="en-US" w:eastAsia="zh-CN"/>
        </w:rPr>
        <w:t>、</w:t>
      </w:r>
      <w:r>
        <w:rPr>
          <w:rFonts w:hint="eastAsia" w:hAnsi="仿宋" w:cs="仿宋"/>
          <w:color w:val="auto"/>
          <w:sz w:val="30"/>
          <w:szCs w:val="30"/>
          <w:lang w:val="en-US" w:eastAsia="zh-CN"/>
        </w:rPr>
        <w:t>项目</w:t>
      </w:r>
      <w:r>
        <w:rPr>
          <w:rFonts w:hint="eastAsia" w:ascii="仿宋" w:hAnsi="仿宋" w:eastAsia="仿宋" w:cs="仿宋"/>
          <w:color w:val="auto"/>
          <w:sz w:val="30"/>
          <w:szCs w:val="30"/>
          <w:lang w:val="en-US" w:eastAsia="zh-CN"/>
        </w:rPr>
        <w:t>完成及时率、项目质量达标率、项目成本节约率、项目区甘蔗产量</w:t>
      </w:r>
      <w:r>
        <w:rPr>
          <w:rFonts w:hint="eastAsia" w:hAnsi="仿宋" w:cs="仿宋"/>
          <w:color w:val="auto"/>
          <w:sz w:val="30"/>
          <w:szCs w:val="30"/>
          <w:lang w:val="en-US" w:eastAsia="zh-CN"/>
        </w:rPr>
        <w:t>完成</w:t>
      </w:r>
      <w:r>
        <w:rPr>
          <w:rFonts w:hint="eastAsia" w:ascii="仿宋" w:hAnsi="仿宋" w:eastAsia="仿宋" w:cs="仿宋"/>
          <w:color w:val="auto"/>
          <w:sz w:val="30"/>
          <w:szCs w:val="30"/>
          <w:lang w:val="en-US" w:eastAsia="zh-CN"/>
        </w:rPr>
        <w:t>等情况。</w:t>
      </w:r>
    </w:p>
    <w:p>
      <w:pPr>
        <w:numPr>
          <w:ilvl w:val="0"/>
          <w:numId w:val="0"/>
        </w:numPr>
        <w:spacing w:line="579" w:lineRule="exact"/>
        <w:ind w:firstLine="600" w:firstLineChars="20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“效果”指标由“经济效益、社会效益</w:t>
      </w:r>
      <w:r>
        <w:rPr>
          <w:rFonts w:hint="eastAsia" w:hAnsi="仿宋" w:cs="仿宋"/>
          <w:color w:val="auto"/>
          <w:sz w:val="30"/>
          <w:szCs w:val="30"/>
          <w:lang w:val="en-US" w:eastAsia="zh-CN"/>
        </w:rPr>
        <w:t>、生态效益、可持续性影响、</w:t>
      </w:r>
      <w:r>
        <w:rPr>
          <w:rFonts w:hint="eastAsia" w:ascii="仿宋" w:hAnsi="仿宋" w:eastAsia="仿宋" w:cs="仿宋"/>
          <w:color w:val="auto"/>
          <w:sz w:val="30"/>
          <w:szCs w:val="30"/>
          <w:lang w:val="en-US" w:eastAsia="zh-CN"/>
        </w:rPr>
        <w:t>受益对象满意度”</w:t>
      </w:r>
      <w:r>
        <w:rPr>
          <w:rFonts w:hint="eastAsia" w:hAnsi="仿宋" w:cs="仿宋"/>
          <w:color w:val="auto"/>
          <w:sz w:val="30"/>
          <w:szCs w:val="30"/>
          <w:lang w:val="en-US" w:eastAsia="zh-CN"/>
        </w:rPr>
        <w:t>5</w:t>
      </w:r>
      <w:r>
        <w:rPr>
          <w:rFonts w:hint="eastAsia" w:ascii="仿宋" w:hAnsi="仿宋" w:eastAsia="仿宋" w:cs="仿宋"/>
          <w:color w:val="auto"/>
          <w:sz w:val="30"/>
          <w:szCs w:val="30"/>
          <w:lang w:val="en-US" w:eastAsia="zh-CN"/>
        </w:rPr>
        <w:t>个二级指标构成，同时将</w:t>
      </w:r>
      <w:r>
        <w:rPr>
          <w:rFonts w:hint="eastAsia" w:hAnsi="仿宋" w:cs="仿宋"/>
          <w:color w:val="auto"/>
          <w:sz w:val="30"/>
          <w:szCs w:val="30"/>
          <w:lang w:val="en-US" w:eastAsia="zh-CN"/>
        </w:rPr>
        <w:t>5</w:t>
      </w:r>
      <w:r>
        <w:rPr>
          <w:rFonts w:hint="eastAsia" w:ascii="仿宋" w:hAnsi="仿宋" w:eastAsia="仿宋" w:cs="仿宋"/>
          <w:color w:val="auto"/>
          <w:sz w:val="30"/>
          <w:szCs w:val="30"/>
          <w:lang w:val="en-US" w:eastAsia="zh-CN"/>
        </w:rPr>
        <w:t>个二级指标细化为</w:t>
      </w:r>
      <w:r>
        <w:rPr>
          <w:rFonts w:hint="eastAsia" w:hAnsi="仿宋" w:cs="仿宋"/>
          <w:color w:val="auto"/>
          <w:sz w:val="30"/>
          <w:szCs w:val="30"/>
          <w:lang w:val="en-US" w:eastAsia="zh-CN"/>
        </w:rPr>
        <w:t>9</w:t>
      </w:r>
      <w:r>
        <w:rPr>
          <w:rFonts w:hint="eastAsia" w:ascii="仿宋" w:hAnsi="仿宋" w:eastAsia="仿宋" w:cs="仿宋"/>
          <w:color w:val="auto"/>
          <w:sz w:val="30"/>
          <w:szCs w:val="30"/>
          <w:lang w:val="en-US" w:eastAsia="zh-CN"/>
        </w:rPr>
        <w:t>个三级指标，1</w:t>
      </w:r>
      <w:r>
        <w:rPr>
          <w:rFonts w:hint="eastAsia" w:hAnsi="仿宋" w:cs="仿宋"/>
          <w:color w:val="auto"/>
          <w:sz w:val="30"/>
          <w:szCs w:val="30"/>
          <w:lang w:val="en-US" w:eastAsia="zh-CN"/>
        </w:rPr>
        <w:t>2</w:t>
      </w:r>
      <w:r>
        <w:rPr>
          <w:rFonts w:hint="eastAsia" w:ascii="仿宋" w:hAnsi="仿宋" w:eastAsia="仿宋" w:cs="仿宋"/>
          <w:color w:val="auto"/>
          <w:sz w:val="30"/>
          <w:szCs w:val="30"/>
          <w:lang w:val="en-US" w:eastAsia="zh-CN"/>
        </w:rPr>
        <w:t>个评分项其中包含</w:t>
      </w:r>
      <w:r>
        <w:rPr>
          <w:rFonts w:hint="eastAsia" w:hAnsi="仿宋" w:cs="仿宋"/>
          <w:color w:val="auto"/>
          <w:sz w:val="30"/>
          <w:szCs w:val="30"/>
          <w:lang w:val="en-US" w:eastAsia="zh-CN"/>
        </w:rPr>
        <w:t>11</w:t>
      </w:r>
      <w:r>
        <w:rPr>
          <w:rFonts w:hint="eastAsia" w:ascii="仿宋" w:hAnsi="仿宋" w:eastAsia="仿宋" w:cs="仿宋"/>
          <w:color w:val="auto"/>
          <w:sz w:val="30"/>
          <w:szCs w:val="30"/>
          <w:lang w:val="en-US" w:eastAsia="zh-CN"/>
        </w:rPr>
        <w:t>个定量评分项和</w:t>
      </w:r>
      <w:r>
        <w:rPr>
          <w:rFonts w:hint="eastAsia" w:hAnsi="仿宋" w:cs="仿宋"/>
          <w:color w:val="auto"/>
          <w:sz w:val="30"/>
          <w:szCs w:val="30"/>
          <w:lang w:val="en-US" w:eastAsia="zh-CN"/>
        </w:rPr>
        <w:t>1</w:t>
      </w:r>
      <w:r>
        <w:rPr>
          <w:rFonts w:hint="eastAsia" w:ascii="仿宋" w:hAnsi="仿宋" w:eastAsia="仿宋" w:cs="仿宋"/>
          <w:color w:val="auto"/>
          <w:sz w:val="30"/>
          <w:szCs w:val="30"/>
          <w:lang w:val="en-US" w:eastAsia="zh-CN"/>
        </w:rPr>
        <w:t>个定性评分项。主要综合考核项目建设</w:t>
      </w:r>
      <w:r>
        <w:rPr>
          <w:rFonts w:hint="eastAsia" w:hAnsi="仿宋" w:cs="仿宋"/>
          <w:color w:val="auto"/>
          <w:sz w:val="30"/>
          <w:szCs w:val="30"/>
          <w:lang w:val="en-US" w:eastAsia="zh-CN"/>
        </w:rPr>
        <w:t>对</w:t>
      </w:r>
      <w:r>
        <w:rPr>
          <w:rFonts w:hint="eastAsia" w:ascii="仿宋" w:hAnsi="仿宋" w:eastAsia="仿宋" w:cs="仿宋"/>
          <w:color w:val="auto"/>
          <w:sz w:val="30"/>
          <w:szCs w:val="30"/>
          <w:lang w:val="en-US" w:eastAsia="zh-CN"/>
        </w:rPr>
        <w:t>提高农户生产产量和收入、降低生产成本、提高生产生活便捷性、改善农业灌溉条件、提高耕地质量</w:t>
      </w:r>
      <w:r>
        <w:rPr>
          <w:rFonts w:hint="eastAsia" w:hAnsi="仿宋" w:cs="仿宋"/>
          <w:color w:val="auto"/>
          <w:sz w:val="30"/>
          <w:szCs w:val="30"/>
          <w:lang w:val="en-US" w:eastAsia="zh-CN"/>
        </w:rPr>
        <w:t>、有效改善生态环境、项目效益持续性、</w:t>
      </w:r>
      <w:r>
        <w:rPr>
          <w:rFonts w:hint="eastAsia" w:ascii="仿宋" w:hAnsi="仿宋" w:eastAsia="仿宋" w:cs="仿宋"/>
          <w:color w:val="auto"/>
          <w:sz w:val="30"/>
          <w:szCs w:val="30"/>
          <w:lang w:val="en-US" w:eastAsia="zh-CN"/>
        </w:rPr>
        <w:t>受益对象满意度等情况。</w:t>
      </w:r>
    </w:p>
    <w:p>
      <w:pPr>
        <w:spacing w:line="579" w:lineRule="exact"/>
        <w:ind w:firstLine="600" w:firstLineChars="200"/>
        <w:rPr>
          <w:rFonts w:hAnsi="仿宋"/>
          <w:szCs w:val="30"/>
        </w:rPr>
      </w:pPr>
      <w:r>
        <w:rPr>
          <w:rFonts w:hint="eastAsia" w:hAnsi="仿宋"/>
          <w:szCs w:val="30"/>
        </w:rPr>
        <w:t>2.评价标准</w:t>
      </w:r>
    </w:p>
    <w:p>
      <w:pPr>
        <w:spacing w:line="579" w:lineRule="exact"/>
        <w:ind w:firstLine="600" w:firstLineChars="200"/>
        <w:rPr>
          <w:rFonts w:hAnsi="仿宋"/>
          <w:szCs w:val="30"/>
        </w:rPr>
      </w:pPr>
      <w:r>
        <w:rPr>
          <w:rFonts w:hint="eastAsia" w:hAnsi="仿宋"/>
          <w:szCs w:val="30"/>
        </w:rPr>
        <w:t>主要采取定性与定量相结合的评分标准，共设置</w:t>
      </w:r>
      <w:r>
        <w:rPr>
          <w:rFonts w:hint="eastAsia" w:hAnsi="仿宋"/>
          <w:szCs w:val="30"/>
          <w:lang w:val="en-US" w:eastAsia="zh-CN"/>
        </w:rPr>
        <w:t>74</w:t>
      </w:r>
      <w:r>
        <w:rPr>
          <w:rFonts w:hint="eastAsia" w:hAnsi="仿宋"/>
          <w:szCs w:val="30"/>
        </w:rPr>
        <w:t>个评分项，其中</w:t>
      </w:r>
      <w:r>
        <w:rPr>
          <w:rFonts w:hint="eastAsia" w:hAnsi="仿宋"/>
          <w:szCs w:val="30"/>
          <w:lang w:val="en-US" w:eastAsia="zh-CN"/>
        </w:rPr>
        <w:t>34</w:t>
      </w:r>
      <w:r>
        <w:rPr>
          <w:rFonts w:hint="eastAsia" w:hAnsi="仿宋"/>
          <w:szCs w:val="30"/>
        </w:rPr>
        <w:t>个定量标准、</w:t>
      </w:r>
      <w:r>
        <w:rPr>
          <w:rFonts w:hint="eastAsia" w:hAnsi="仿宋"/>
          <w:szCs w:val="30"/>
          <w:lang w:val="en-US" w:eastAsia="zh-CN"/>
        </w:rPr>
        <w:t>40</w:t>
      </w:r>
      <w:r>
        <w:rPr>
          <w:rFonts w:hint="eastAsia" w:hAnsi="仿宋"/>
          <w:szCs w:val="30"/>
        </w:rPr>
        <w:t>个定性标准。定性标准采用两段评分法和分段评分法，定量标准</w:t>
      </w:r>
      <w:r>
        <w:rPr>
          <w:rFonts w:hint="eastAsia" w:hAnsi="仿宋"/>
          <w:szCs w:val="30"/>
          <w:lang w:val="en-US" w:eastAsia="zh-CN"/>
        </w:rPr>
        <w:t>采用</w:t>
      </w:r>
      <w:r>
        <w:rPr>
          <w:rFonts w:hint="eastAsia" w:hAnsi="仿宋"/>
          <w:szCs w:val="30"/>
        </w:rPr>
        <w:t>百分比计算得</w:t>
      </w:r>
      <w:r>
        <w:rPr>
          <w:rFonts w:hint="eastAsia" w:hAnsi="仿宋"/>
          <w:szCs w:val="30"/>
          <w:lang w:val="en-US" w:eastAsia="zh-CN"/>
        </w:rPr>
        <w:t>分法和分段评分法等进行评分</w:t>
      </w:r>
      <w:r>
        <w:rPr>
          <w:rFonts w:hint="eastAsia" w:hAnsi="仿宋"/>
          <w:szCs w:val="30"/>
        </w:rPr>
        <w:t>，具体评价标准详见附件</w:t>
      </w:r>
      <w:r>
        <w:rPr>
          <w:rFonts w:hint="eastAsia" w:hAnsi="仿宋"/>
          <w:szCs w:val="30"/>
          <w:lang w:val="en-US" w:eastAsia="zh-CN"/>
        </w:rPr>
        <w:t>2</w:t>
      </w:r>
      <w:r>
        <w:rPr>
          <w:rFonts w:hint="eastAsia" w:hAnsi="仿宋"/>
          <w:szCs w:val="30"/>
        </w:rPr>
        <w:t>。</w:t>
      </w:r>
    </w:p>
    <w:p>
      <w:pPr>
        <w:spacing w:line="579" w:lineRule="exact"/>
        <w:ind w:firstLine="600" w:firstLineChars="200"/>
        <w:rPr>
          <w:rFonts w:hAnsi="仿宋"/>
          <w:szCs w:val="30"/>
        </w:rPr>
      </w:pPr>
      <w:r>
        <w:rPr>
          <w:rFonts w:hint="eastAsia" w:hAnsi="仿宋"/>
          <w:szCs w:val="30"/>
        </w:rPr>
        <w:t>本次评价采用百分制，各级指标依据其指标权重确定分值，评价人员根据评价情况对各级指标进行打分。根据最终得分情况将评价结果分为四个等级：优（得分≥90分）；良（80分≤得分＜90分）；中（60≤得分＜80分）；差（得分＜60分）。</w:t>
      </w:r>
    </w:p>
    <w:p>
      <w:pPr>
        <w:spacing w:line="570" w:lineRule="exact"/>
        <w:ind w:firstLine="600" w:firstLineChars="200"/>
        <w:outlineLvl w:val="1"/>
        <w:rPr>
          <w:rFonts w:ascii="楷体" w:hAnsi="楷体" w:eastAsia="楷体"/>
          <w:sz w:val="30"/>
          <w:szCs w:val="30"/>
        </w:rPr>
      </w:pPr>
      <w:bookmarkStart w:id="15" w:name="_Toc51333620"/>
      <w:r>
        <w:rPr>
          <w:rFonts w:hint="eastAsia" w:ascii="楷体" w:hAnsi="楷体" w:eastAsia="楷体"/>
          <w:sz w:val="30"/>
          <w:szCs w:val="30"/>
        </w:rPr>
        <w:t>（四）绩效评价检查范围</w:t>
      </w:r>
      <w:bookmarkEnd w:id="15"/>
    </w:p>
    <w:p>
      <w:pPr>
        <w:spacing w:line="579" w:lineRule="exact"/>
        <w:ind w:firstLine="600" w:firstLineChars="200"/>
        <w:rPr>
          <w:rFonts w:hint="eastAsia" w:ascii="仿宋" w:hAnsi="仿宋" w:eastAsia="仿宋"/>
          <w:sz w:val="30"/>
          <w:szCs w:val="30"/>
        </w:rPr>
      </w:pPr>
      <w:r>
        <w:rPr>
          <w:rFonts w:hint="eastAsia" w:ascii="仿宋" w:hAnsi="仿宋" w:eastAsia="仿宋"/>
          <w:sz w:val="30"/>
          <w:szCs w:val="30"/>
        </w:rPr>
        <w:t>本次绩效评价拟对</w:t>
      </w:r>
      <w:r>
        <w:rPr>
          <w:rFonts w:hint="eastAsia" w:hAnsi="仿宋"/>
          <w:sz w:val="30"/>
          <w:szCs w:val="30"/>
          <w:lang w:val="en-US" w:eastAsia="zh-CN"/>
        </w:rPr>
        <w:t>盈江县</w:t>
      </w:r>
      <w:r>
        <w:rPr>
          <w:rFonts w:hint="eastAsia" w:ascii="仿宋" w:hAnsi="仿宋" w:eastAsia="仿宋"/>
          <w:sz w:val="30"/>
          <w:szCs w:val="30"/>
        </w:rPr>
        <w:t>201</w:t>
      </w:r>
      <w:r>
        <w:rPr>
          <w:rFonts w:ascii="仿宋" w:hAnsi="仿宋" w:eastAsia="仿宋"/>
          <w:sz w:val="30"/>
          <w:szCs w:val="30"/>
        </w:rPr>
        <w:t>9</w:t>
      </w:r>
      <w:r>
        <w:rPr>
          <w:rFonts w:hint="eastAsia" w:ascii="仿宋" w:hAnsi="仿宋" w:eastAsia="仿宋"/>
          <w:sz w:val="30"/>
          <w:szCs w:val="30"/>
        </w:rPr>
        <w:t>年</w:t>
      </w:r>
      <w:r>
        <w:rPr>
          <w:rFonts w:hint="eastAsia" w:hAnsi="仿宋"/>
          <w:sz w:val="30"/>
          <w:szCs w:val="30"/>
          <w:lang w:val="en-US" w:eastAsia="zh-CN"/>
        </w:rPr>
        <w:t>糖料蔗核心基地建设</w:t>
      </w:r>
      <w:r>
        <w:rPr>
          <w:rFonts w:hint="eastAsia" w:ascii="仿宋" w:hAnsi="仿宋" w:eastAsia="仿宋"/>
          <w:sz w:val="30"/>
          <w:szCs w:val="30"/>
        </w:rPr>
        <w:t>项目</w:t>
      </w:r>
      <w:r>
        <w:rPr>
          <w:rFonts w:hint="eastAsia" w:hAnsi="仿宋"/>
          <w:sz w:val="30"/>
          <w:szCs w:val="30"/>
          <w:lang w:val="en-US" w:eastAsia="zh-CN"/>
        </w:rPr>
        <w:t>实际下达资金</w:t>
      </w:r>
      <w:r>
        <w:rPr>
          <w:rFonts w:hint="eastAsia" w:hAnsi="仿宋"/>
          <w:szCs w:val="30"/>
          <w:lang w:val="en-US" w:eastAsia="zh-CN"/>
        </w:rPr>
        <w:t>1,982.00</w:t>
      </w:r>
      <w:r>
        <w:rPr>
          <w:rFonts w:hint="eastAsia" w:ascii="仿宋" w:hAnsi="仿宋" w:eastAsia="仿宋"/>
          <w:sz w:val="30"/>
          <w:szCs w:val="30"/>
        </w:rPr>
        <w:t>万元进行检查评价。</w:t>
      </w:r>
    </w:p>
    <w:p>
      <w:pPr>
        <w:spacing w:line="579" w:lineRule="exact"/>
        <w:ind w:firstLine="600" w:firstLineChars="200"/>
        <w:outlineLvl w:val="1"/>
        <w:rPr>
          <w:rFonts w:hint="eastAsia" w:ascii="楷体" w:hAnsi="楷体" w:eastAsia="楷体"/>
          <w:color w:val="000000" w:themeColor="text1"/>
          <w:szCs w:val="30"/>
          <w14:textFill>
            <w14:solidFill>
              <w14:schemeClr w14:val="tx1"/>
            </w14:solidFill>
          </w14:textFill>
        </w:rPr>
      </w:pPr>
      <w:bookmarkStart w:id="16" w:name="_Toc20732"/>
      <w:bookmarkStart w:id="17" w:name="_Toc516669099"/>
      <w:r>
        <w:rPr>
          <w:rFonts w:hint="eastAsia" w:ascii="楷体" w:hAnsi="楷体" w:eastAsia="楷体"/>
          <w:color w:val="000000" w:themeColor="text1"/>
          <w:szCs w:val="30"/>
          <w14:textFill>
            <w14:solidFill>
              <w14:schemeClr w14:val="tx1"/>
            </w14:solidFill>
          </w14:textFill>
        </w:rPr>
        <w:t>（</w:t>
      </w:r>
      <w:r>
        <w:rPr>
          <w:rFonts w:hint="eastAsia" w:ascii="楷体" w:hAnsi="楷体" w:eastAsia="楷体"/>
          <w:color w:val="000000" w:themeColor="text1"/>
          <w:szCs w:val="30"/>
          <w:lang w:val="en-US" w:eastAsia="zh-CN"/>
          <w14:textFill>
            <w14:solidFill>
              <w14:schemeClr w14:val="tx1"/>
            </w14:solidFill>
          </w14:textFill>
        </w:rPr>
        <w:t>五</w:t>
      </w:r>
      <w:r>
        <w:rPr>
          <w:rFonts w:hint="eastAsia" w:ascii="楷体" w:hAnsi="楷体" w:eastAsia="楷体"/>
          <w:color w:val="000000" w:themeColor="text1"/>
          <w:szCs w:val="30"/>
          <w14:textFill>
            <w14:solidFill>
              <w14:schemeClr w14:val="tx1"/>
            </w14:solidFill>
          </w14:textFill>
        </w:rPr>
        <w:t>）绩效评价抽样</w:t>
      </w:r>
      <w:bookmarkEnd w:id="16"/>
      <w:bookmarkEnd w:id="17"/>
    </w:p>
    <w:p>
      <w:pPr>
        <w:spacing w:line="579" w:lineRule="exact"/>
        <w:ind w:firstLine="600" w:firstLineChars="200"/>
        <w:rPr>
          <w:rFonts w:hint="default" w:hAnsi="仿宋" w:cs="Times New Roman"/>
          <w:szCs w:val="30"/>
          <w:lang w:val="en-US" w:eastAsia="zh-CN"/>
        </w:rPr>
      </w:pPr>
      <w:r>
        <w:rPr>
          <w:rFonts w:hint="eastAsia" w:hAnsi="仿宋" w:cs="Times New Roman"/>
          <w:szCs w:val="30"/>
          <w:lang w:val="en-US" w:eastAsia="zh-CN"/>
        </w:rPr>
        <w:t>该项目</w:t>
      </w:r>
      <w:r>
        <w:rPr>
          <w:rFonts w:hAnsi="仿宋"/>
          <w:szCs w:val="30"/>
        </w:rPr>
        <w:t>工程</w:t>
      </w:r>
      <w:r>
        <w:rPr>
          <w:rFonts w:hint="eastAsia" w:hAnsi="仿宋"/>
          <w:szCs w:val="30"/>
          <w:lang w:val="en-US" w:eastAsia="zh-CN"/>
        </w:rPr>
        <w:t>划分为六</w:t>
      </w:r>
      <w:r>
        <w:rPr>
          <w:rFonts w:hint="eastAsia" w:hAnsi="仿宋"/>
          <w:szCs w:val="30"/>
        </w:rPr>
        <w:t>个标段，</w:t>
      </w:r>
      <w:r>
        <w:rPr>
          <w:rFonts w:hAnsi="仿宋"/>
          <w:szCs w:val="30"/>
        </w:rPr>
        <w:t>覆盖面较广</w:t>
      </w:r>
      <w:r>
        <w:rPr>
          <w:rFonts w:hint="eastAsia" w:hAnsi="仿宋"/>
          <w:szCs w:val="30"/>
          <w:lang w:eastAsia="zh-CN"/>
        </w:rPr>
        <w:t>，</w:t>
      </w:r>
      <w:r>
        <w:rPr>
          <w:rFonts w:hAnsi="仿宋"/>
          <w:szCs w:val="30"/>
        </w:rPr>
        <w:t>抽样选点主要考虑因素为：</w:t>
      </w:r>
    </w:p>
    <w:p>
      <w:pPr>
        <w:spacing w:line="579" w:lineRule="exact"/>
        <w:ind w:firstLine="600" w:firstLineChars="200"/>
        <w:rPr>
          <w:rFonts w:hAnsi="仿宋"/>
          <w:szCs w:val="30"/>
        </w:rPr>
      </w:pPr>
      <w:r>
        <w:rPr>
          <w:rFonts w:hint="eastAsia" w:hAnsi="仿宋"/>
          <w:szCs w:val="30"/>
          <w:lang w:val="en-US" w:eastAsia="zh-CN"/>
        </w:rPr>
        <w:t>1</w:t>
      </w:r>
      <w:r>
        <w:rPr>
          <w:rFonts w:hAnsi="仿宋"/>
          <w:szCs w:val="30"/>
        </w:rPr>
        <w:t>.建设内容的涵盖情况</w:t>
      </w:r>
      <w:r>
        <w:rPr>
          <w:rFonts w:hint="eastAsia" w:hAnsi="仿宋"/>
          <w:szCs w:val="30"/>
        </w:rPr>
        <w:t>。</w:t>
      </w:r>
      <w:r>
        <w:rPr>
          <w:rFonts w:hint="eastAsia" w:hAnsi="仿宋"/>
          <w:szCs w:val="30"/>
          <w:lang w:val="en-US" w:eastAsia="zh-CN"/>
        </w:rPr>
        <w:t>灌溉与排水工程、田间道路工程、交叉建筑物</w:t>
      </w:r>
      <w:r>
        <w:rPr>
          <w:rFonts w:hAnsi="仿宋"/>
          <w:szCs w:val="30"/>
        </w:rPr>
        <w:t>等主要建设内容均进行抽查评价。</w:t>
      </w:r>
    </w:p>
    <w:p>
      <w:pPr>
        <w:spacing w:line="579" w:lineRule="exact"/>
        <w:ind w:firstLine="600" w:firstLineChars="200"/>
        <w:rPr>
          <w:rFonts w:hAnsi="仿宋"/>
          <w:szCs w:val="30"/>
        </w:rPr>
      </w:pPr>
      <w:r>
        <w:rPr>
          <w:rFonts w:hint="eastAsia" w:hAnsi="仿宋"/>
          <w:szCs w:val="30"/>
          <w:lang w:val="en-US" w:eastAsia="zh-CN"/>
        </w:rPr>
        <w:t>2</w:t>
      </w:r>
      <w:r>
        <w:rPr>
          <w:rFonts w:hAnsi="仿宋"/>
          <w:szCs w:val="30"/>
        </w:rPr>
        <w:t>.</w:t>
      </w:r>
      <w:r>
        <w:rPr>
          <w:rFonts w:hint="eastAsia" w:hAnsi="仿宋"/>
          <w:szCs w:val="30"/>
        </w:rPr>
        <w:t>施工标段。</w:t>
      </w:r>
      <w:r>
        <w:rPr>
          <w:rFonts w:hint="eastAsia" w:hAnsi="仿宋" w:cs="Times New Roman"/>
          <w:szCs w:val="30"/>
          <w:lang w:val="en-US" w:eastAsia="zh-CN"/>
        </w:rPr>
        <w:t>盈江县2019年糖料蔗核心基地建设项目</w:t>
      </w:r>
      <w:r>
        <w:rPr>
          <w:rFonts w:hint="eastAsia" w:hAnsi="仿宋"/>
          <w:szCs w:val="30"/>
        </w:rPr>
        <w:t>分为</w:t>
      </w:r>
      <w:r>
        <w:rPr>
          <w:rFonts w:hint="eastAsia" w:hAnsi="仿宋"/>
          <w:szCs w:val="30"/>
          <w:lang w:val="en-US" w:eastAsia="zh-CN"/>
        </w:rPr>
        <w:t>六个</w:t>
      </w:r>
      <w:r>
        <w:rPr>
          <w:rFonts w:hint="eastAsia" w:hAnsi="仿宋"/>
          <w:szCs w:val="30"/>
        </w:rPr>
        <w:t>标段，绩效评价</w:t>
      </w:r>
      <w:r>
        <w:rPr>
          <w:rFonts w:hint="eastAsia" w:hAnsi="仿宋"/>
          <w:szCs w:val="30"/>
          <w:lang w:val="en-US" w:eastAsia="zh-CN"/>
        </w:rPr>
        <w:t>抽取了二标段、三标段、四标段和五标段</w:t>
      </w:r>
      <w:r>
        <w:rPr>
          <w:rFonts w:hint="eastAsia" w:hAnsi="仿宋"/>
          <w:szCs w:val="30"/>
        </w:rPr>
        <w:t>。</w:t>
      </w:r>
    </w:p>
    <w:p>
      <w:pPr>
        <w:spacing w:line="579" w:lineRule="exact"/>
        <w:ind w:firstLine="600" w:firstLineChars="200"/>
        <w:rPr>
          <w:rFonts w:hint="eastAsia" w:hAnsi="仿宋"/>
          <w:szCs w:val="30"/>
        </w:rPr>
      </w:pPr>
      <w:r>
        <w:rPr>
          <w:rFonts w:hint="eastAsia" w:hAnsi="仿宋"/>
          <w:szCs w:val="30"/>
          <w:lang w:val="en-US" w:eastAsia="zh-CN"/>
        </w:rPr>
        <w:t>3</w:t>
      </w:r>
      <w:r>
        <w:rPr>
          <w:rFonts w:hint="eastAsia" w:hAnsi="仿宋"/>
          <w:szCs w:val="30"/>
        </w:rPr>
        <w:t>.覆盖乡镇。</w:t>
      </w:r>
      <w:r>
        <w:rPr>
          <w:rFonts w:hint="eastAsia" w:hAnsi="仿宋"/>
          <w:szCs w:val="30"/>
          <w:lang w:val="en-US" w:eastAsia="zh-CN"/>
        </w:rPr>
        <w:t>项目</w:t>
      </w:r>
      <w:r>
        <w:rPr>
          <w:rFonts w:hint="eastAsia" w:hAnsi="仿宋"/>
          <w:szCs w:val="30"/>
        </w:rPr>
        <w:t>覆盖了</w:t>
      </w:r>
      <w:r>
        <w:rPr>
          <w:rFonts w:hint="eastAsia" w:hAnsi="仿宋"/>
          <w:szCs w:val="30"/>
          <w:lang w:val="en-US" w:eastAsia="zh-CN"/>
        </w:rPr>
        <w:t>7个乡镇</w:t>
      </w:r>
      <w:r>
        <w:rPr>
          <w:rFonts w:hint="eastAsia" w:hAnsi="仿宋"/>
          <w:szCs w:val="30"/>
        </w:rPr>
        <w:t>，绩效评价抽取</w:t>
      </w:r>
      <w:r>
        <w:rPr>
          <w:rFonts w:hint="eastAsia" w:hAnsi="仿宋"/>
          <w:szCs w:val="30"/>
          <w:lang w:val="en-US" w:eastAsia="zh-CN"/>
        </w:rPr>
        <w:t>了平原镇、旧城镇、油松岭乡、太平镇和新城乡5个乡镇</w:t>
      </w:r>
      <w:r>
        <w:rPr>
          <w:rFonts w:hint="eastAsia" w:hAnsi="仿宋"/>
          <w:szCs w:val="30"/>
        </w:rPr>
        <w:t>。</w:t>
      </w:r>
    </w:p>
    <w:p>
      <w:pPr>
        <w:spacing w:line="579" w:lineRule="exact"/>
        <w:ind w:firstLine="600" w:firstLineChars="200"/>
        <w:rPr>
          <w:rFonts w:hint="eastAsia" w:hAnsi="仿宋"/>
          <w:szCs w:val="30"/>
          <w:lang w:val="en-US" w:eastAsia="zh-CN"/>
        </w:rPr>
      </w:pPr>
      <w:r>
        <w:rPr>
          <w:rFonts w:hint="eastAsia" w:hAnsi="仿宋"/>
          <w:szCs w:val="30"/>
          <w:lang w:val="en-US" w:eastAsia="zh-CN"/>
        </w:rPr>
        <w:t>4.资金占比。项目实际使用资金1,809.51万元，绩效评价抽样资金1,445.18万元。</w:t>
      </w:r>
    </w:p>
    <w:p>
      <w:pPr>
        <w:spacing w:line="579" w:lineRule="exact"/>
        <w:ind w:firstLine="600" w:firstLineChars="200"/>
        <w:rPr>
          <w:rFonts w:hAnsi="仿宋"/>
          <w:szCs w:val="30"/>
        </w:rPr>
      </w:pPr>
      <w:r>
        <w:rPr>
          <w:rFonts w:hint="eastAsia" w:ascii="仿宋" w:hAnsi="仿宋" w:eastAsia="仿宋"/>
          <w:sz w:val="30"/>
          <w:szCs w:val="30"/>
        </w:rPr>
        <w:t>综合以上因素，本次绩效评价抽取了</w:t>
      </w:r>
      <w:r>
        <w:rPr>
          <w:rFonts w:hint="eastAsia" w:hAnsi="仿宋"/>
          <w:sz w:val="30"/>
          <w:szCs w:val="30"/>
          <w:lang w:val="en-US" w:eastAsia="zh-CN"/>
        </w:rPr>
        <w:t>4</w:t>
      </w:r>
      <w:r>
        <w:rPr>
          <w:rFonts w:hint="eastAsia" w:ascii="仿宋" w:hAnsi="仿宋" w:eastAsia="仿宋"/>
          <w:sz w:val="30"/>
          <w:szCs w:val="30"/>
        </w:rPr>
        <w:t>个</w:t>
      </w:r>
      <w:r>
        <w:rPr>
          <w:rFonts w:hint="eastAsia" w:hAnsi="仿宋"/>
          <w:sz w:val="30"/>
          <w:szCs w:val="30"/>
          <w:lang w:val="en-US" w:eastAsia="zh-CN"/>
        </w:rPr>
        <w:t>标段</w:t>
      </w:r>
      <w:r>
        <w:rPr>
          <w:rFonts w:hint="eastAsia" w:ascii="仿宋" w:hAnsi="仿宋" w:eastAsia="仿宋"/>
          <w:sz w:val="30"/>
          <w:szCs w:val="30"/>
        </w:rPr>
        <w:t>，覆盖</w:t>
      </w:r>
      <w:r>
        <w:rPr>
          <w:rFonts w:hint="eastAsia" w:hAnsi="仿宋"/>
          <w:sz w:val="30"/>
          <w:szCs w:val="30"/>
          <w:lang w:val="en-US" w:eastAsia="zh-CN"/>
        </w:rPr>
        <w:t>5</w:t>
      </w:r>
      <w:r>
        <w:rPr>
          <w:rFonts w:hint="eastAsia" w:ascii="仿宋" w:hAnsi="仿宋" w:eastAsia="仿宋"/>
          <w:sz w:val="30"/>
          <w:szCs w:val="30"/>
        </w:rPr>
        <w:t>个</w:t>
      </w:r>
      <w:r>
        <w:rPr>
          <w:rFonts w:hint="eastAsia" w:hAnsi="仿宋"/>
          <w:sz w:val="30"/>
          <w:szCs w:val="30"/>
          <w:lang w:val="en-US" w:eastAsia="zh-CN"/>
        </w:rPr>
        <w:t>乡镇</w:t>
      </w:r>
      <w:r>
        <w:rPr>
          <w:rFonts w:hint="eastAsia" w:ascii="仿宋" w:hAnsi="仿宋" w:eastAsia="仿宋"/>
          <w:sz w:val="30"/>
          <w:szCs w:val="30"/>
        </w:rPr>
        <w:t>，抽样</w:t>
      </w:r>
      <w:r>
        <w:rPr>
          <w:rFonts w:ascii="仿宋" w:hAnsi="仿宋" w:eastAsia="仿宋"/>
          <w:sz w:val="30"/>
          <w:szCs w:val="30"/>
        </w:rPr>
        <w:t>资金</w:t>
      </w:r>
      <w:r>
        <w:rPr>
          <w:rFonts w:hint="eastAsia" w:hAnsi="仿宋"/>
          <w:sz w:val="30"/>
          <w:szCs w:val="30"/>
          <w:lang w:val="en-US" w:eastAsia="zh-CN"/>
        </w:rPr>
        <w:t>1,445.19</w:t>
      </w:r>
      <w:r>
        <w:rPr>
          <w:rFonts w:hint="eastAsia" w:ascii="仿宋" w:hAnsi="仿宋" w:eastAsia="仿宋"/>
          <w:sz w:val="30"/>
          <w:szCs w:val="30"/>
        </w:rPr>
        <w:t>万元。抽样</w:t>
      </w:r>
      <w:r>
        <w:rPr>
          <w:rFonts w:hint="eastAsia" w:hAnsi="仿宋"/>
          <w:sz w:val="30"/>
          <w:szCs w:val="30"/>
          <w:lang w:val="en-US" w:eastAsia="zh-CN"/>
        </w:rPr>
        <w:t>乡镇</w:t>
      </w:r>
      <w:r>
        <w:rPr>
          <w:rFonts w:hint="eastAsia" w:ascii="仿宋" w:hAnsi="仿宋" w:eastAsia="仿宋"/>
          <w:sz w:val="30"/>
          <w:szCs w:val="30"/>
        </w:rPr>
        <w:t>占比</w:t>
      </w:r>
      <w:r>
        <w:rPr>
          <w:rFonts w:hint="eastAsia" w:hAnsi="仿宋"/>
          <w:sz w:val="30"/>
          <w:szCs w:val="30"/>
          <w:lang w:val="en-US" w:eastAsia="zh-CN"/>
        </w:rPr>
        <w:t>71.43</w:t>
      </w:r>
      <w:r>
        <w:rPr>
          <w:rFonts w:ascii="仿宋" w:hAnsi="仿宋" w:eastAsia="仿宋"/>
          <w:sz w:val="30"/>
          <w:szCs w:val="30"/>
        </w:rPr>
        <w:t>%，抽样资金占</w:t>
      </w:r>
      <w:r>
        <w:rPr>
          <w:rFonts w:hint="eastAsia" w:ascii="仿宋" w:hAnsi="仿宋" w:eastAsia="仿宋"/>
          <w:sz w:val="30"/>
          <w:szCs w:val="30"/>
        </w:rPr>
        <w:t>实际</w:t>
      </w:r>
      <w:r>
        <w:rPr>
          <w:rFonts w:hint="eastAsia" w:hAnsi="仿宋"/>
          <w:sz w:val="30"/>
          <w:szCs w:val="30"/>
          <w:lang w:val="en-US" w:eastAsia="zh-CN"/>
        </w:rPr>
        <w:t>使用</w:t>
      </w:r>
      <w:r>
        <w:rPr>
          <w:rFonts w:ascii="仿宋" w:hAnsi="仿宋" w:eastAsia="仿宋"/>
          <w:sz w:val="30"/>
          <w:szCs w:val="30"/>
        </w:rPr>
        <w:t>资金比例为</w:t>
      </w:r>
      <w:r>
        <w:rPr>
          <w:rFonts w:hint="eastAsia" w:hAnsi="仿宋"/>
          <w:sz w:val="30"/>
          <w:szCs w:val="30"/>
          <w:lang w:val="en-US" w:eastAsia="zh-CN"/>
        </w:rPr>
        <w:t>80.42</w:t>
      </w:r>
      <w:r>
        <w:rPr>
          <w:rFonts w:ascii="仿宋" w:hAnsi="仿宋" w:eastAsia="仿宋"/>
          <w:sz w:val="30"/>
          <w:szCs w:val="30"/>
        </w:rPr>
        <w:t>%。具体抽样情况详见</w:t>
      </w:r>
      <w:r>
        <w:rPr>
          <w:rFonts w:hint="eastAsia" w:hAnsi="仿宋"/>
          <w:szCs w:val="30"/>
          <w:lang w:val="en-US" w:eastAsia="zh-CN"/>
        </w:rPr>
        <w:t>下表</w:t>
      </w:r>
      <w:r>
        <w:rPr>
          <w:rFonts w:hAnsi="仿宋"/>
          <w:szCs w:val="30"/>
        </w:rPr>
        <w:t>：</w:t>
      </w:r>
    </w:p>
    <w:p>
      <w:pPr>
        <w:keepNext w:val="0"/>
        <w:keepLines w:val="0"/>
        <w:pageBreakBefore w:val="0"/>
        <w:widowControl w:val="0"/>
        <w:kinsoku/>
        <w:wordWrap/>
        <w:overflowPunct/>
        <w:topLinePunct w:val="0"/>
        <w:autoSpaceDE/>
        <w:autoSpaceDN/>
        <w:bidi w:val="0"/>
        <w:adjustRightInd/>
        <w:snapToGrid w:val="0"/>
        <w:spacing w:before="0" w:beforeLines="0" w:after="0" w:afterLines="0"/>
        <w:jc w:val="center"/>
        <w:textAlignment w:val="auto"/>
        <w:rPr>
          <w:rFonts w:ascii="黑体" w:hAnsi="黑体" w:eastAsia="黑体" w:cs="宋体"/>
          <w:bCs/>
          <w:kern w:val="30"/>
          <w:sz w:val="24"/>
          <w:szCs w:val="24"/>
        </w:rPr>
      </w:pPr>
      <w:r>
        <w:rPr>
          <w:rFonts w:hint="eastAsia" w:ascii="黑体" w:hAnsi="黑体" w:eastAsia="黑体" w:cs="宋体"/>
          <w:bCs/>
          <w:kern w:val="30"/>
          <w:sz w:val="24"/>
          <w:szCs w:val="24"/>
        </w:rPr>
        <w:t>表</w:t>
      </w:r>
      <w:r>
        <w:rPr>
          <w:rFonts w:hint="eastAsia" w:ascii="黑体" w:hAnsi="黑体" w:eastAsia="黑体" w:cs="宋体"/>
          <w:bCs/>
          <w:kern w:val="30"/>
          <w:sz w:val="24"/>
          <w:szCs w:val="24"/>
          <w:lang w:val="en-US" w:eastAsia="zh-CN"/>
        </w:rPr>
        <w:t>2</w:t>
      </w:r>
      <w:r>
        <w:rPr>
          <w:rFonts w:hint="eastAsia" w:ascii="黑体" w:hAnsi="黑体" w:eastAsia="黑体" w:cs="宋体"/>
          <w:bCs/>
          <w:kern w:val="30"/>
          <w:sz w:val="24"/>
          <w:szCs w:val="24"/>
        </w:rPr>
        <w:t>：</w:t>
      </w:r>
      <w:r>
        <w:rPr>
          <w:rFonts w:ascii="黑体" w:hAnsi="黑体" w:eastAsia="黑体" w:cs="宋体"/>
          <w:bCs/>
          <w:kern w:val="30"/>
          <w:sz w:val="24"/>
          <w:szCs w:val="24"/>
        </w:rPr>
        <w:t xml:space="preserve"> </w:t>
      </w:r>
      <w:r>
        <w:rPr>
          <w:rFonts w:hint="eastAsia" w:ascii="黑体" w:hAnsi="黑体" w:eastAsia="黑体" w:cs="宋体"/>
          <w:bCs/>
          <w:kern w:val="30"/>
          <w:sz w:val="24"/>
          <w:szCs w:val="24"/>
        </w:rPr>
        <w:t>抽样情况表</w:t>
      </w:r>
    </w:p>
    <w:p>
      <w:pPr>
        <w:snapToGrid w:val="0"/>
        <w:spacing w:beforeLines="0" w:afterLines="0" w:line="240" w:lineRule="auto"/>
        <w:ind w:firstLine="0" w:firstLineChars="0"/>
        <w:jc w:val="center"/>
        <w:rPr>
          <w:rFonts w:hAnsi="仿宋"/>
          <w:szCs w:val="30"/>
        </w:rPr>
      </w:pPr>
      <w:r>
        <w:rPr>
          <w:rFonts w:hint="eastAsia" w:hAnsi="仿宋"/>
          <w:kern w:val="0"/>
          <w:sz w:val="24"/>
          <w:szCs w:val="24"/>
          <w:lang w:val="en-US" w:eastAsia="zh-CN"/>
        </w:rPr>
        <w:t xml:space="preserve">                                                        </w:t>
      </w:r>
      <w:r>
        <w:rPr>
          <w:rFonts w:hint="eastAsia" w:ascii="仿宋" w:hAnsi="仿宋" w:eastAsia="仿宋"/>
          <w:kern w:val="0"/>
          <w:sz w:val="24"/>
          <w:szCs w:val="24"/>
        </w:rPr>
        <w:t>单位：万元</w:t>
      </w:r>
    </w:p>
    <w:tbl>
      <w:tblPr>
        <w:tblStyle w:val="6"/>
        <w:tblW w:w="81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1190"/>
        <w:gridCol w:w="1719"/>
        <w:gridCol w:w="2858"/>
        <w:gridCol w:w="2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03" w:hRule="atLeast"/>
          <w:tblHeader/>
        </w:trPr>
        <w:tc>
          <w:tcPr>
            <w:tcW w:w="1190"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ascii="仿宋" w:hAnsi="仿宋" w:eastAsia="仿宋" w:cs="仿宋"/>
                <w:b/>
                <w:bCs/>
                <w:i w:val="0"/>
                <w:color w:val="000000"/>
                <w:sz w:val="20"/>
                <w:szCs w:val="20"/>
                <w:u w:val="none"/>
              </w:rPr>
            </w:pPr>
            <w:r>
              <w:rPr>
                <w:rFonts w:hint="eastAsia" w:ascii="仿宋" w:hAnsi="仿宋" w:eastAsia="仿宋" w:cs="仿宋"/>
                <w:b/>
                <w:bCs/>
                <w:i w:val="0"/>
                <w:color w:val="000000"/>
                <w:kern w:val="0"/>
                <w:sz w:val="20"/>
                <w:szCs w:val="20"/>
                <w:u w:val="none"/>
                <w:lang w:val="en-US" w:eastAsia="zh-CN" w:bidi="ar"/>
              </w:rPr>
              <w:t>序号</w:t>
            </w:r>
          </w:p>
        </w:tc>
        <w:tc>
          <w:tcPr>
            <w:tcW w:w="1719"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bCs/>
                <w:i w:val="0"/>
                <w:color w:val="000000"/>
                <w:sz w:val="20"/>
                <w:szCs w:val="20"/>
                <w:u w:val="none"/>
              </w:rPr>
            </w:pPr>
            <w:r>
              <w:rPr>
                <w:rFonts w:hint="eastAsia" w:ascii="仿宋" w:hAnsi="仿宋" w:eastAsia="仿宋" w:cs="仿宋"/>
                <w:b/>
                <w:bCs/>
                <w:i w:val="0"/>
                <w:color w:val="000000"/>
                <w:kern w:val="0"/>
                <w:sz w:val="20"/>
                <w:szCs w:val="20"/>
                <w:u w:val="none"/>
                <w:lang w:val="en-US" w:eastAsia="zh-CN" w:bidi="ar"/>
              </w:rPr>
              <w:t>抽样标段</w:t>
            </w:r>
          </w:p>
        </w:tc>
        <w:tc>
          <w:tcPr>
            <w:tcW w:w="2858"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bCs/>
                <w:i w:val="0"/>
                <w:color w:val="000000"/>
                <w:sz w:val="20"/>
                <w:szCs w:val="20"/>
                <w:u w:val="none"/>
              </w:rPr>
            </w:pPr>
            <w:r>
              <w:rPr>
                <w:rFonts w:hint="eastAsia" w:ascii="仿宋" w:hAnsi="仿宋" w:eastAsia="仿宋" w:cs="仿宋"/>
                <w:b/>
                <w:bCs/>
                <w:i w:val="0"/>
                <w:color w:val="000000"/>
                <w:kern w:val="0"/>
                <w:sz w:val="20"/>
                <w:szCs w:val="20"/>
                <w:u w:val="none"/>
                <w:lang w:val="en-US" w:eastAsia="zh-CN" w:bidi="ar"/>
              </w:rPr>
              <w:t>抽样乡镇</w:t>
            </w:r>
          </w:p>
        </w:tc>
        <w:tc>
          <w:tcPr>
            <w:tcW w:w="2374"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bCs/>
                <w:i w:val="0"/>
                <w:color w:val="000000"/>
                <w:sz w:val="20"/>
                <w:szCs w:val="20"/>
                <w:u w:val="none"/>
              </w:rPr>
            </w:pPr>
            <w:r>
              <w:rPr>
                <w:rFonts w:hint="eastAsia" w:ascii="仿宋" w:hAnsi="仿宋" w:eastAsia="仿宋" w:cs="仿宋"/>
                <w:b/>
                <w:bCs/>
                <w:i w:val="0"/>
                <w:color w:val="000000"/>
                <w:kern w:val="0"/>
                <w:sz w:val="20"/>
                <w:szCs w:val="20"/>
                <w:u w:val="none"/>
                <w:lang w:val="en-US" w:eastAsia="zh-CN" w:bidi="ar"/>
              </w:rPr>
              <w:t>实际使用资金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0" w:hRule="atLeast"/>
        </w:trPr>
        <w:tc>
          <w:tcPr>
            <w:tcW w:w="1190"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w:t>
            </w:r>
          </w:p>
        </w:tc>
        <w:tc>
          <w:tcPr>
            <w:tcW w:w="1719"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二标段</w:t>
            </w:r>
          </w:p>
        </w:tc>
        <w:tc>
          <w:tcPr>
            <w:tcW w:w="2858"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新城乡</w:t>
            </w:r>
          </w:p>
        </w:tc>
        <w:tc>
          <w:tcPr>
            <w:tcW w:w="2374"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232.68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8" w:hRule="atLeast"/>
        </w:trPr>
        <w:tc>
          <w:tcPr>
            <w:tcW w:w="1190"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w:t>
            </w:r>
          </w:p>
        </w:tc>
        <w:tc>
          <w:tcPr>
            <w:tcW w:w="1719"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三标段</w:t>
            </w:r>
          </w:p>
        </w:tc>
        <w:tc>
          <w:tcPr>
            <w:tcW w:w="2858"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太平镇</w:t>
            </w:r>
          </w:p>
        </w:tc>
        <w:tc>
          <w:tcPr>
            <w:tcW w:w="2374"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400.42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8" w:hRule="atLeast"/>
        </w:trPr>
        <w:tc>
          <w:tcPr>
            <w:tcW w:w="1190"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w:t>
            </w:r>
          </w:p>
        </w:tc>
        <w:tc>
          <w:tcPr>
            <w:tcW w:w="1719"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四标段</w:t>
            </w:r>
          </w:p>
        </w:tc>
        <w:tc>
          <w:tcPr>
            <w:tcW w:w="2858"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平原镇</w:t>
            </w:r>
          </w:p>
        </w:tc>
        <w:tc>
          <w:tcPr>
            <w:tcW w:w="2374"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410.08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0" w:hRule="atLeast"/>
        </w:trPr>
        <w:tc>
          <w:tcPr>
            <w:tcW w:w="1190"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w:t>
            </w:r>
          </w:p>
        </w:tc>
        <w:tc>
          <w:tcPr>
            <w:tcW w:w="1719" w:type="dxa"/>
            <w:vMerge w:val="restart"/>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五标段</w:t>
            </w:r>
          </w:p>
        </w:tc>
        <w:tc>
          <w:tcPr>
            <w:tcW w:w="2858"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旧城镇</w:t>
            </w:r>
          </w:p>
        </w:tc>
        <w:tc>
          <w:tcPr>
            <w:tcW w:w="2374" w:type="dxa"/>
            <w:vMerge w:val="restart"/>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2" w:hRule="atLeast"/>
        </w:trPr>
        <w:tc>
          <w:tcPr>
            <w:tcW w:w="1190"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5</w:t>
            </w:r>
          </w:p>
        </w:tc>
        <w:tc>
          <w:tcPr>
            <w:tcW w:w="1719" w:type="dxa"/>
            <w:vMerge w:val="continue"/>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2858"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油松岭乡</w:t>
            </w:r>
          </w:p>
        </w:tc>
        <w:tc>
          <w:tcPr>
            <w:tcW w:w="2374" w:type="dxa"/>
            <w:vMerge w:val="continue"/>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6" w:hRule="atLeast"/>
        </w:trPr>
        <w:tc>
          <w:tcPr>
            <w:tcW w:w="5767" w:type="dxa"/>
            <w:gridSpan w:val="3"/>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仿宋" w:hAnsi="仿宋" w:eastAsia="仿宋" w:cs="仿宋"/>
                <w:b/>
                <w:bCs/>
                <w:i w:val="0"/>
                <w:color w:val="000000"/>
                <w:sz w:val="20"/>
                <w:szCs w:val="20"/>
                <w:u w:val="none"/>
              </w:rPr>
            </w:pPr>
            <w:r>
              <w:rPr>
                <w:rFonts w:hint="eastAsia" w:ascii="仿宋" w:hAnsi="仿宋" w:eastAsia="仿宋" w:cs="仿宋"/>
                <w:b/>
                <w:bCs/>
                <w:i w:val="0"/>
                <w:color w:val="000000"/>
                <w:kern w:val="0"/>
                <w:sz w:val="20"/>
                <w:szCs w:val="20"/>
                <w:u w:val="none"/>
                <w:lang w:val="en-US" w:eastAsia="zh-CN" w:bidi="ar"/>
              </w:rPr>
              <w:t>抽样资金合计</w:t>
            </w:r>
          </w:p>
        </w:tc>
        <w:tc>
          <w:tcPr>
            <w:tcW w:w="2374" w:type="dxa"/>
            <w:shd w:val="clear" w:color="auto" w:fill="auto"/>
            <w:tcMar>
              <w:top w:w="12" w:type="dxa"/>
              <w:left w:w="12" w:type="dxa"/>
              <w:right w:w="12" w:type="dxa"/>
            </w:tcMar>
            <w:vAlign w:val="center"/>
          </w:tcPr>
          <w:p>
            <w:pPr>
              <w:keepNext w:val="0"/>
              <w:keepLines w:val="0"/>
              <w:widowControl/>
              <w:suppressLineNumbers w:val="0"/>
              <w:jc w:val="center"/>
              <w:textAlignment w:val="bottom"/>
              <w:rPr>
                <w:rFonts w:hint="eastAsia" w:ascii="仿宋" w:hAnsi="仿宋" w:eastAsia="仿宋" w:cs="仿宋"/>
                <w:b/>
                <w:bCs/>
                <w:i w:val="0"/>
                <w:color w:val="000000"/>
                <w:sz w:val="20"/>
                <w:szCs w:val="20"/>
                <w:u w:val="none"/>
              </w:rPr>
            </w:pPr>
            <w:r>
              <w:rPr>
                <w:rFonts w:hint="eastAsia" w:ascii="仿宋" w:hAnsi="仿宋" w:eastAsia="仿宋" w:cs="仿宋"/>
                <w:b/>
                <w:bCs/>
                <w:i w:val="0"/>
                <w:color w:val="000000"/>
                <w:kern w:val="0"/>
                <w:sz w:val="20"/>
                <w:szCs w:val="20"/>
                <w:u w:val="none"/>
                <w:lang w:val="en-US" w:eastAsia="zh-CN" w:bidi="ar"/>
              </w:rPr>
              <w:t>1,455.18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2" w:hRule="atLeast"/>
        </w:trPr>
        <w:tc>
          <w:tcPr>
            <w:tcW w:w="5767" w:type="dxa"/>
            <w:gridSpan w:val="3"/>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仿宋" w:hAnsi="仿宋" w:eastAsia="仿宋" w:cs="仿宋"/>
                <w:b/>
                <w:bCs/>
                <w:i w:val="0"/>
                <w:color w:val="000000"/>
                <w:sz w:val="20"/>
                <w:szCs w:val="20"/>
                <w:u w:val="none"/>
              </w:rPr>
            </w:pPr>
            <w:r>
              <w:rPr>
                <w:rFonts w:hint="eastAsia" w:ascii="仿宋" w:hAnsi="仿宋" w:eastAsia="仿宋" w:cs="仿宋"/>
                <w:b/>
                <w:bCs/>
                <w:i w:val="0"/>
                <w:color w:val="000000"/>
                <w:kern w:val="0"/>
                <w:sz w:val="20"/>
                <w:szCs w:val="20"/>
                <w:u w:val="none"/>
                <w:lang w:val="en-US" w:eastAsia="zh-CN" w:bidi="ar"/>
              </w:rPr>
              <w:t>2019年实际使用资金合计</w:t>
            </w:r>
          </w:p>
        </w:tc>
        <w:tc>
          <w:tcPr>
            <w:tcW w:w="2374" w:type="dxa"/>
            <w:shd w:val="clear" w:color="auto" w:fill="auto"/>
            <w:tcMar>
              <w:top w:w="12" w:type="dxa"/>
              <w:left w:w="12" w:type="dxa"/>
              <w:right w:w="12" w:type="dxa"/>
            </w:tcMar>
            <w:vAlign w:val="center"/>
          </w:tcPr>
          <w:p>
            <w:pPr>
              <w:keepNext w:val="0"/>
              <w:keepLines w:val="0"/>
              <w:widowControl/>
              <w:suppressLineNumbers w:val="0"/>
              <w:jc w:val="center"/>
              <w:textAlignment w:val="bottom"/>
              <w:rPr>
                <w:rFonts w:hint="eastAsia" w:ascii="仿宋" w:hAnsi="仿宋" w:eastAsia="仿宋" w:cs="仿宋"/>
                <w:b/>
                <w:bCs/>
                <w:i w:val="0"/>
                <w:color w:val="000000"/>
                <w:sz w:val="20"/>
                <w:szCs w:val="20"/>
                <w:u w:val="none"/>
              </w:rPr>
            </w:pPr>
            <w:r>
              <w:rPr>
                <w:rFonts w:hint="eastAsia" w:ascii="仿宋" w:hAnsi="仿宋" w:eastAsia="仿宋" w:cs="仿宋"/>
                <w:b/>
                <w:bCs/>
                <w:i w:val="0"/>
                <w:color w:val="000000"/>
                <w:kern w:val="0"/>
                <w:sz w:val="20"/>
                <w:szCs w:val="20"/>
                <w:u w:val="none"/>
                <w:lang w:val="en-US" w:eastAsia="zh-CN" w:bidi="ar"/>
              </w:rPr>
              <w:t>1,809.51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0" w:hRule="atLeast"/>
        </w:trPr>
        <w:tc>
          <w:tcPr>
            <w:tcW w:w="5767" w:type="dxa"/>
            <w:gridSpan w:val="3"/>
            <w:shd w:val="clear" w:color="auto" w:fill="auto"/>
            <w:tcMar>
              <w:top w:w="12" w:type="dxa"/>
              <w:left w:w="12" w:type="dxa"/>
              <w:right w:w="12" w:type="dxa"/>
            </w:tcMar>
            <w:vAlign w:val="bottom"/>
          </w:tcPr>
          <w:p>
            <w:pPr>
              <w:keepNext w:val="0"/>
              <w:keepLines w:val="0"/>
              <w:widowControl/>
              <w:suppressLineNumbers w:val="0"/>
              <w:jc w:val="center"/>
              <w:textAlignment w:val="bottom"/>
              <w:rPr>
                <w:rFonts w:hint="eastAsia" w:ascii="仿宋" w:hAnsi="仿宋" w:eastAsia="仿宋" w:cs="仿宋"/>
                <w:b/>
                <w:bCs/>
                <w:i w:val="0"/>
                <w:color w:val="000000"/>
                <w:sz w:val="20"/>
                <w:szCs w:val="20"/>
                <w:u w:val="none"/>
              </w:rPr>
            </w:pPr>
            <w:r>
              <w:rPr>
                <w:rFonts w:hint="eastAsia" w:ascii="仿宋" w:hAnsi="仿宋" w:eastAsia="仿宋" w:cs="仿宋"/>
                <w:b/>
                <w:bCs/>
                <w:i w:val="0"/>
                <w:color w:val="000000"/>
                <w:kern w:val="0"/>
                <w:sz w:val="20"/>
                <w:szCs w:val="20"/>
                <w:u w:val="none"/>
                <w:lang w:val="en-US" w:eastAsia="zh-CN" w:bidi="ar"/>
              </w:rPr>
              <w:t>抽样资金占比</w:t>
            </w:r>
          </w:p>
        </w:tc>
        <w:tc>
          <w:tcPr>
            <w:tcW w:w="2374" w:type="dxa"/>
            <w:shd w:val="clear" w:color="auto" w:fill="auto"/>
            <w:tcMar>
              <w:top w:w="12" w:type="dxa"/>
              <w:left w:w="12" w:type="dxa"/>
              <w:right w:w="12" w:type="dxa"/>
            </w:tcMar>
            <w:vAlign w:val="center"/>
          </w:tcPr>
          <w:p>
            <w:pPr>
              <w:keepNext w:val="0"/>
              <w:keepLines w:val="0"/>
              <w:widowControl/>
              <w:suppressLineNumbers w:val="0"/>
              <w:jc w:val="center"/>
              <w:textAlignment w:val="bottom"/>
              <w:rPr>
                <w:rFonts w:hint="eastAsia" w:ascii="仿宋" w:hAnsi="仿宋" w:eastAsia="仿宋" w:cs="仿宋"/>
                <w:b/>
                <w:bCs/>
                <w:i w:val="0"/>
                <w:color w:val="000000"/>
                <w:sz w:val="20"/>
                <w:szCs w:val="20"/>
                <w:u w:val="none"/>
              </w:rPr>
            </w:pPr>
            <w:r>
              <w:rPr>
                <w:rFonts w:hint="eastAsia" w:ascii="仿宋" w:hAnsi="仿宋" w:eastAsia="仿宋" w:cs="仿宋"/>
                <w:b/>
                <w:bCs/>
                <w:i w:val="0"/>
                <w:color w:val="000000"/>
                <w:kern w:val="0"/>
                <w:sz w:val="20"/>
                <w:szCs w:val="20"/>
                <w:u w:val="none"/>
                <w:lang w:val="en-US" w:eastAsia="zh-CN" w:bidi="ar"/>
              </w:rPr>
              <w:t>80.42%</w:t>
            </w:r>
          </w:p>
        </w:tc>
      </w:tr>
    </w:tbl>
    <w:p>
      <w:pPr>
        <w:spacing w:line="579" w:lineRule="exact"/>
        <w:ind w:firstLine="600" w:firstLineChars="200"/>
        <w:outlineLvl w:val="0"/>
        <w:rPr>
          <w:rFonts w:ascii="黑体" w:hAnsi="宋体" w:eastAsia="黑体" w:cs="宋体"/>
          <w:szCs w:val="30"/>
        </w:rPr>
      </w:pPr>
      <w:bookmarkStart w:id="18" w:name="_Toc516669100"/>
      <w:bookmarkStart w:id="19" w:name="_Toc13577"/>
      <w:r>
        <w:rPr>
          <w:rFonts w:hint="eastAsia" w:ascii="黑体" w:hAnsi="宋体" w:eastAsia="黑体" w:cs="宋体"/>
          <w:szCs w:val="30"/>
        </w:rPr>
        <w:t>四、绩效评价结论</w:t>
      </w:r>
      <w:bookmarkEnd w:id="18"/>
      <w:bookmarkEnd w:id="19"/>
    </w:p>
    <w:p>
      <w:pPr>
        <w:spacing w:line="579" w:lineRule="exact"/>
        <w:ind w:firstLine="600" w:firstLineChars="200"/>
        <w:outlineLvl w:val="1"/>
        <w:rPr>
          <w:rFonts w:ascii="楷体" w:hAnsi="楷体" w:eastAsia="楷体"/>
          <w:color w:val="000000" w:themeColor="text1"/>
          <w:szCs w:val="30"/>
          <w14:textFill>
            <w14:solidFill>
              <w14:schemeClr w14:val="tx1"/>
            </w14:solidFill>
          </w14:textFill>
        </w:rPr>
      </w:pPr>
      <w:bookmarkStart w:id="20" w:name="_Toc9249"/>
      <w:bookmarkStart w:id="21" w:name="_Toc516669101"/>
      <w:r>
        <w:rPr>
          <w:rFonts w:hint="eastAsia" w:ascii="楷体" w:hAnsi="楷体" w:eastAsia="楷体"/>
          <w:color w:val="000000" w:themeColor="text1"/>
          <w:szCs w:val="30"/>
          <w14:textFill>
            <w14:solidFill>
              <w14:schemeClr w14:val="tx1"/>
            </w14:solidFill>
          </w14:textFill>
        </w:rPr>
        <w:t>（一）绩效评价综合结论</w:t>
      </w:r>
      <w:bookmarkEnd w:id="20"/>
      <w:bookmarkEnd w:id="21"/>
    </w:p>
    <w:p>
      <w:pPr>
        <w:spacing w:line="579" w:lineRule="exact"/>
        <w:ind w:firstLine="600" w:firstLineChars="200"/>
        <w:rPr>
          <w:rFonts w:hint="eastAsia" w:ascii="黑体" w:hAnsi="黑体" w:eastAsia="黑体" w:cs="宋体"/>
          <w:bCs/>
          <w:sz w:val="24"/>
          <w:szCs w:val="24"/>
        </w:rPr>
      </w:pPr>
      <w:r>
        <w:rPr>
          <w:rFonts w:hint="eastAsia" w:hAnsi="仿宋"/>
          <w:szCs w:val="30"/>
          <w:lang w:val="en-US" w:eastAsia="zh-CN"/>
        </w:rPr>
        <w:t>盈江县2019年糖料蔗核心基地建设项目</w:t>
      </w:r>
      <w:r>
        <w:rPr>
          <w:rFonts w:hint="eastAsia" w:hAnsi="仿宋"/>
          <w:szCs w:val="30"/>
        </w:rPr>
        <w:t>绩效评价得分</w:t>
      </w:r>
      <w:r>
        <w:rPr>
          <w:rFonts w:hint="eastAsia" w:hAnsi="仿宋"/>
          <w:szCs w:val="30"/>
          <w:lang w:val="en-US" w:eastAsia="zh-CN"/>
        </w:rPr>
        <w:t>80.69</w:t>
      </w:r>
      <w:r>
        <w:rPr>
          <w:rFonts w:hint="eastAsia" w:hAnsi="仿宋"/>
          <w:szCs w:val="30"/>
        </w:rPr>
        <w:t>分，评价等级为“</w:t>
      </w:r>
      <w:r>
        <w:rPr>
          <w:rFonts w:hint="eastAsia" w:hAnsi="仿宋"/>
          <w:szCs w:val="30"/>
          <w:lang w:val="en-US" w:eastAsia="zh-CN"/>
        </w:rPr>
        <w:t>良</w:t>
      </w:r>
      <w:r>
        <w:rPr>
          <w:rFonts w:hint="eastAsia" w:hAnsi="仿宋"/>
          <w:szCs w:val="30"/>
        </w:rPr>
        <w:t>”。一级指标具体得分情况详见下表：</w:t>
      </w:r>
    </w:p>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hAnsi="仿宋"/>
          <w:szCs w:val="30"/>
        </w:rPr>
      </w:pPr>
      <w:r>
        <w:rPr>
          <w:rFonts w:hint="eastAsia" w:ascii="黑体" w:hAnsi="黑体" w:eastAsia="黑体" w:cs="宋体"/>
          <w:bCs/>
          <w:sz w:val="24"/>
          <w:szCs w:val="24"/>
        </w:rPr>
        <w:t>表</w:t>
      </w:r>
      <w:r>
        <w:rPr>
          <w:rFonts w:ascii="黑体" w:hAnsi="黑体" w:eastAsia="黑体" w:cs="宋体"/>
          <w:bCs/>
          <w:sz w:val="24"/>
          <w:szCs w:val="24"/>
        </w:rPr>
        <w:t>3</w:t>
      </w:r>
      <w:r>
        <w:rPr>
          <w:rFonts w:hint="eastAsia" w:ascii="黑体" w:hAnsi="黑体" w:eastAsia="黑体" w:cs="宋体"/>
          <w:bCs/>
          <w:sz w:val="24"/>
          <w:szCs w:val="24"/>
          <w:lang w:eastAsia="zh-CN"/>
        </w:rPr>
        <w:t>：</w:t>
      </w:r>
      <w:r>
        <w:rPr>
          <w:rFonts w:hint="eastAsia" w:ascii="黑体" w:hAnsi="黑体" w:eastAsia="黑体" w:cs="宋体"/>
          <w:bCs/>
          <w:sz w:val="24"/>
          <w:szCs w:val="24"/>
        </w:rPr>
        <w:t>绩效评价得分情况表</w:t>
      </w:r>
    </w:p>
    <w:tbl>
      <w:tblPr>
        <w:tblStyle w:val="6"/>
        <w:tblW w:w="8311" w:type="dxa"/>
        <w:tblInd w:w="0" w:type="dxa"/>
        <w:shd w:val="clear" w:color="auto" w:fill="auto"/>
        <w:tblLayout w:type="fixed"/>
        <w:tblCellMar>
          <w:top w:w="0" w:type="dxa"/>
          <w:left w:w="0" w:type="dxa"/>
          <w:bottom w:w="0" w:type="dxa"/>
          <w:right w:w="0" w:type="dxa"/>
        </w:tblCellMar>
      </w:tblPr>
      <w:tblGrid>
        <w:gridCol w:w="1903"/>
        <w:gridCol w:w="1836"/>
        <w:gridCol w:w="2412"/>
        <w:gridCol w:w="2160"/>
      </w:tblGrid>
      <w:tr>
        <w:tblPrEx>
          <w:shd w:val="clear" w:color="auto" w:fill="auto"/>
          <w:tblCellMar>
            <w:top w:w="0" w:type="dxa"/>
            <w:left w:w="0" w:type="dxa"/>
            <w:bottom w:w="0" w:type="dxa"/>
            <w:right w:w="0" w:type="dxa"/>
          </w:tblCellMar>
        </w:tblPrEx>
        <w:trPr>
          <w:trHeight w:val="561" w:hRule="atLeast"/>
          <w:tblHeader/>
        </w:trPr>
        <w:tc>
          <w:tcPr>
            <w:tcW w:w="19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一级指标</w:t>
            </w:r>
          </w:p>
        </w:tc>
        <w:tc>
          <w:tcPr>
            <w:tcW w:w="183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指标分值</w:t>
            </w:r>
          </w:p>
        </w:tc>
        <w:tc>
          <w:tcPr>
            <w:tcW w:w="24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评价得分</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得分率</w:t>
            </w:r>
          </w:p>
        </w:tc>
      </w:tr>
      <w:tr>
        <w:tblPrEx>
          <w:tblCellMar>
            <w:top w:w="0" w:type="dxa"/>
            <w:left w:w="0" w:type="dxa"/>
            <w:bottom w:w="0" w:type="dxa"/>
            <w:right w:w="0" w:type="dxa"/>
          </w:tblCellMar>
        </w:tblPrEx>
        <w:trPr>
          <w:trHeight w:val="560" w:hRule="atLeast"/>
        </w:trPr>
        <w:tc>
          <w:tcPr>
            <w:tcW w:w="19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决策</w:t>
            </w:r>
          </w:p>
        </w:tc>
        <w:tc>
          <w:tcPr>
            <w:tcW w:w="183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15</w:t>
            </w:r>
          </w:p>
        </w:tc>
        <w:tc>
          <w:tcPr>
            <w:tcW w:w="24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 xml:space="preserve">14.00 </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93.33%</w:t>
            </w:r>
          </w:p>
        </w:tc>
      </w:tr>
      <w:tr>
        <w:tblPrEx>
          <w:tblCellMar>
            <w:top w:w="0" w:type="dxa"/>
            <w:left w:w="0" w:type="dxa"/>
            <w:bottom w:w="0" w:type="dxa"/>
            <w:right w:w="0" w:type="dxa"/>
          </w:tblCellMar>
        </w:tblPrEx>
        <w:trPr>
          <w:trHeight w:val="560" w:hRule="atLeast"/>
        </w:trPr>
        <w:tc>
          <w:tcPr>
            <w:tcW w:w="19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过程</w:t>
            </w:r>
          </w:p>
        </w:tc>
        <w:tc>
          <w:tcPr>
            <w:tcW w:w="183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20</w:t>
            </w:r>
          </w:p>
        </w:tc>
        <w:tc>
          <w:tcPr>
            <w:tcW w:w="24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13.23</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66.15%</w:t>
            </w:r>
          </w:p>
        </w:tc>
      </w:tr>
      <w:tr>
        <w:tblPrEx>
          <w:tblCellMar>
            <w:top w:w="0" w:type="dxa"/>
            <w:left w:w="0" w:type="dxa"/>
            <w:bottom w:w="0" w:type="dxa"/>
            <w:right w:w="0" w:type="dxa"/>
          </w:tblCellMar>
        </w:tblPrEx>
        <w:trPr>
          <w:trHeight w:val="560" w:hRule="atLeast"/>
        </w:trPr>
        <w:tc>
          <w:tcPr>
            <w:tcW w:w="19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产出</w:t>
            </w:r>
          </w:p>
        </w:tc>
        <w:tc>
          <w:tcPr>
            <w:tcW w:w="183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35</w:t>
            </w:r>
          </w:p>
        </w:tc>
        <w:tc>
          <w:tcPr>
            <w:tcW w:w="24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27.88</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79.66%</w:t>
            </w:r>
          </w:p>
        </w:tc>
      </w:tr>
      <w:tr>
        <w:tblPrEx>
          <w:tblCellMar>
            <w:top w:w="0" w:type="dxa"/>
            <w:left w:w="0" w:type="dxa"/>
            <w:bottom w:w="0" w:type="dxa"/>
            <w:right w:w="0" w:type="dxa"/>
          </w:tblCellMar>
        </w:tblPrEx>
        <w:trPr>
          <w:trHeight w:val="560" w:hRule="atLeast"/>
        </w:trPr>
        <w:tc>
          <w:tcPr>
            <w:tcW w:w="19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效果</w:t>
            </w:r>
          </w:p>
        </w:tc>
        <w:tc>
          <w:tcPr>
            <w:tcW w:w="183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30</w:t>
            </w:r>
          </w:p>
        </w:tc>
        <w:tc>
          <w:tcPr>
            <w:tcW w:w="24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30"/>
                <w:sz w:val="21"/>
                <w:szCs w:val="21"/>
                <w:u w:val="none"/>
                <w:lang w:val="en-US" w:eastAsia="zh-CN" w:bidi="ar-SA"/>
              </w:rPr>
            </w:pPr>
            <w:r>
              <w:rPr>
                <w:rFonts w:hint="eastAsia" w:ascii="仿宋" w:hAnsi="仿宋" w:eastAsia="仿宋" w:cs="仿宋"/>
                <w:i w:val="0"/>
                <w:color w:val="000000"/>
                <w:kern w:val="0"/>
                <w:sz w:val="21"/>
                <w:szCs w:val="21"/>
                <w:u w:val="none"/>
                <w:lang w:val="en-US" w:eastAsia="zh-CN" w:bidi="ar"/>
              </w:rPr>
              <w:t>25.58</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8</w:t>
            </w:r>
            <w:r>
              <w:rPr>
                <w:rFonts w:hint="eastAsia" w:hAnsi="仿宋" w:cs="仿宋"/>
                <w:i w:val="0"/>
                <w:color w:val="000000"/>
                <w:kern w:val="0"/>
                <w:sz w:val="21"/>
                <w:szCs w:val="21"/>
                <w:u w:val="none"/>
                <w:lang w:val="en-US" w:eastAsia="zh-CN" w:bidi="ar"/>
              </w:rPr>
              <w:t>5.27</w:t>
            </w:r>
            <w:r>
              <w:rPr>
                <w:rFonts w:hint="eastAsia" w:ascii="仿宋" w:hAnsi="仿宋" w:eastAsia="仿宋" w:cs="仿宋"/>
                <w:i w:val="0"/>
                <w:color w:val="000000"/>
                <w:kern w:val="0"/>
                <w:sz w:val="21"/>
                <w:szCs w:val="21"/>
                <w:u w:val="none"/>
                <w:lang w:val="en-US" w:eastAsia="zh-CN" w:bidi="ar"/>
              </w:rPr>
              <w:t>%</w:t>
            </w:r>
          </w:p>
        </w:tc>
      </w:tr>
      <w:tr>
        <w:tblPrEx>
          <w:tblCellMar>
            <w:top w:w="0" w:type="dxa"/>
            <w:left w:w="0" w:type="dxa"/>
            <w:bottom w:w="0" w:type="dxa"/>
            <w:right w:w="0" w:type="dxa"/>
          </w:tblCellMar>
        </w:tblPrEx>
        <w:trPr>
          <w:trHeight w:val="560" w:hRule="atLeast"/>
        </w:trPr>
        <w:tc>
          <w:tcPr>
            <w:tcW w:w="190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合 计</w:t>
            </w:r>
          </w:p>
        </w:tc>
        <w:tc>
          <w:tcPr>
            <w:tcW w:w="183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100</w:t>
            </w:r>
          </w:p>
        </w:tc>
        <w:tc>
          <w:tcPr>
            <w:tcW w:w="24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80.</w:t>
            </w:r>
            <w:r>
              <w:rPr>
                <w:rFonts w:hint="eastAsia" w:hAnsi="仿宋" w:cs="仿宋"/>
                <w:b/>
                <w:i w:val="0"/>
                <w:color w:val="000000"/>
                <w:kern w:val="0"/>
                <w:sz w:val="21"/>
                <w:szCs w:val="21"/>
                <w:u w:val="none"/>
                <w:lang w:val="en-US" w:eastAsia="zh-CN" w:bidi="ar"/>
              </w:rPr>
              <w:t>69</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80.</w:t>
            </w:r>
            <w:r>
              <w:rPr>
                <w:rFonts w:hint="eastAsia" w:hAnsi="仿宋" w:cs="仿宋"/>
                <w:b/>
                <w:i w:val="0"/>
                <w:color w:val="000000"/>
                <w:kern w:val="0"/>
                <w:sz w:val="21"/>
                <w:szCs w:val="21"/>
                <w:u w:val="none"/>
                <w:lang w:val="en-US" w:eastAsia="zh-CN" w:bidi="ar"/>
              </w:rPr>
              <w:t>69</w:t>
            </w:r>
            <w:r>
              <w:rPr>
                <w:rFonts w:hint="eastAsia" w:ascii="仿宋" w:hAnsi="仿宋" w:eastAsia="仿宋" w:cs="仿宋"/>
                <w:b/>
                <w:i w:val="0"/>
                <w:color w:val="000000"/>
                <w:kern w:val="0"/>
                <w:sz w:val="21"/>
                <w:szCs w:val="21"/>
                <w:u w:val="none"/>
                <w:lang w:val="en-US" w:eastAsia="zh-CN" w:bidi="ar"/>
              </w:rPr>
              <w:t>%</w:t>
            </w:r>
          </w:p>
        </w:tc>
      </w:tr>
    </w:tbl>
    <w:p>
      <w:pPr>
        <w:spacing w:line="579" w:lineRule="exact"/>
        <w:ind w:firstLine="600" w:firstLineChars="200"/>
        <w:rPr>
          <w:rFonts w:hint="eastAsia" w:hAnsi="仿宋"/>
          <w:sz w:val="30"/>
          <w:szCs w:val="30"/>
          <w:lang w:val="en-US" w:eastAsia="zh-CN"/>
        </w:rPr>
      </w:pPr>
      <w:r>
        <w:rPr>
          <w:rFonts w:hint="eastAsia" w:hAnsi="仿宋"/>
          <w:sz w:val="30"/>
          <w:szCs w:val="30"/>
          <w:lang w:val="en-US" w:eastAsia="zh-CN"/>
        </w:rPr>
        <w:t>盈江县2019年糖料蔗核心基地建设</w:t>
      </w:r>
      <w:r>
        <w:rPr>
          <w:rFonts w:hint="eastAsia" w:ascii="仿宋" w:hAnsi="仿宋" w:eastAsia="仿宋"/>
          <w:sz w:val="30"/>
          <w:szCs w:val="30"/>
        </w:rPr>
        <w:t>项目</w:t>
      </w:r>
      <w:r>
        <w:rPr>
          <w:rFonts w:hint="eastAsia" w:hAnsi="仿宋"/>
          <w:sz w:val="30"/>
          <w:szCs w:val="30"/>
          <w:lang w:val="en-US" w:eastAsia="zh-CN"/>
        </w:rPr>
        <w:t>是根据</w:t>
      </w:r>
      <w:r>
        <w:rPr>
          <w:rFonts w:hint="default" w:hAnsi="仿宋"/>
          <w:szCs w:val="30"/>
          <w:lang w:val="zh-CN" w:eastAsia="zh-CN"/>
        </w:rPr>
        <w:t>糖料蔗主产区生产发展规划（2015-2020年）》</w:t>
      </w:r>
      <w:r>
        <w:rPr>
          <w:rFonts w:hint="eastAsia" w:hAnsi="仿宋"/>
          <w:szCs w:val="30"/>
          <w:lang w:val="en-US" w:eastAsia="zh-CN"/>
        </w:rPr>
        <w:t>立项，</w:t>
      </w:r>
      <w:r>
        <w:rPr>
          <w:rFonts w:hint="eastAsia" w:hAnsi="仿宋"/>
          <w:sz w:val="30"/>
          <w:szCs w:val="30"/>
          <w:lang w:val="en-US" w:eastAsia="zh-CN"/>
        </w:rPr>
        <w:t>并由盈江县农业农村局具体组织实施</w:t>
      </w:r>
      <w:r>
        <w:rPr>
          <w:rFonts w:hint="eastAsia" w:hAnsi="仿宋"/>
          <w:sz w:val="30"/>
          <w:szCs w:val="30"/>
          <w:lang w:eastAsia="zh-CN"/>
        </w:rPr>
        <w:t>。</w:t>
      </w:r>
      <w:r>
        <w:rPr>
          <w:rFonts w:hint="eastAsia" w:hAnsi="仿宋"/>
          <w:sz w:val="30"/>
          <w:szCs w:val="30"/>
          <w:lang w:val="en-US" w:eastAsia="zh-CN"/>
        </w:rPr>
        <w:t>项目设立了绩效目标和绩效指标，并制定了项目实施方案。中央资金足额及时到位，项目得到有效保障。通过项目实施，完成建设糖料蔗核心基地33000亩及其相关配套工程，有效提高了项目区甘蔗作物平均亩产量，增量达7.51吨/亩，同时改善和解决了项目区灌溉排水、基础设施和交通问题，提高了灌溉保证率和土地利用率，稳定了甘蔗种植面积，推进了蔗糖产业发展，促进农业和农村经济的发展，增加农民经济收入，降低了农民生产成本。</w:t>
      </w:r>
      <w:r>
        <w:rPr>
          <w:rFonts w:hint="eastAsia" w:ascii="仿宋" w:hAnsi="仿宋" w:eastAsia="仿宋"/>
          <w:sz w:val="30"/>
          <w:szCs w:val="30"/>
        </w:rPr>
        <w:t>但仍存在</w:t>
      </w:r>
      <w:r>
        <w:rPr>
          <w:rFonts w:hint="eastAsia" w:hAnsi="仿宋"/>
          <w:sz w:val="30"/>
          <w:szCs w:val="30"/>
          <w:lang w:val="en-US" w:eastAsia="zh-CN"/>
        </w:rPr>
        <w:t>落实</w:t>
      </w:r>
      <w:r>
        <w:rPr>
          <w:rFonts w:hint="eastAsia" w:ascii="仿宋" w:hAnsi="仿宋" w:eastAsia="仿宋"/>
          <w:sz w:val="30"/>
          <w:szCs w:val="30"/>
        </w:rPr>
        <w:t>预算绩效管理</w:t>
      </w:r>
      <w:r>
        <w:rPr>
          <w:rFonts w:hint="eastAsia" w:hAnsi="仿宋"/>
          <w:sz w:val="30"/>
          <w:szCs w:val="30"/>
          <w:lang w:val="en-US" w:eastAsia="zh-CN"/>
        </w:rPr>
        <w:t>要求不到位</w:t>
      </w:r>
      <w:r>
        <w:rPr>
          <w:rFonts w:hint="eastAsia" w:ascii="仿宋" w:hAnsi="仿宋" w:eastAsia="仿宋"/>
          <w:sz w:val="30"/>
          <w:szCs w:val="30"/>
        </w:rPr>
        <w:t>、项目过程管理不到位、资金拨付依据不充分等</w:t>
      </w:r>
      <w:r>
        <w:rPr>
          <w:rFonts w:hint="eastAsia" w:hAnsi="仿宋"/>
          <w:sz w:val="30"/>
          <w:szCs w:val="30"/>
          <w:lang w:val="en-US" w:eastAsia="zh-CN"/>
        </w:rPr>
        <w:t>问题。</w:t>
      </w:r>
    </w:p>
    <w:p>
      <w:pPr>
        <w:spacing w:line="579" w:lineRule="exact"/>
        <w:ind w:firstLine="600" w:firstLineChars="200"/>
        <w:outlineLvl w:val="1"/>
        <w:rPr>
          <w:rFonts w:ascii="楷体" w:hAnsi="楷体" w:eastAsia="楷体"/>
          <w:color w:val="000000" w:themeColor="text1"/>
          <w:szCs w:val="30"/>
          <w14:textFill>
            <w14:solidFill>
              <w14:schemeClr w14:val="tx1"/>
            </w14:solidFill>
          </w14:textFill>
        </w:rPr>
      </w:pPr>
      <w:bookmarkStart w:id="22" w:name="_Toc16011"/>
      <w:bookmarkStart w:id="23" w:name="_Toc510075321"/>
      <w:r>
        <w:rPr>
          <w:rFonts w:hint="eastAsia" w:ascii="楷体" w:hAnsi="楷体" w:eastAsia="楷体"/>
          <w:color w:val="000000" w:themeColor="text1"/>
          <w:szCs w:val="30"/>
          <w14:textFill>
            <w14:solidFill>
              <w14:schemeClr w14:val="tx1"/>
            </w14:solidFill>
          </w14:textFill>
        </w:rPr>
        <w:t>（二）绩效目标实现情况</w:t>
      </w:r>
      <w:bookmarkEnd w:id="22"/>
      <w:bookmarkEnd w:id="23"/>
    </w:p>
    <w:p>
      <w:pPr>
        <w:spacing w:line="579" w:lineRule="exact"/>
        <w:ind w:firstLine="600" w:firstLineChars="200"/>
        <w:rPr>
          <w:rFonts w:hint="eastAsia" w:hAnsi="仿宋"/>
          <w:szCs w:val="30"/>
        </w:rPr>
      </w:pPr>
      <w:bookmarkStart w:id="24" w:name="_Toc501568976"/>
      <w:bookmarkStart w:id="25" w:name="_Toc501568879"/>
      <w:bookmarkStart w:id="26" w:name="_Toc501404211"/>
      <w:r>
        <w:rPr>
          <w:rFonts w:hint="eastAsia" w:hAnsi="仿宋"/>
          <w:szCs w:val="30"/>
          <w:lang w:val="en-US" w:eastAsia="zh-CN"/>
        </w:rPr>
        <w:t>盈江县2019年糖料蔗核心基地建设项目16</w:t>
      </w:r>
      <w:r>
        <w:rPr>
          <w:rFonts w:hint="eastAsia" w:hAnsi="仿宋"/>
          <w:szCs w:val="30"/>
        </w:rPr>
        <w:t>项绩效目标，完成</w:t>
      </w:r>
      <w:r>
        <w:rPr>
          <w:rFonts w:hint="eastAsia" w:hAnsi="仿宋"/>
          <w:szCs w:val="30"/>
          <w:lang w:val="en-US" w:eastAsia="zh-CN"/>
        </w:rPr>
        <w:t>7</w:t>
      </w:r>
      <w:r>
        <w:rPr>
          <w:rFonts w:hint="eastAsia" w:hAnsi="仿宋"/>
          <w:szCs w:val="30"/>
        </w:rPr>
        <w:t>项，部分完成</w:t>
      </w:r>
      <w:r>
        <w:rPr>
          <w:rFonts w:hint="eastAsia" w:hAnsi="仿宋"/>
          <w:szCs w:val="30"/>
          <w:lang w:val="en-US" w:eastAsia="zh-CN"/>
        </w:rPr>
        <w:t>8</w:t>
      </w:r>
      <w:r>
        <w:rPr>
          <w:rFonts w:hint="eastAsia" w:hAnsi="仿宋"/>
          <w:szCs w:val="30"/>
        </w:rPr>
        <w:t>项，未完成1项，具体如下：</w:t>
      </w:r>
      <w:bookmarkEnd w:id="24"/>
      <w:bookmarkEnd w:id="25"/>
      <w:bookmarkEnd w:id="26"/>
      <w:bookmarkStart w:id="27" w:name="_Hlk525314457"/>
    </w:p>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黑体" w:hAnsi="黑体" w:eastAsia="黑体" w:cs="宋体"/>
          <w:bCs/>
          <w:sz w:val="24"/>
          <w:szCs w:val="24"/>
          <w:lang w:val="en-US" w:eastAsia="zh-CN"/>
        </w:rPr>
      </w:pPr>
      <w:r>
        <w:rPr>
          <w:rFonts w:hint="eastAsia" w:ascii="黑体" w:hAnsi="黑体" w:eastAsia="黑体" w:cs="宋体"/>
          <w:bCs/>
          <w:sz w:val="24"/>
          <w:szCs w:val="24"/>
        </w:rPr>
        <w:t>表</w:t>
      </w:r>
      <w:r>
        <w:rPr>
          <w:rFonts w:ascii="黑体" w:hAnsi="黑体" w:eastAsia="黑体" w:cs="宋体"/>
          <w:bCs/>
          <w:sz w:val="24"/>
          <w:szCs w:val="24"/>
        </w:rPr>
        <w:t>4</w:t>
      </w:r>
      <w:r>
        <w:rPr>
          <w:rFonts w:hint="eastAsia" w:ascii="黑体" w:hAnsi="黑体" w:eastAsia="黑体" w:cs="宋体"/>
          <w:bCs/>
          <w:sz w:val="24"/>
          <w:szCs w:val="24"/>
          <w:lang w:val="en-US" w:eastAsia="zh-CN"/>
        </w:rPr>
        <w:t>:</w:t>
      </w:r>
      <w:r>
        <w:rPr>
          <w:rFonts w:ascii="黑体" w:hAnsi="黑体" w:eastAsia="黑体" w:cs="宋体"/>
          <w:bCs/>
          <w:sz w:val="24"/>
          <w:szCs w:val="24"/>
        </w:rPr>
        <w:t xml:space="preserve"> </w:t>
      </w:r>
      <w:r>
        <w:rPr>
          <w:rFonts w:hint="eastAsia" w:ascii="黑体" w:hAnsi="黑体" w:eastAsia="黑体" w:cs="宋体"/>
          <w:bCs/>
          <w:sz w:val="24"/>
          <w:szCs w:val="24"/>
        </w:rPr>
        <w:t>绩效指标完成情况表</w:t>
      </w:r>
      <w:bookmarkEnd w:id="27"/>
    </w:p>
    <w:tbl>
      <w:tblPr>
        <w:tblStyle w:val="6"/>
        <w:tblW w:w="8347" w:type="dxa"/>
        <w:tblInd w:w="0" w:type="dxa"/>
        <w:shd w:val="clear" w:color="auto" w:fill="auto"/>
        <w:tblLayout w:type="fixed"/>
        <w:tblCellMar>
          <w:top w:w="0" w:type="dxa"/>
          <w:left w:w="0" w:type="dxa"/>
          <w:bottom w:w="0" w:type="dxa"/>
          <w:right w:w="0" w:type="dxa"/>
        </w:tblCellMar>
      </w:tblPr>
      <w:tblGrid>
        <w:gridCol w:w="727"/>
        <w:gridCol w:w="948"/>
        <w:gridCol w:w="1176"/>
        <w:gridCol w:w="1332"/>
        <w:gridCol w:w="1356"/>
        <w:gridCol w:w="2808"/>
      </w:tblGrid>
      <w:tr>
        <w:tblPrEx>
          <w:shd w:val="clear" w:color="auto" w:fill="auto"/>
          <w:tblCellMar>
            <w:top w:w="0" w:type="dxa"/>
            <w:left w:w="0" w:type="dxa"/>
            <w:bottom w:w="0" w:type="dxa"/>
            <w:right w:w="0" w:type="dxa"/>
          </w:tblCellMar>
        </w:tblPrEx>
        <w:trPr>
          <w:trHeight w:val="288" w:hRule="atLeast"/>
          <w:tblHeader/>
        </w:trPr>
        <w:tc>
          <w:tcPr>
            <w:tcW w:w="2851"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绩效指标名称</w:t>
            </w:r>
          </w:p>
        </w:tc>
        <w:tc>
          <w:tcPr>
            <w:tcW w:w="133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指标值</w:t>
            </w:r>
          </w:p>
        </w:tc>
        <w:tc>
          <w:tcPr>
            <w:tcW w:w="135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指标实现情况</w:t>
            </w:r>
          </w:p>
        </w:tc>
        <w:tc>
          <w:tcPr>
            <w:tcW w:w="280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完成情况说明</w:t>
            </w:r>
          </w:p>
        </w:tc>
      </w:tr>
      <w:tr>
        <w:tblPrEx>
          <w:shd w:val="clear" w:color="auto" w:fill="auto"/>
          <w:tblCellMar>
            <w:top w:w="0" w:type="dxa"/>
            <w:left w:w="0" w:type="dxa"/>
            <w:bottom w:w="0" w:type="dxa"/>
            <w:right w:w="0" w:type="dxa"/>
          </w:tblCellMar>
        </w:tblPrEx>
        <w:trPr>
          <w:trHeight w:val="576" w:hRule="atLeast"/>
          <w:tblHeader/>
        </w:trPr>
        <w:tc>
          <w:tcPr>
            <w:tcW w:w="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一级指标</w:t>
            </w:r>
          </w:p>
        </w:tc>
        <w:tc>
          <w:tcPr>
            <w:tcW w:w="9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三级指标</w:t>
            </w:r>
          </w:p>
        </w:tc>
        <w:tc>
          <w:tcPr>
            <w:tcW w:w="13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b/>
                <w:i w:val="0"/>
                <w:color w:val="000000"/>
                <w:sz w:val="21"/>
                <w:szCs w:val="21"/>
                <w:u w:val="none"/>
              </w:rPr>
            </w:pPr>
          </w:p>
        </w:tc>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b/>
                <w:i w:val="0"/>
                <w:color w:val="000000"/>
                <w:sz w:val="21"/>
                <w:szCs w:val="21"/>
                <w:u w:val="none"/>
              </w:rPr>
            </w:pPr>
          </w:p>
        </w:tc>
        <w:tc>
          <w:tcPr>
            <w:tcW w:w="28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trHeight w:val="864" w:hRule="atLeast"/>
        </w:trPr>
        <w:tc>
          <w:tcPr>
            <w:tcW w:w="72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产出</w:t>
            </w:r>
          </w:p>
        </w:tc>
        <w:tc>
          <w:tcPr>
            <w:tcW w:w="9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产出数量</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highlight w:val="none"/>
                <w:u w:val="none"/>
              </w:rPr>
            </w:pPr>
            <w:r>
              <w:rPr>
                <w:rFonts w:hint="eastAsia" w:ascii="仿宋" w:hAnsi="仿宋" w:eastAsia="仿宋" w:cs="仿宋"/>
                <w:i w:val="0"/>
                <w:color w:val="000000"/>
                <w:kern w:val="0"/>
                <w:sz w:val="20"/>
                <w:szCs w:val="20"/>
                <w:u w:val="none"/>
                <w:lang w:val="en-US" w:eastAsia="zh-CN" w:bidi="ar"/>
              </w:rPr>
              <w:t>糖料蔗核心基地建设面积</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highlight w:val="none"/>
                <w:u w:val="none"/>
              </w:rPr>
            </w:pPr>
            <w:r>
              <w:rPr>
                <w:rFonts w:hint="eastAsia" w:ascii="仿宋" w:hAnsi="仿宋" w:eastAsia="仿宋" w:cs="仿宋"/>
                <w:i w:val="0"/>
                <w:color w:val="000000"/>
                <w:kern w:val="0"/>
                <w:sz w:val="20"/>
                <w:szCs w:val="20"/>
                <w:u w:val="none"/>
                <w:lang w:val="en-US" w:eastAsia="zh-CN" w:bidi="ar"/>
              </w:rPr>
              <w:t>≥33000亩</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highlight w:val="none"/>
                <w:u w:val="none"/>
              </w:rPr>
            </w:pPr>
            <w:r>
              <w:rPr>
                <w:rFonts w:hint="eastAsia" w:ascii="仿宋" w:hAnsi="仿宋" w:eastAsia="仿宋" w:cs="仿宋"/>
                <w:i w:val="0"/>
                <w:color w:val="000000"/>
                <w:kern w:val="0"/>
                <w:sz w:val="21"/>
                <w:szCs w:val="21"/>
                <w:highlight w:val="none"/>
                <w:u w:val="none"/>
                <w:lang w:val="en-US" w:eastAsia="zh-CN" w:bidi="ar"/>
              </w:rPr>
              <w:t>完成</w:t>
            </w:r>
          </w:p>
        </w:tc>
        <w:tc>
          <w:tcPr>
            <w:tcW w:w="28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highlight w:val="none"/>
                <w:u w:val="none"/>
              </w:rPr>
            </w:pPr>
            <w:r>
              <w:rPr>
                <w:rFonts w:hint="eastAsia" w:hAnsi="仿宋" w:cs="仿宋"/>
                <w:i w:val="0"/>
                <w:color w:val="000000"/>
                <w:kern w:val="0"/>
                <w:sz w:val="20"/>
                <w:szCs w:val="20"/>
                <w:u w:val="none"/>
                <w:lang w:val="en-US" w:eastAsia="zh-CN" w:bidi="ar"/>
              </w:rPr>
              <w:t>完成</w:t>
            </w:r>
            <w:r>
              <w:rPr>
                <w:rFonts w:hint="eastAsia" w:ascii="仿宋" w:hAnsi="仿宋" w:eastAsia="仿宋" w:cs="仿宋"/>
                <w:i w:val="0"/>
                <w:color w:val="000000"/>
                <w:kern w:val="0"/>
                <w:sz w:val="20"/>
                <w:szCs w:val="20"/>
                <w:u w:val="none"/>
                <w:lang w:val="en-US" w:eastAsia="zh-CN" w:bidi="ar"/>
              </w:rPr>
              <w:t>糖料蔗核心基地建设面积</w:t>
            </w:r>
            <w:r>
              <w:rPr>
                <w:rFonts w:hint="eastAsia" w:ascii="仿宋" w:hAnsi="仿宋" w:eastAsia="仿宋" w:cs="仿宋"/>
                <w:i w:val="0"/>
                <w:color w:val="000000"/>
                <w:kern w:val="0"/>
                <w:sz w:val="21"/>
                <w:szCs w:val="21"/>
                <w:highlight w:val="none"/>
                <w:u w:val="none"/>
                <w:lang w:val="en-US" w:eastAsia="zh-CN" w:bidi="ar"/>
              </w:rPr>
              <w:t>33000亩</w:t>
            </w:r>
          </w:p>
        </w:tc>
      </w:tr>
      <w:tr>
        <w:tblPrEx>
          <w:shd w:val="clear" w:color="auto" w:fill="auto"/>
          <w:tblCellMar>
            <w:top w:w="0" w:type="dxa"/>
            <w:left w:w="0" w:type="dxa"/>
            <w:bottom w:w="0" w:type="dxa"/>
            <w:right w:w="0" w:type="dxa"/>
          </w:tblCellMar>
        </w:tblPrEx>
        <w:trPr>
          <w:trHeight w:val="864" w:hRule="atLeast"/>
        </w:trPr>
        <w:tc>
          <w:tcPr>
            <w:tcW w:w="7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灌溉与排水工程完成情况</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100%</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部分完成</w:t>
            </w:r>
          </w:p>
        </w:tc>
        <w:tc>
          <w:tcPr>
            <w:tcW w:w="28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完成灌溉与排水工程全长26210.2米，计划完成总长度28850米，完工率90.85%</w:t>
            </w:r>
          </w:p>
        </w:tc>
      </w:tr>
      <w:tr>
        <w:tblPrEx>
          <w:shd w:val="clear" w:color="auto" w:fill="auto"/>
          <w:tblCellMar>
            <w:top w:w="0" w:type="dxa"/>
            <w:left w:w="0" w:type="dxa"/>
            <w:bottom w:w="0" w:type="dxa"/>
            <w:right w:w="0" w:type="dxa"/>
          </w:tblCellMar>
        </w:tblPrEx>
        <w:trPr>
          <w:trHeight w:val="864" w:hRule="atLeast"/>
        </w:trPr>
        <w:tc>
          <w:tcPr>
            <w:tcW w:w="7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田间道路工程完成情况</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100%</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完成</w:t>
            </w:r>
          </w:p>
        </w:tc>
        <w:tc>
          <w:tcPr>
            <w:tcW w:w="28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完成田间道路工程全长16877米，计划完成田间道路工程16896米，完工率99.89%。</w:t>
            </w:r>
          </w:p>
        </w:tc>
      </w:tr>
      <w:tr>
        <w:tblPrEx>
          <w:shd w:val="clear" w:color="auto" w:fill="auto"/>
          <w:tblCellMar>
            <w:top w:w="0" w:type="dxa"/>
            <w:left w:w="0" w:type="dxa"/>
            <w:bottom w:w="0" w:type="dxa"/>
            <w:right w:w="0" w:type="dxa"/>
          </w:tblCellMar>
        </w:tblPrEx>
        <w:trPr>
          <w:trHeight w:val="2592" w:hRule="atLeast"/>
        </w:trPr>
        <w:tc>
          <w:tcPr>
            <w:tcW w:w="7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交叉建筑物完成情况</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按实施方案全面完成</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部分完成</w:t>
            </w:r>
          </w:p>
        </w:tc>
        <w:tc>
          <w:tcPr>
            <w:tcW w:w="28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计划完成取水坝1座，背水槽1座，挡土墙数470米，农桥6座，农机涵洞56座，预制混</w:t>
            </w:r>
            <w:r>
              <w:rPr>
                <w:rFonts w:hint="eastAsia" w:hAnsi="仿宋" w:cs="仿宋"/>
                <w:i w:val="0"/>
                <w:color w:val="000000"/>
                <w:kern w:val="0"/>
                <w:sz w:val="21"/>
                <w:szCs w:val="21"/>
                <w:u w:val="none"/>
                <w:lang w:val="en-US" w:eastAsia="zh-CN" w:bidi="ar"/>
              </w:rPr>
              <w:t>凝土</w:t>
            </w:r>
            <w:r>
              <w:rPr>
                <w:rFonts w:hint="eastAsia" w:ascii="仿宋" w:hAnsi="仿宋" w:eastAsia="仿宋" w:cs="仿宋"/>
                <w:i w:val="0"/>
                <w:color w:val="000000"/>
                <w:kern w:val="0"/>
                <w:sz w:val="21"/>
                <w:szCs w:val="21"/>
                <w:u w:val="none"/>
                <w:lang w:val="en-US" w:eastAsia="zh-CN" w:bidi="ar"/>
              </w:rPr>
              <w:t>涵洞59座，下田道237座，泄水池2座。实际完成取水坝3座，取水头1座，挡土墙85.5米，农桥2座，农机涵洞70座，预制混凝土涵洞71座，下田道55座，泄水池1座。</w:t>
            </w:r>
          </w:p>
        </w:tc>
      </w:tr>
      <w:tr>
        <w:tblPrEx>
          <w:shd w:val="clear" w:color="auto" w:fill="auto"/>
          <w:tblCellMar>
            <w:top w:w="0" w:type="dxa"/>
            <w:left w:w="0" w:type="dxa"/>
            <w:bottom w:w="0" w:type="dxa"/>
            <w:right w:w="0" w:type="dxa"/>
          </w:tblCellMar>
        </w:tblPrEx>
        <w:trPr>
          <w:trHeight w:val="520" w:hRule="atLeast"/>
        </w:trPr>
        <w:tc>
          <w:tcPr>
            <w:tcW w:w="7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产出时效</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完成及时率</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100%</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完成</w:t>
            </w:r>
          </w:p>
        </w:tc>
        <w:tc>
          <w:tcPr>
            <w:tcW w:w="28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项目按照合同约定如期完成。</w:t>
            </w:r>
          </w:p>
        </w:tc>
      </w:tr>
      <w:tr>
        <w:tblPrEx>
          <w:shd w:val="clear" w:color="auto" w:fill="auto"/>
          <w:tblCellMar>
            <w:top w:w="0" w:type="dxa"/>
            <w:left w:w="0" w:type="dxa"/>
            <w:bottom w:w="0" w:type="dxa"/>
            <w:right w:w="0" w:type="dxa"/>
          </w:tblCellMar>
        </w:tblPrEx>
        <w:trPr>
          <w:trHeight w:val="864" w:hRule="atLeast"/>
        </w:trPr>
        <w:tc>
          <w:tcPr>
            <w:tcW w:w="7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产出成本</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成本节约率</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＞100%</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完成</w:t>
            </w:r>
          </w:p>
        </w:tc>
        <w:tc>
          <w:tcPr>
            <w:tcW w:w="28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项目计划投入资金2,177.47万元，实际发生成本1,833.70万元，成本节约率＞100%。</w:t>
            </w:r>
          </w:p>
        </w:tc>
      </w:tr>
      <w:tr>
        <w:tblPrEx>
          <w:shd w:val="clear" w:color="auto" w:fill="auto"/>
          <w:tblCellMar>
            <w:top w:w="0" w:type="dxa"/>
            <w:left w:w="0" w:type="dxa"/>
            <w:bottom w:w="0" w:type="dxa"/>
            <w:right w:w="0" w:type="dxa"/>
          </w:tblCellMar>
        </w:tblPrEx>
        <w:trPr>
          <w:trHeight w:val="600" w:hRule="atLeast"/>
        </w:trPr>
        <w:tc>
          <w:tcPr>
            <w:tcW w:w="7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产出质量</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质量达标率</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100%</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完成</w:t>
            </w:r>
          </w:p>
        </w:tc>
        <w:tc>
          <w:tcPr>
            <w:tcW w:w="28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六个标段质量达标率100%。</w:t>
            </w:r>
          </w:p>
        </w:tc>
      </w:tr>
      <w:tr>
        <w:tblPrEx>
          <w:shd w:val="clear" w:color="auto" w:fill="auto"/>
          <w:tblCellMar>
            <w:top w:w="0" w:type="dxa"/>
            <w:left w:w="0" w:type="dxa"/>
            <w:bottom w:w="0" w:type="dxa"/>
            <w:right w:w="0" w:type="dxa"/>
          </w:tblCellMar>
        </w:tblPrEx>
        <w:trPr>
          <w:trHeight w:val="864" w:hRule="atLeast"/>
        </w:trPr>
        <w:tc>
          <w:tcPr>
            <w:tcW w:w="727" w:type="dxa"/>
            <w:vMerge w:val="restart"/>
            <w:tcBorders>
              <w:top w:val="nil"/>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效益</w:t>
            </w:r>
          </w:p>
        </w:tc>
        <w:tc>
          <w:tcPr>
            <w:tcW w:w="948" w:type="dxa"/>
            <w:vMerge w:val="restart"/>
            <w:tcBorders>
              <w:top w:val="nil"/>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经济效益</w:t>
            </w:r>
          </w:p>
        </w:tc>
        <w:tc>
          <w:tcPr>
            <w:tcW w:w="1176" w:type="dxa"/>
            <w:tcBorders>
              <w:top w:val="nil"/>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提高项目区农户生产产量和收入</w:t>
            </w:r>
          </w:p>
        </w:tc>
        <w:tc>
          <w:tcPr>
            <w:tcW w:w="1332" w:type="dxa"/>
            <w:tcBorders>
              <w:top w:val="nil"/>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生产产量和收入有所提高</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部分完成</w:t>
            </w:r>
          </w:p>
        </w:tc>
        <w:tc>
          <w:tcPr>
            <w:tcW w:w="28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问卷得分率70%，一定程度上提高了项目区农户生产产量和收入。</w:t>
            </w:r>
          </w:p>
        </w:tc>
      </w:tr>
      <w:tr>
        <w:tblPrEx>
          <w:shd w:val="clear" w:color="auto" w:fill="auto"/>
          <w:tblCellMar>
            <w:top w:w="0" w:type="dxa"/>
            <w:left w:w="0" w:type="dxa"/>
            <w:bottom w:w="0" w:type="dxa"/>
            <w:right w:w="0" w:type="dxa"/>
          </w:tblCellMar>
        </w:tblPrEx>
        <w:trPr>
          <w:trHeight w:val="576" w:hRule="atLeast"/>
        </w:trPr>
        <w:tc>
          <w:tcPr>
            <w:tcW w:w="72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948"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降低项目区生产成本</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降低生产成本</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部分完成</w:t>
            </w:r>
          </w:p>
        </w:tc>
        <w:tc>
          <w:tcPr>
            <w:tcW w:w="28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问卷得分率92%，很大程度上降低了项目区生产成本。</w:t>
            </w:r>
          </w:p>
        </w:tc>
      </w:tr>
      <w:tr>
        <w:tblPrEx>
          <w:shd w:val="clear" w:color="auto" w:fill="auto"/>
          <w:tblCellMar>
            <w:top w:w="0" w:type="dxa"/>
            <w:left w:w="0" w:type="dxa"/>
            <w:bottom w:w="0" w:type="dxa"/>
            <w:right w:w="0" w:type="dxa"/>
          </w:tblCellMar>
        </w:tblPrEx>
        <w:trPr>
          <w:trHeight w:val="576" w:hRule="atLeast"/>
        </w:trPr>
        <w:tc>
          <w:tcPr>
            <w:tcW w:w="72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9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0"/>
                <w:szCs w:val="20"/>
                <w:u w:val="none"/>
                <w:lang w:val="en-US" w:eastAsia="zh-CN" w:bidi="ar"/>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30"/>
                <w:sz w:val="20"/>
                <w:szCs w:val="20"/>
                <w:highlight w:val="none"/>
                <w:u w:val="none"/>
                <w:lang w:val="en-US" w:eastAsia="zh-CN" w:bidi="ar-SA"/>
              </w:rPr>
            </w:pPr>
            <w:r>
              <w:rPr>
                <w:rFonts w:hint="eastAsia" w:ascii="仿宋" w:hAnsi="仿宋" w:eastAsia="仿宋" w:cs="仿宋"/>
                <w:i w:val="0"/>
                <w:color w:val="000000"/>
                <w:kern w:val="0"/>
                <w:sz w:val="20"/>
                <w:szCs w:val="20"/>
                <w:highlight w:val="none"/>
                <w:u w:val="none"/>
                <w:lang w:val="en-US" w:eastAsia="zh-CN" w:bidi="ar"/>
              </w:rPr>
              <w:t>项目区甘蔗产量</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30"/>
                <w:sz w:val="20"/>
                <w:szCs w:val="20"/>
                <w:highlight w:val="none"/>
                <w:u w:val="none"/>
                <w:lang w:val="en-US" w:eastAsia="zh-CN" w:bidi="ar-SA"/>
              </w:rPr>
            </w:pPr>
            <w:r>
              <w:rPr>
                <w:rFonts w:hint="eastAsia" w:ascii="仿宋" w:hAnsi="仿宋" w:eastAsia="仿宋" w:cs="仿宋"/>
                <w:i w:val="0"/>
                <w:color w:val="000000"/>
                <w:kern w:val="0"/>
                <w:sz w:val="20"/>
                <w:szCs w:val="20"/>
                <w:highlight w:val="none"/>
                <w:u w:val="none"/>
                <w:lang w:val="en-US" w:eastAsia="zh-CN" w:bidi="ar"/>
              </w:rPr>
              <w:t>178200吨</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30"/>
                <w:sz w:val="21"/>
                <w:szCs w:val="21"/>
                <w:highlight w:val="none"/>
                <w:u w:val="none"/>
                <w:lang w:val="en-US" w:eastAsia="zh-CN" w:bidi="ar-SA"/>
              </w:rPr>
            </w:pPr>
            <w:r>
              <w:rPr>
                <w:rFonts w:hint="eastAsia" w:ascii="仿宋" w:hAnsi="仿宋" w:eastAsia="仿宋" w:cs="仿宋"/>
                <w:i w:val="0"/>
                <w:color w:val="000000"/>
                <w:kern w:val="0"/>
                <w:sz w:val="21"/>
                <w:szCs w:val="21"/>
                <w:highlight w:val="none"/>
                <w:u w:val="none"/>
                <w:lang w:val="en-US" w:eastAsia="zh-CN" w:bidi="ar"/>
              </w:rPr>
              <w:t>完成</w:t>
            </w:r>
          </w:p>
        </w:tc>
        <w:tc>
          <w:tcPr>
            <w:tcW w:w="28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30"/>
                <w:sz w:val="21"/>
                <w:szCs w:val="21"/>
                <w:highlight w:val="none"/>
                <w:u w:val="none"/>
                <w:lang w:val="en-US" w:eastAsia="zh-CN" w:bidi="ar-SA"/>
              </w:rPr>
            </w:pPr>
            <w:r>
              <w:rPr>
                <w:rFonts w:hint="eastAsia" w:ascii="仿宋" w:hAnsi="仿宋" w:eastAsia="仿宋" w:cs="仿宋"/>
                <w:i w:val="0"/>
                <w:color w:val="000000"/>
                <w:kern w:val="0"/>
                <w:sz w:val="21"/>
                <w:szCs w:val="21"/>
                <w:highlight w:val="none"/>
                <w:u w:val="none"/>
                <w:lang w:val="en-US" w:eastAsia="zh-CN" w:bidi="ar"/>
              </w:rPr>
              <w:t>测算项目区甘蔗亩均产值7.51吨，项目覆盖33000亩，甘蔗总产量247830吨</w:t>
            </w:r>
            <w:r>
              <w:rPr>
                <w:rFonts w:hint="eastAsia" w:hAnsi="仿宋" w:cs="仿宋"/>
                <w:i w:val="0"/>
                <w:color w:val="000000"/>
                <w:kern w:val="0"/>
                <w:sz w:val="21"/>
                <w:szCs w:val="21"/>
                <w:highlight w:val="none"/>
                <w:u w:val="none"/>
                <w:lang w:val="en-US" w:eastAsia="zh-CN" w:bidi="ar"/>
              </w:rPr>
              <w:t>。</w:t>
            </w:r>
          </w:p>
        </w:tc>
      </w:tr>
      <w:tr>
        <w:tblPrEx>
          <w:shd w:val="clear" w:color="auto" w:fill="auto"/>
          <w:tblCellMar>
            <w:top w:w="0" w:type="dxa"/>
            <w:left w:w="0" w:type="dxa"/>
            <w:bottom w:w="0" w:type="dxa"/>
            <w:right w:w="0" w:type="dxa"/>
          </w:tblCellMar>
        </w:tblPrEx>
        <w:trPr>
          <w:trHeight w:val="576" w:hRule="atLeast"/>
        </w:trPr>
        <w:tc>
          <w:tcPr>
            <w:tcW w:w="72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9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社会效益</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提高生产生活便捷性</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生产生活便捷性提高</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完成</w:t>
            </w:r>
          </w:p>
        </w:tc>
        <w:tc>
          <w:tcPr>
            <w:tcW w:w="28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问卷得分率98.4%，生产生活便捷性显著提高。</w:t>
            </w:r>
          </w:p>
        </w:tc>
      </w:tr>
      <w:tr>
        <w:tblPrEx>
          <w:shd w:val="clear" w:color="auto" w:fill="auto"/>
          <w:tblCellMar>
            <w:top w:w="0" w:type="dxa"/>
            <w:left w:w="0" w:type="dxa"/>
            <w:bottom w:w="0" w:type="dxa"/>
            <w:right w:w="0" w:type="dxa"/>
          </w:tblCellMar>
        </w:tblPrEx>
        <w:trPr>
          <w:trHeight w:val="576" w:hRule="atLeast"/>
        </w:trPr>
        <w:tc>
          <w:tcPr>
            <w:tcW w:w="72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改善农业灌溉条件</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有效改善</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部分完成</w:t>
            </w:r>
          </w:p>
        </w:tc>
        <w:tc>
          <w:tcPr>
            <w:tcW w:w="28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问卷得分率94%，很大程度上改善了农业灌溉条件。</w:t>
            </w:r>
          </w:p>
        </w:tc>
      </w:tr>
      <w:tr>
        <w:tblPrEx>
          <w:tblCellMar>
            <w:top w:w="0" w:type="dxa"/>
            <w:left w:w="0" w:type="dxa"/>
            <w:bottom w:w="0" w:type="dxa"/>
            <w:right w:w="0" w:type="dxa"/>
          </w:tblCellMar>
        </w:tblPrEx>
        <w:trPr>
          <w:trHeight w:val="576" w:hRule="atLeast"/>
        </w:trPr>
        <w:tc>
          <w:tcPr>
            <w:tcW w:w="72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9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生态效益</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提高耕地质量</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耕地质量提高</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部分完成</w:t>
            </w:r>
          </w:p>
        </w:tc>
        <w:tc>
          <w:tcPr>
            <w:tcW w:w="28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问卷综合得分率89.20%，一定程度上提高了耕地质量。</w:t>
            </w:r>
          </w:p>
        </w:tc>
      </w:tr>
      <w:tr>
        <w:tblPrEx>
          <w:tblCellMar>
            <w:top w:w="0" w:type="dxa"/>
            <w:left w:w="0" w:type="dxa"/>
            <w:bottom w:w="0" w:type="dxa"/>
            <w:right w:w="0" w:type="dxa"/>
          </w:tblCellMar>
        </w:tblPrEx>
        <w:trPr>
          <w:trHeight w:val="576" w:hRule="atLeast"/>
        </w:trPr>
        <w:tc>
          <w:tcPr>
            <w:tcW w:w="72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有效改善生态环境</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有效改善</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部分完成</w:t>
            </w:r>
          </w:p>
        </w:tc>
        <w:tc>
          <w:tcPr>
            <w:tcW w:w="28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问卷得分率89.20%，一定程度上有效改善生态环境。</w:t>
            </w:r>
          </w:p>
        </w:tc>
      </w:tr>
      <w:tr>
        <w:tblPrEx>
          <w:tblCellMar>
            <w:top w:w="0" w:type="dxa"/>
            <w:left w:w="0" w:type="dxa"/>
            <w:bottom w:w="0" w:type="dxa"/>
            <w:right w:w="0" w:type="dxa"/>
          </w:tblCellMar>
        </w:tblPrEx>
        <w:trPr>
          <w:trHeight w:val="1440" w:hRule="atLeast"/>
        </w:trPr>
        <w:tc>
          <w:tcPr>
            <w:tcW w:w="727" w:type="dxa"/>
            <w:vMerge w:val="restart"/>
            <w:tcBorders>
              <w:top w:val="nil"/>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lang w:val="en-US" w:eastAsia="zh-CN"/>
              </w:rPr>
            </w:pPr>
            <w:r>
              <w:rPr>
                <w:rFonts w:hint="eastAsia" w:hAnsi="仿宋" w:cs="仿宋"/>
                <w:i w:val="0"/>
                <w:color w:val="000000"/>
                <w:sz w:val="20"/>
                <w:szCs w:val="20"/>
                <w:u w:val="none"/>
                <w:lang w:val="en-US" w:eastAsia="zh-CN"/>
              </w:rPr>
              <w:t>效益</w:t>
            </w:r>
          </w:p>
        </w:tc>
        <w:tc>
          <w:tcPr>
            <w:tcW w:w="9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可持续性影响</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项目效益持续性</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项目完工后安排相关人员进行日常检查维护且已办理移交手续</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部分完成</w:t>
            </w:r>
          </w:p>
        </w:tc>
        <w:tc>
          <w:tcPr>
            <w:tcW w:w="28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项目完工后安排相关人员进行日常检查维护但未已办理移交手续</w:t>
            </w:r>
          </w:p>
        </w:tc>
      </w:tr>
      <w:tr>
        <w:tblPrEx>
          <w:tblCellMar>
            <w:top w:w="0" w:type="dxa"/>
            <w:left w:w="0" w:type="dxa"/>
            <w:bottom w:w="0" w:type="dxa"/>
            <w:right w:w="0" w:type="dxa"/>
          </w:tblCellMar>
        </w:tblPrEx>
        <w:trPr>
          <w:trHeight w:val="480" w:hRule="atLeast"/>
        </w:trPr>
        <w:tc>
          <w:tcPr>
            <w:tcW w:w="72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满意度</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受益对象满意度</w:t>
            </w:r>
          </w:p>
        </w:tc>
        <w:tc>
          <w:tcPr>
            <w:tcW w:w="13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≥90%</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未完成</w:t>
            </w:r>
          </w:p>
        </w:tc>
        <w:tc>
          <w:tcPr>
            <w:tcW w:w="28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受益对象满意度87.44%。</w:t>
            </w:r>
          </w:p>
        </w:tc>
      </w:tr>
    </w:tbl>
    <w:p>
      <w:pPr>
        <w:spacing w:line="570" w:lineRule="exact"/>
        <w:ind w:firstLine="600" w:firstLineChars="200"/>
        <w:outlineLvl w:val="1"/>
        <w:rPr>
          <w:rFonts w:ascii="楷体" w:hAnsi="楷体" w:eastAsia="楷体"/>
          <w:sz w:val="30"/>
          <w:szCs w:val="30"/>
        </w:rPr>
      </w:pPr>
      <w:bookmarkStart w:id="28" w:name="_Toc13550876"/>
      <w:bookmarkStart w:id="29" w:name="_Toc9439750"/>
      <w:bookmarkStart w:id="30" w:name="_Toc516669104"/>
      <w:bookmarkStart w:id="31" w:name="_Toc19436"/>
      <w:r>
        <w:rPr>
          <w:rFonts w:hint="eastAsia" w:ascii="楷体" w:hAnsi="楷体" w:eastAsia="楷体"/>
          <w:sz w:val="30"/>
          <w:szCs w:val="30"/>
        </w:rPr>
        <w:t>（三）绩效自评与评价差异分析</w:t>
      </w:r>
      <w:bookmarkEnd w:id="28"/>
      <w:bookmarkEnd w:id="29"/>
    </w:p>
    <w:p>
      <w:pPr>
        <w:spacing w:line="579" w:lineRule="exact"/>
        <w:ind w:firstLine="600" w:firstLineChars="200"/>
        <w:rPr>
          <w:rFonts w:ascii="仿宋" w:hAnsi="仿宋" w:eastAsia="仿宋"/>
          <w:sz w:val="30"/>
          <w:szCs w:val="30"/>
        </w:rPr>
      </w:pPr>
      <w:r>
        <w:rPr>
          <w:rFonts w:hint="eastAsia" w:ascii="仿宋" w:hAnsi="仿宋" w:eastAsia="仿宋"/>
          <w:sz w:val="30"/>
          <w:szCs w:val="30"/>
        </w:rPr>
        <w:t>本次绩效评价得分</w:t>
      </w:r>
      <w:r>
        <w:rPr>
          <w:rFonts w:ascii="仿宋" w:hAnsi="仿宋" w:eastAsia="仿宋"/>
          <w:sz w:val="30"/>
          <w:szCs w:val="30"/>
        </w:rPr>
        <w:t>80.</w:t>
      </w:r>
      <w:r>
        <w:rPr>
          <w:rFonts w:hint="eastAsia" w:hAnsi="仿宋"/>
          <w:sz w:val="30"/>
          <w:szCs w:val="30"/>
          <w:lang w:val="en-US" w:eastAsia="zh-CN"/>
        </w:rPr>
        <w:t>69</w:t>
      </w:r>
      <w:r>
        <w:rPr>
          <w:rFonts w:hint="eastAsia" w:ascii="仿宋" w:hAnsi="仿宋" w:eastAsia="仿宋"/>
          <w:sz w:val="30"/>
          <w:szCs w:val="30"/>
        </w:rPr>
        <w:t>分，评价等级为“良”；项目自评</w:t>
      </w:r>
      <w:r>
        <w:rPr>
          <w:rFonts w:ascii="仿宋" w:hAnsi="仿宋" w:eastAsia="仿宋"/>
          <w:sz w:val="30"/>
          <w:szCs w:val="30"/>
        </w:rPr>
        <w:t>评价等级为“优”。评价与自评结果存在差异的主要原因为：</w:t>
      </w:r>
    </w:p>
    <w:p>
      <w:pPr>
        <w:spacing w:line="579"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rPr>
        <w:t>1.评价程序</w:t>
      </w:r>
      <w:r>
        <w:rPr>
          <w:rFonts w:hint="eastAsia" w:hAnsi="仿宋"/>
          <w:sz w:val="30"/>
          <w:szCs w:val="30"/>
          <w:lang w:val="en-US" w:eastAsia="zh-CN"/>
        </w:rPr>
        <w:t>不一致</w:t>
      </w:r>
    </w:p>
    <w:p>
      <w:pPr>
        <w:spacing w:line="579" w:lineRule="exact"/>
        <w:ind w:firstLine="600" w:firstLineChars="200"/>
        <w:rPr>
          <w:rFonts w:ascii="仿宋" w:hAnsi="仿宋" w:eastAsia="仿宋"/>
          <w:sz w:val="30"/>
          <w:szCs w:val="30"/>
        </w:rPr>
      </w:pPr>
      <w:r>
        <w:rPr>
          <w:rFonts w:hint="eastAsia" w:hAnsi="仿宋"/>
          <w:sz w:val="30"/>
          <w:szCs w:val="30"/>
          <w:lang w:val="en-US" w:eastAsia="zh-CN"/>
        </w:rPr>
        <w:t>绩效</w:t>
      </w:r>
      <w:r>
        <w:rPr>
          <w:rFonts w:hint="eastAsia" w:ascii="仿宋" w:hAnsi="仿宋" w:eastAsia="仿宋"/>
          <w:sz w:val="30"/>
          <w:szCs w:val="30"/>
        </w:rPr>
        <w:t>自评虽然经过前期准备、组织实施等程序，但未根据项目情况及工作情况设立项目绩效自评指标体系，评价组织工作有待改善</w:t>
      </w:r>
      <w:r>
        <w:rPr>
          <w:rFonts w:hint="eastAsia" w:hAnsi="仿宋"/>
          <w:sz w:val="30"/>
          <w:szCs w:val="30"/>
          <w:lang w:eastAsia="zh-CN"/>
        </w:rPr>
        <w:t>；</w:t>
      </w:r>
      <w:r>
        <w:rPr>
          <w:rFonts w:hint="eastAsia" w:hAnsi="仿宋"/>
          <w:sz w:val="30"/>
          <w:szCs w:val="30"/>
          <w:lang w:val="en-US" w:eastAsia="zh-CN"/>
        </w:rPr>
        <w:t>绩效</w:t>
      </w:r>
      <w:r>
        <w:rPr>
          <w:rFonts w:hint="eastAsia" w:ascii="仿宋" w:hAnsi="仿宋" w:eastAsia="仿宋"/>
          <w:sz w:val="30"/>
          <w:szCs w:val="30"/>
        </w:rPr>
        <w:t>评价通过前期调研，在制定详实的实施方案基础上，设置了较细化具体的绩效评价指标体系，在实地评价时通过收集大量佐证材料，在分析核实评价资料的基础上得出评价结论。</w:t>
      </w:r>
    </w:p>
    <w:p>
      <w:pPr>
        <w:spacing w:line="579" w:lineRule="exact"/>
        <w:ind w:firstLine="600" w:firstLineChars="200"/>
        <w:rPr>
          <w:rFonts w:hint="eastAsia" w:hAnsi="仿宋"/>
          <w:sz w:val="30"/>
          <w:szCs w:val="30"/>
          <w:lang w:val="en-US" w:eastAsia="zh-CN"/>
        </w:rPr>
      </w:pPr>
      <w:r>
        <w:rPr>
          <w:rFonts w:ascii="仿宋" w:hAnsi="仿宋" w:eastAsia="仿宋"/>
          <w:sz w:val="30"/>
          <w:szCs w:val="30"/>
        </w:rPr>
        <w:t>2.</w:t>
      </w:r>
      <w:r>
        <w:rPr>
          <w:rFonts w:hint="eastAsia" w:hAnsi="仿宋"/>
          <w:sz w:val="30"/>
          <w:szCs w:val="30"/>
          <w:lang w:val="en-US" w:eastAsia="zh-CN"/>
        </w:rPr>
        <w:t>评价维度不一致</w:t>
      </w:r>
    </w:p>
    <w:p>
      <w:pPr>
        <w:spacing w:line="579" w:lineRule="exact"/>
        <w:ind w:firstLine="600" w:firstLineChars="200"/>
        <w:rPr>
          <w:rFonts w:hint="default" w:hAnsi="仿宋"/>
          <w:sz w:val="30"/>
          <w:szCs w:val="30"/>
          <w:lang w:val="en-US" w:eastAsia="zh-CN"/>
        </w:rPr>
      </w:pPr>
      <w:r>
        <w:rPr>
          <w:rFonts w:hint="eastAsia" w:hAnsi="仿宋"/>
          <w:sz w:val="30"/>
          <w:szCs w:val="30"/>
          <w:lang w:val="en-US" w:eastAsia="zh-CN"/>
        </w:rPr>
        <w:t>绩效自评主要考核项目投资完成情况；绩效评价从决策、过程、产出、效益四个维度进行评价，将4个一级指标细化分解成30个三级指标，从项目预算申报、过程管理、资金到位、使用情况、项目完成情况、完成及时率、社会效益、生态效益及满意度等不同的口径进行评价，评价更全面。</w:t>
      </w:r>
    </w:p>
    <w:p>
      <w:pPr>
        <w:spacing w:line="579" w:lineRule="exact"/>
        <w:ind w:firstLine="600" w:firstLineChars="200"/>
        <w:rPr>
          <w:rFonts w:ascii="仿宋" w:hAnsi="仿宋" w:eastAsia="仿宋"/>
          <w:sz w:val="30"/>
          <w:szCs w:val="30"/>
        </w:rPr>
      </w:pPr>
      <w:r>
        <w:rPr>
          <w:rFonts w:ascii="仿宋" w:hAnsi="仿宋" w:eastAsia="仿宋"/>
          <w:sz w:val="30"/>
          <w:szCs w:val="30"/>
        </w:rPr>
        <w:t>3.项目考核</w:t>
      </w:r>
      <w:r>
        <w:rPr>
          <w:rFonts w:hint="eastAsia" w:ascii="仿宋" w:hAnsi="仿宋" w:eastAsia="仿宋"/>
          <w:sz w:val="30"/>
          <w:szCs w:val="30"/>
        </w:rPr>
        <w:t>方式不一致</w:t>
      </w:r>
    </w:p>
    <w:p>
      <w:pPr>
        <w:spacing w:line="579" w:lineRule="exact"/>
        <w:ind w:firstLine="600" w:firstLineChars="200"/>
        <w:rPr>
          <w:rFonts w:hint="eastAsia" w:ascii="黑体" w:hAnsi="宋体" w:eastAsia="黑体" w:cs="宋体"/>
          <w:color w:val="000000" w:themeColor="text1"/>
          <w:szCs w:val="30"/>
          <w14:textFill>
            <w14:solidFill>
              <w14:schemeClr w14:val="tx1"/>
            </w14:solidFill>
          </w14:textFill>
        </w:rPr>
      </w:pPr>
      <w:r>
        <w:rPr>
          <w:rFonts w:hint="eastAsia" w:ascii="仿宋" w:hAnsi="仿宋" w:eastAsia="仿宋"/>
          <w:sz w:val="30"/>
          <w:szCs w:val="30"/>
        </w:rPr>
        <w:t>绩效自评主要以数据填报、问卷调查等方式进行；绩效评价通过实施单位数据填报、针对项目情况深入调研的方式综合评价，采取了检查项目实施资料、询问当事人、问卷调查、访谈等方式，对项目实施情况进行客观评价。</w:t>
      </w:r>
    </w:p>
    <w:p>
      <w:pPr>
        <w:spacing w:line="579" w:lineRule="exact"/>
        <w:ind w:firstLine="600" w:firstLineChars="200"/>
        <w:outlineLvl w:val="0"/>
        <w:rPr>
          <w:rFonts w:ascii="黑体" w:hAnsi="宋体" w:eastAsia="黑体" w:cs="宋体"/>
          <w:color w:val="000000" w:themeColor="text1"/>
          <w:szCs w:val="30"/>
          <w14:textFill>
            <w14:solidFill>
              <w14:schemeClr w14:val="tx1"/>
            </w14:solidFill>
          </w14:textFill>
        </w:rPr>
      </w:pPr>
      <w:r>
        <w:rPr>
          <w:rFonts w:hint="eastAsia" w:ascii="黑体" w:hAnsi="宋体" w:eastAsia="黑体" w:cs="宋体"/>
          <w:color w:val="000000" w:themeColor="text1"/>
          <w:szCs w:val="30"/>
          <w14:textFill>
            <w14:solidFill>
              <w14:schemeClr w14:val="tx1"/>
            </w14:solidFill>
          </w14:textFill>
        </w:rPr>
        <w:t>五、绩效评价情况分析</w:t>
      </w:r>
      <w:bookmarkEnd w:id="30"/>
      <w:bookmarkEnd w:id="31"/>
    </w:p>
    <w:p>
      <w:pPr>
        <w:spacing w:line="579" w:lineRule="exact"/>
        <w:ind w:firstLine="600" w:firstLineChars="200"/>
        <w:outlineLvl w:val="1"/>
        <w:rPr>
          <w:rFonts w:hint="eastAsia" w:ascii="楷体" w:hAnsi="楷体" w:eastAsia="楷体"/>
          <w:color w:val="000000" w:themeColor="text1"/>
          <w:szCs w:val="30"/>
          <w14:textFill>
            <w14:solidFill>
              <w14:schemeClr w14:val="tx1"/>
            </w14:solidFill>
          </w14:textFill>
        </w:rPr>
      </w:pPr>
      <w:bookmarkStart w:id="32" w:name="_Toc516669105"/>
      <w:bookmarkStart w:id="33" w:name="_Toc4835"/>
      <w:r>
        <w:rPr>
          <w:rFonts w:hint="eastAsia" w:ascii="楷体" w:hAnsi="楷体" w:eastAsia="楷体"/>
          <w:color w:val="000000" w:themeColor="text1"/>
          <w:szCs w:val="30"/>
          <w14:textFill>
            <w14:solidFill>
              <w14:schemeClr w14:val="tx1"/>
            </w14:solidFill>
          </w14:textFill>
        </w:rPr>
        <w:t>（一）</w:t>
      </w:r>
      <w:r>
        <w:rPr>
          <w:rFonts w:hint="eastAsia" w:ascii="楷体" w:hAnsi="楷体" w:eastAsia="楷体"/>
          <w:color w:val="000000" w:themeColor="text1"/>
          <w:szCs w:val="30"/>
          <w:lang w:val="en-US" w:eastAsia="zh-CN"/>
          <w14:textFill>
            <w14:solidFill>
              <w14:schemeClr w14:val="tx1"/>
            </w14:solidFill>
          </w14:textFill>
        </w:rPr>
        <w:t>决策</w:t>
      </w:r>
      <w:r>
        <w:rPr>
          <w:rFonts w:hint="eastAsia" w:ascii="楷体" w:hAnsi="楷体" w:eastAsia="楷体"/>
          <w:color w:val="000000" w:themeColor="text1"/>
          <w:szCs w:val="30"/>
          <w14:textFill>
            <w14:solidFill>
              <w14:schemeClr w14:val="tx1"/>
            </w14:solidFill>
          </w14:textFill>
        </w:rPr>
        <w:t>情况分析</w:t>
      </w:r>
      <w:bookmarkEnd w:id="32"/>
      <w:bookmarkEnd w:id="33"/>
    </w:p>
    <w:p>
      <w:pPr>
        <w:spacing w:line="579" w:lineRule="exact"/>
        <w:ind w:firstLine="600" w:firstLineChars="200"/>
        <w:outlineLvl w:val="1"/>
        <w:rPr>
          <w:rFonts w:hint="eastAsia" w:ascii="仿宋" w:hAnsi="仿宋" w:eastAsia="仿宋" w:cs="Times New Roman"/>
          <w:sz w:val="30"/>
          <w:szCs w:val="30"/>
        </w:rPr>
      </w:pPr>
      <w:r>
        <w:rPr>
          <w:rFonts w:hint="eastAsia" w:ascii="仿宋" w:hAnsi="仿宋" w:eastAsia="仿宋" w:cs="Times New Roman"/>
          <w:sz w:val="30"/>
          <w:szCs w:val="30"/>
        </w:rPr>
        <w:t>项目</w:t>
      </w:r>
      <w:r>
        <w:rPr>
          <w:rFonts w:hint="eastAsia" w:hAnsi="仿宋" w:cs="Times New Roman"/>
          <w:sz w:val="30"/>
          <w:szCs w:val="30"/>
          <w:lang w:val="en-US" w:eastAsia="zh-CN"/>
        </w:rPr>
        <w:t>决策</w:t>
      </w:r>
      <w:r>
        <w:rPr>
          <w:rFonts w:hint="eastAsia" w:ascii="仿宋" w:hAnsi="仿宋" w:eastAsia="仿宋" w:cs="Times New Roman"/>
          <w:sz w:val="30"/>
          <w:szCs w:val="30"/>
        </w:rPr>
        <w:t>情况包括项目立项</w:t>
      </w:r>
      <w:r>
        <w:rPr>
          <w:rFonts w:hint="eastAsia" w:hAnsi="仿宋" w:cs="Times New Roman"/>
          <w:sz w:val="30"/>
          <w:szCs w:val="30"/>
          <w:lang w:eastAsia="zh-CN"/>
        </w:rPr>
        <w:t>、</w:t>
      </w:r>
      <w:r>
        <w:rPr>
          <w:rFonts w:hint="eastAsia" w:hAnsi="仿宋" w:cs="Times New Roman"/>
          <w:sz w:val="30"/>
          <w:szCs w:val="30"/>
          <w:lang w:val="en-US" w:eastAsia="zh-CN"/>
        </w:rPr>
        <w:t>绩效目标</w:t>
      </w:r>
      <w:r>
        <w:rPr>
          <w:rFonts w:hint="eastAsia" w:ascii="仿宋" w:hAnsi="仿宋" w:eastAsia="仿宋" w:cs="Times New Roman"/>
          <w:sz w:val="30"/>
          <w:szCs w:val="30"/>
        </w:rPr>
        <w:t>和资金</w:t>
      </w:r>
      <w:r>
        <w:rPr>
          <w:rFonts w:hint="eastAsia" w:hAnsi="仿宋" w:cs="Times New Roman"/>
          <w:sz w:val="30"/>
          <w:szCs w:val="30"/>
          <w:lang w:val="en-US" w:eastAsia="zh-CN"/>
        </w:rPr>
        <w:t>投入三个</w:t>
      </w:r>
      <w:r>
        <w:rPr>
          <w:rFonts w:hint="eastAsia" w:ascii="仿宋" w:hAnsi="仿宋" w:eastAsia="仿宋" w:cs="Times New Roman"/>
          <w:sz w:val="30"/>
          <w:szCs w:val="30"/>
        </w:rPr>
        <w:t>方面。该项满分为15分，评价得分</w:t>
      </w:r>
      <w:r>
        <w:rPr>
          <w:rFonts w:hint="eastAsia" w:hAnsi="仿宋" w:cs="Times New Roman"/>
          <w:sz w:val="30"/>
          <w:szCs w:val="30"/>
          <w:lang w:val="en-US" w:eastAsia="zh-CN"/>
        </w:rPr>
        <w:t>14</w:t>
      </w:r>
      <w:r>
        <w:rPr>
          <w:rFonts w:hint="eastAsia" w:ascii="仿宋" w:hAnsi="仿宋" w:eastAsia="仿宋" w:cs="Times New Roman"/>
          <w:sz w:val="30"/>
          <w:szCs w:val="30"/>
        </w:rPr>
        <w:t>分，得分率</w:t>
      </w:r>
      <w:r>
        <w:rPr>
          <w:rFonts w:hint="eastAsia" w:hAnsi="仿宋" w:cs="Times New Roman"/>
          <w:sz w:val="30"/>
          <w:szCs w:val="30"/>
          <w:lang w:val="en-US" w:eastAsia="zh-CN"/>
        </w:rPr>
        <w:t>93.33</w:t>
      </w:r>
      <w:r>
        <w:rPr>
          <w:rFonts w:hint="eastAsia" w:ascii="仿宋" w:hAnsi="仿宋" w:eastAsia="仿宋" w:cs="Times New Roman"/>
          <w:sz w:val="30"/>
          <w:szCs w:val="30"/>
        </w:rPr>
        <w:t>%。具体</w:t>
      </w:r>
      <w:r>
        <w:rPr>
          <w:rFonts w:hint="eastAsia" w:hAnsi="仿宋" w:cs="Times New Roman"/>
          <w:sz w:val="30"/>
          <w:szCs w:val="30"/>
          <w:lang w:val="en-US" w:eastAsia="zh-CN"/>
        </w:rPr>
        <w:t>绩效</w:t>
      </w:r>
      <w:r>
        <w:rPr>
          <w:rFonts w:hint="eastAsia" w:ascii="仿宋" w:hAnsi="仿宋" w:eastAsia="仿宋" w:cs="Times New Roman"/>
          <w:sz w:val="30"/>
          <w:szCs w:val="30"/>
        </w:rPr>
        <w:t>评价</w:t>
      </w:r>
      <w:r>
        <w:rPr>
          <w:rFonts w:hint="eastAsia" w:hAnsi="仿宋" w:cs="Times New Roman"/>
          <w:sz w:val="30"/>
          <w:szCs w:val="30"/>
          <w:lang w:val="en-US" w:eastAsia="zh-CN"/>
        </w:rPr>
        <w:t>决策</w:t>
      </w:r>
      <w:r>
        <w:rPr>
          <w:rFonts w:hint="eastAsia" w:ascii="仿宋" w:hAnsi="仿宋" w:eastAsia="仿宋" w:cs="Times New Roman"/>
          <w:sz w:val="30"/>
          <w:szCs w:val="30"/>
        </w:rPr>
        <w:t>情况分析如下：</w:t>
      </w:r>
    </w:p>
    <w:p>
      <w:pPr>
        <w:spacing w:line="579" w:lineRule="exact"/>
        <w:ind w:firstLine="600" w:firstLineChars="200"/>
        <w:rPr>
          <w:rFonts w:ascii="仿宋" w:hAnsi="仿宋" w:eastAsia="仿宋"/>
          <w:sz w:val="30"/>
          <w:szCs w:val="30"/>
        </w:rPr>
      </w:pPr>
      <w:r>
        <w:rPr>
          <w:rFonts w:hint="eastAsia" w:hAnsi="仿宋" w:cs="Times New Roman"/>
          <w:sz w:val="30"/>
          <w:szCs w:val="30"/>
          <w:lang w:val="en-US" w:eastAsia="zh-CN"/>
        </w:rPr>
        <w:t>1.</w:t>
      </w:r>
      <w:r>
        <w:rPr>
          <w:rFonts w:ascii="仿宋" w:hAnsi="仿宋" w:eastAsia="仿宋"/>
          <w:sz w:val="30"/>
          <w:szCs w:val="30"/>
        </w:rPr>
        <w:t>项目立项方面。项目</w:t>
      </w:r>
      <w:r>
        <w:rPr>
          <w:rFonts w:hint="eastAsia" w:ascii="仿宋" w:hAnsi="仿宋" w:eastAsia="仿宋"/>
          <w:sz w:val="30"/>
          <w:szCs w:val="30"/>
        </w:rPr>
        <w:t>实施依据充分</w:t>
      </w:r>
      <w:r>
        <w:rPr>
          <w:rFonts w:ascii="仿宋" w:hAnsi="仿宋" w:eastAsia="仿宋"/>
          <w:sz w:val="30"/>
          <w:szCs w:val="30"/>
        </w:rPr>
        <w:t>，实施内容符合国家、省</w:t>
      </w:r>
      <w:r>
        <w:rPr>
          <w:rFonts w:hint="eastAsia" w:ascii="仿宋" w:hAnsi="仿宋" w:eastAsia="仿宋"/>
          <w:sz w:val="30"/>
          <w:szCs w:val="30"/>
        </w:rPr>
        <w:t>、</w:t>
      </w:r>
      <w:r>
        <w:rPr>
          <w:rFonts w:hint="eastAsia" w:hAnsi="仿宋"/>
          <w:sz w:val="30"/>
          <w:szCs w:val="30"/>
          <w:lang w:val="en-US" w:eastAsia="zh-CN"/>
        </w:rPr>
        <w:t>州</w:t>
      </w:r>
      <w:r>
        <w:rPr>
          <w:rFonts w:hint="eastAsia" w:ascii="仿宋" w:hAnsi="仿宋" w:eastAsia="仿宋"/>
          <w:sz w:val="30"/>
          <w:szCs w:val="30"/>
        </w:rPr>
        <w:t>县的相关工作</w:t>
      </w:r>
      <w:r>
        <w:rPr>
          <w:rFonts w:ascii="仿宋" w:hAnsi="仿宋" w:eastAsia="仿宋"/>
          <w:sz w:val="30"/>
          <w:szCs w:val="30"/>
        </w:rPr>
        <w:t>部署</w:t>
      </w:r>
      <w:r>
        <w:rPr>
          <w:rFonts w:hint="eastAsia" w:ascii="仿宋" w:hAnsi="仿宋" w:eastAsia="仿宋"/>
          <w:sz w:val="30"/>
          <w:szCs w:val="30"/>
        </w:rPr>
        <w:t>。项目的实施符合</w:t>
      </w:r>
      <w:r>
        <w:rPr>
          <w:rFonts w:hint="eastAsia" w:hAnsi="仿宋"/>
          <w:sz w:val="30"/>
          <w:szCs w:val="30"/>
          <w:lang w:val="en-US" w:eastAsia="zh-CN"/>
        </w:rPr>
        <w:t>盈江县农业农村局</w:t>
      </w:r>
      <w:r>
        <w:rPr>
          <w:rFonts w:hint="eastAsia" w:ascii="仿宋" w:hAnsi="仿宋" w:eastAsia="仿宋"/>
          <w:sz w:val="30"/>
          <w:szCs w:val="30"/>
        </w:rPr>
        <w:t>的职能职责，且项目的实施为</w:t>
      </w:r>
      <w:r>
        <w:rPr>
          <w:rFonts w:hint="eastAsia" w:hAnsi="仿宋"/>
          <w:sz w:val="30"/>
          <w:szCs w:val="30"/>
          <w:lang w:val="en-US" w:eastAsia="zh-CN"/>
        </w:rPr>
        <w:t>盈江县农业农村局</w:t>
      </w:r>
      <w:r>
        <w:rPr>
          <w:rFonts w:hint="eastAsia" w:ascii="仿宋" w:hAnsi="仿宋" w:eastAsia="仿宋"/>
          <w:sz w:val="30"/>
          <w:szCs w:val="30"/>
        </w:rPr>
        <w:t>履职所需。</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2</w:t>
      </w:r>
      <w:r>
        <w:rPr>
          <w:rFonts w:ascii="仿宋" w:hAnsi="仿宋" w:eastAsia="仿宋"/>
          <w:sz w:val="30"/>
          <w:szCs w:val="30"/>
        </w:rPr>
        <w:t>.</w:t>
      </w:r>
      <w:r>
        <w:rPr>
          <w:rFonts w:hint="eastAsia" w:ascii="仿宋" w:hAnsi="仿宋" w:eastAsia="仿宋"/>
          <w:sz w:val="30"/>
          <w:szCs w:val="30"/>
        </w:rPr>
        <w:t>绩效目标方面。</w:t>
      </w:r>
      <w:r>
        <w:rPr>
          <w:rFonts w:hint="eastAsia" w:hAnsi="仿宋"/>
          <w:sz w:val="30"/>
          <w:szCs w:val="30"/>
          <w:lang w:val="en-US" w:eastAsia="zh-CN"/>
        </w:rPr>
        <w:t>盈江县2019年糖料蔗核心基地建设项目</w:t>
      </w:r>
      <w:r>
        <w:rPr>
          <w:rFonts w:hint="eastAsia" w:ascii="仿宋" w:hAnsi="仿宋" w:eastAsia="仿宋"/>
          <w:sz w:val="30"/>
          <w:szCs w:val="30"/>
        </w:rPr>
        <w:t>申报</w:t>
      </w:r>
      <w:r>
        <w:rPr>
          <w:rFonts w:hint="eastAsia" w:hAnsi="仿宋"/>
          <w:sz w:val="30"/>
          <w:szCs w:val="30"/>
          <w:lang w:val="en-US" w:eastAsia="zh-CN"/>
        </w:rPr>
        <w:t>了</w:t>
      </w:r>
      <w:r>
        <w:rPr>
          <w:rFonts w:hint="eastAsia" w:ascii="仿宋" w:hAnsi="仿宋" w:eastAsia="仿宋"/>
          <w:sz w:val="30"/>
          <w:szCs w:val="30"/>
        </w:rPr>
        <w:t>绩效目标</w:t>
      </w:r>
      <w:r>
        <w:rPr>
          <w:rFonts w:hint="eastAsia" w:hAnsi="仿宋"/>
          <w:sz w:val="30"/>
          <w:szCs w:val="30"/>
          <w:lang w:val="en-US" w:eastAsia="zh-CN"/>
        </w:rPr>
        <w:t>和</w:t>
      </w:r>
      <w:r>
        <w:rPr>
          <w:rFonts w:hint="eastAsia" w:ascii="仿宋" w:hAnsi="仿宋" w:eastAsia="仿宋"/>
          <w:sz w:val="30"/>
          <w:szCs w:val="30"/>
        </w:rPr>
        <w:t>绩效指标，</w:t>
      </w:r>
      <w:r>
        <w:rPr>
          <w:rFonts w:hint="eastAsia" w:hAnsi="仿宋"/>
          <w:sz w:val="30"/>
          <w:szCs w:val="30"/>
          <w:lang w:val="en-US" w:eastAsia="zh-CN"/>
        </w:rPr>
        <w:t>但</w:t>
      </w:r>
      <w:r>
        <w:rPr>
          <w:rFonts w:hint="eastAsia" w:ascii="仿宋" w:hAnsi="仿宋" w:eastAsia="仿宋"/>
          <w:sz w:val="30"/>
          <w:szCs w:val="30"/>
          <w:lang w:val="en-US" w:eastAsia="zh-CN"/>
        </w:rPr>
        <w:t>申请项目预算时，与盈江县2019年全国新增千亿斤增粮生产能力规划田间工程建设项目合并申报绩效目标</w:t>
      </w:r>
      <w:r>
        <w:rPr>
          <w:rFonts w:hint="eastAsia" w:hAnsi="仿宋"/>
          <w:sz w:val="30"/>
          <w:szCs w:val="30"/>
          <w:lang w:val="en-US" w:eastAsia="zh-CN"/>
        </w:rPr>
        <w:t>，</w:t>
      </w:r>
      <w:r>
        <w:rPr>
          <w:rFonts w:hint="eastAsia" w:ascii="仿宋" w:hAnsi="仿宋" w:eastAsia="仿宋"/>
          <w:sz w:val="30"/>
          <w:szCs w:val="30"/>
          <w:lang w:val="en-US" w:eastAsia="zh-CN"/>
        </w:rPr>
        <w:t>未能根据项目实施方案及相关工作部署独立申报项目绩效目标及指标</w:t>
      </w:r>
      <w:r>
        <w:rPr>
          <w:rFonts w:hint="eastAsia" w:hAnsi="仿宋"/>
          <w:sz w:val="30"/>
          <w:szCs w:val="30"/>
          <w:lang w:val="en-US" w:eastAsia="zh-CN"/>
        </w:rPr>
        <w:t>，</w:t>
      </w:r>
      <w:r>
        <w:rPr>
          <w:rFonts w:hint="eastAsia" w:ascii="仿宋" w:hAnsi="仿宋" w:eastAsia="仿宋"/>
          <w:sz w:val="30"/>
          <w:szCs w:val="30"/>
          <w:lang w:val="en-US" w:eastAsia="zh-CN"/>
        </w:rPr>
        <w:t>部分绩效指标设置不合理，指标值无法衡量</w:t>
      </w:r>
      <w:r>
        <w:rPr>
          <w:rFonts w:hint="eastAsia" w:hAnsi="仿宋"/>
          <w:sz w:val="30"/>
          <w:szCs w:val="30"/>
          <w:lang w:val="en-US" w:eastAsia="zh-CN"/>
        </w:rPr>
        <w:t>，</w:t>
      </w:r>
      <w:r>
        <w:rPr>
          <w:rFonts w:hint="eastAsia" w:ascii="仿宋" w:hAnsi="仿宋" w:eastAsia="仿宋"/>
          <w:sz w:val="30"/>
          <w:szCs w:val="30"/>
          <w:lang w:val="en-US" w:eastAsia="zh-CN"/>
        </w:rPr>
        <w:t>绩效指标设置缺乏考核项目产出关键性指标</w:t>
      </w:r>
      <w:r>
        <w:rPr>
          <w:rFonts w:hint="eastAsia" w:ascii="仿宋" w:hAnsi="仿宋" w:eastAsia="仿宋"/>
          <w:sz w:val="30"/>
          <w:szCs w:val="30"/>
        </w:rPr>
        <w:t>。</w:t>
      </w:r>
    </w:p>
    <w:p>
      <w:pPr>
        <w:spacing w:line="579" w:lineRule="exact"/>
        <w:ind w:firstLine="600" w:firstLineChars="200"/>
        <w:outlineLvl w:val="1"/>
        <w:rPr>
          <w:rFonts w:hint="eastAsia" w:ascii="仿宋" w:hAnsi="仿宋" w:eastAsia="仿宋"/>
          <w:color w:val="auto"/>
          <w:sz w:val="30"/>
          <w:szCs w:val="30"/>
        </w:rPr>
      </w:pPr>
      <w:r>
        <w:rPr>
          <w:rFonts w:ascii="仿宋" w:hAnsi="仿宋" w:eastAsia="仿宋"/>
          <w:color w:val="auto"/>
          <w:sz w:val="30"/>
          <w:szCs w:val="30"/>
        </w:rPr>
        <w:t>3.资金</w:t>
      </w:r>
      <w:r>
        <w:rPr>
          <w:rFonts w:hint="eastAsia" w:ascii="仿宋" w:hAnsi="仿宋" w:eastAsia="仿宋"/>
          <w:color w:val="auto"/>
          <w:sz w:val="30"/>
          <w:szCs w:val="30"/>
        </w:rPr>
        <w:t>投入</w:t>
      </w:r>
      <w:r>
        <w:rPr>
          <w:rFonts w:ascii="仿宋" w:hAnsi="仿宋" w:eastAsia="仿宋"/>
          <w:color w:val="auto"/>
          <w:sz w:val="30"/>
          <w:szCs w:val="30"/>
        </w:rPr>
        <w:t>方面。</w:t>
      </w:r>
      <w:r>
        <w:rPr>
          <w:rFonts w:hint="eastAsia" w:hAnsi="仿宋"/>
          <w:color w:val="auto"/>
          <w:sz w:val="30"/>
          <w:szCs w:val="30"/>
          <w:lang w:val="en-US" w:eastAsia="zh-CN"/>
        </w:rPr>
        <w:t>项目预算额度测算依据充分，预算确定的项目投资额与工作任务相匹配，</w:t>
      </w:r>
      <w:r>
        <w:rPr>
          <w:rFonts w:hint="default" w:ascii="仿宋" w:hAnsi="仿宋" w:eastAsia="仿宋"/>
          <w:color w:val="auto"/>
          <w:sz w:val="30"/>
          <w:szCs w:val="30"/>
          <w:lang w:val="en-US" w:eastAsia="zh-CN"/>
        </w:rPr>
        <w:t>资金分配额度合理，与</w:t>
      </w:r>
      <w:r>
        <w:rPr>
          <w:rFonts w:hint="eastAsia" w:hAnsi="仿宋"/>
          <w:color w:val="auto"/>
          <w:sz w:val="30"/>
          <w:szCs w:val="30"/>
          <w:lang w:val="en-US" w:eastAsia="zh-CN"/>
        </w:rPr>
        <w:t>盈江县农业发展现状</w:t>
      </w:r>
      <w:r>
        <w:rPr>
          <w:rFonts w:hint="default" w:ascii="仿宋" w:hAnsi="仿宋" w:eastAsia="仿宋"/>
          <w:color w:val="auto"/>
          <w:sz w:val="30"/>
          <w:szCs w:val="30"/>
          <w:lang w:val="en-US" w:eastAsia="zh-CN"/>
        </w:rPr>
        <w:t>相适应</w:t>
      </w:r>
      <w:r>
        <w:rPr>
          <w:rFonts w:hint="eastAsia" w:hAnsi="仿宋"/>
          <w:color w:val="auto"/>
          <w:sz w:val="30"/>
          <w:szCs w:val="30"/>
          <w:lang w:val="en-US" w:eastAsia="zh-CN"/>
        </w:rPr>
        <w:t>。中央资金及时足额到位，尚有地方配套财政资金未到位</w:t>
      </w:r>
      <w:r>
        <w:rPr>
          <w:rFonts w:hint="default" w:ascii="仿宋" w:hAnsi="仿宋" w:eastAsia="仿宋"/>
          <w:color w:val="auto"/>
          <w:sz w:val="30"/>
          <w:szCs w:val="30"/>
          <w:lang w:val="en-US" w:eastAsia="zh-CN"/>
        </w:rPr>
        <w:t>。</w:t>
      </w:r>
    </w:p>
    <w:p>
      <w:pPr>
        <w:spacing w:line="570" w:lineRule="exact"/>
        <w:ind w:firstLine="600" w:firstLineChars="200"/>
        <w:outlineLvl w:val="1"/>
        <w:rPr>
          <w:rFonts w:hint="eastAsia" w:ascii="楷体" w:hAnsi="楷体" w:eastAsia="楷体"/>
          <w:sz w:val="30"/>
          <w:szCs w:val="30"/>
        </w:rPr>
      </w:pPr>
      <w:bookmarkStart w:id="34" w:name="_Toc51333627"/>
      <w:r>
        <w:rPr>
          <w:rFonts w:hint="eastAsia" w:ascii="楷体" w:hAnsi="楷体" w:eastAsia="楷体"/>
          <w:sz w:val="30"/>
          <w:szCs w:val="30"/>
        </w:rPr>
        <w:t>（二）过程情况分析</w:t>
      </w:r>
      <w:bookmarkEnd w:id="34"/>
    </w:p>
    <w:p>
      <w:pPr>
        <w:spacing w:line="579" w:lineRule="exact"/>
        <w:ind w:firstLine="600" w:firstLineChars="200"/>
        <w:rPr>
          <w:rFonts w:ascii="仿宋" w:hAnsi="仿宋" w:eastAsia="仿宋"/>
          <w:sz w:val="30"/>
          <w:szCs w:val="30"/>
        </w:rPr>
      </w:pPr>
      <w:r>
        <w:rPr>
          <w:rFonts w:hint="eastAsia" w:ascii="仿宋" w:hAnsi="仿宋" w:eastAsia="仿宋"/>
          <w:sz w:val="30"/>
          <w:szCs w:val="30"/>
        </w:rPr>
        <w:t>项目过程包括项目管理和财务管理两方面。该项满分为</w:t>
      </w:r>
      <w:r>
        <w:rPr>
          <w:rFonts w:ascii="仿宋" w:hAnsi="仿宋" w:eastAsia="仿宋"/>
          <w:sz w:val="30"/>
          <w:szCs w:val="30"/>
        </w:rPr>
        <w:t>2</w:t>
      </w:r>
      <w:r>
        <w:rPr>
          <w:rFonts w:hint="eastAsia" w:hAnsi="仿宋"/>
          <w:sz w:val="30"/>
          <w:szCs w:val="30"/>
          <w:lang w:val="en-US" w:eastAsia="zh-CN"/>
        </w:rPr>
        <w:t>0</w:t>
      </w:r>
      <w:r>
        <w:rPr>
          <w:rFonts w:ascii="仿宋" w:hAnsi="仿宋" w:eastAsia="仿宋"/>
          <w:sz w:val="30"/>
          <w:szCs w:val="30"/>
        </w:rPr>
        <w:t>分，</w:t>
      </w:r>
      <w:r>
        <w:rPr>
          <w:rFonts w:hint="eastAsia" w:ascii="仿宋" w:hAnsi="仿宋" w:eastAsia="仿宋"/>
          <w:sz w:val="30"/>
          <w:szCs w:val="30"/>
        </w:rPr>
        <w:t>绩效</w:t>
      </w:r>
      <w:r>
        <w:rPr>
          <w:rFonts w:ascii="仿宋" w:hAnsi="仿宋" w:eastAsia="仿宋"/>
          <w:sz w:val="30"/>
          <w:szCs w:val="30"/>
        </w:rPr>
        <w:t>评价得分</w:t>
      </w:r>
      <w:r>
        <w:rPr>
          <w:rFonts w:hint="eastAsia" w:ascii="仿宋" w:hAnsi="仿宋" w:eastAsia="仿宋"/>
          <w:sz w:val="30"/>
          <w:szCs w:val="30"/>
        </w:rPr>
        <w:t>为</w:t>
      </w:r>
      <w:r>
        <w:rPr>
          <w:rFonts w:hint="eastAsia" w:hAnsi="仿宋"/>
          <w:sz w:val="30"/>
          <w:szCs w:val="30"/>
          <w:lang w:val="en-US" w:eastAsia="zh-CN"/>
        </w:rPr>
        <w:t>13.23</w:t>
      </w:r>
      <w:r>
        <w:rPr>
          <w:rFonts w:ascii="仿宋" w:hAnsi="仿宋" w:eastAsia="仿宋"/>
          <w:sz w:val="30"/>
          <w:szCs w:val="30"/>
        </w:rPr>
        <w:t>分，得分率</w:t>
      </w:r>
      <w:r>
        <w:rPr>
          <w:rFonts w:hint="eastAsia" w:hAnsi="仿宋"/>
          <w:sz w:val="30"/>
          <w:szCs w:val="30"/>
          <w:lang w:val="en-US" w:eastAsia="zh-CN"/>
        </w:rPr>
        <w:t>66.15</w:t>
      </w:r>
      <w:r>
        <w:rPr>
          <w:rFonts w:ascii="仿宋" w:hAnsi="仿宋" w:eastAsia="仿宋"/>
          <w:sz w:val="30"/>
          <w:szCs w:val="30"/>
        </w:rPr>
        <w:t>%</w:t>
      </w:r>
      <w:r>
        <w:rPr>
          <w:rFonts w:hint="eastAsia" w:ascii="仿宋" w:hAnsi="仿宋" w:eastAsia="仿宋"/>
          <w:sz w:val="30"/>
          <w:szCs w:val="30"/>
        </w:rPr>
        <w:t>。</w:t>
      </w:r>
      <w:r>
        <w:rPr>
          <w:rFonts w:ascii="仿宋" w:hAnsi="仿宋" w:eastAsia="仿宋"/>
          <w:sz w:val="30"/>
          <w:szCs w:val="30"/>
        </w:rPr>
        <w:t>具体</w:t>
      </w:r>
      <w:r>
        <w:rPr>
          <w:rFonts w:hint="eastAsia" w:ascii="仿宋" w:hAnsi="仿宋" w:eastAsia="仿宋"/>
          <w:sz w:val="30"/>
          <w:szCs w:val="30"/>
        </w:rPr>
        <w:t>绩效</w:t>
      </w:r>
      <w:r>
        <w:rPr>
          <w:rFonts w:ascii="仿宋" w:hAnsi="仿宋" w:eastAsia="仿宋"/>
          <w:sz w:val="30"/>
          <w:szCs w:val="30"/>
        </w:rPr>
        <w:t>评价过程情况分析如下：</w:t>
      </w:r>
    </w:p>
    <w:p>
      <w:pPr>
        <w:spacing w:line="579" w:lineRule="exact"/>
        <w:ind w:firstLine="600" w:firstLineChars="200"/>
        <w:rPr>
          <w:rFonts w:ascii="仿宋" w:hAnsi="仿宋" w:eastAsia="仿宋"/>
          <w:color w:val="FF0000"/>
          <w:sz w:val="30"/>
          <w:szCs w:val="30"/>
        </w:rPr>
      </w:pPr>
      <w:r>
        <w:rPr>
          <w:rFonts w:hint="eastAsia" w:ascii="仿宋" w:hAnsi="仿宋" w:eastAsia="仿宋"/>
          <w:sz w:val="30"/>
          <w:szCs w:val="30"/>
        </w:rPr>
        <w:t>1.项目管理方面。项目管理制度完善，审批齐全</w:t>
      </w:r>
      <w:r>
        <w:rPr>
          <w:rFonts w:hint="eastAsia" w:ascii="仿宋" w:hAnsi="仿宋" w:eastAsia="仿宋"/>
          <w:sz w:val="30"/>
          <w:szCs w:val="30"/>
          <w:lang w:eastAsia="zh-CN"/>
        </w:rPr>
        <w:t>，项目严格按照《</w:t>
      </w:r>
      <w:r>
        <w:rPr>
          <w:rFonts w:hint="default" w:ascii="仿宋" w:hAnsi="仿宋" w:eastAsia="仿宋"/>
          <w:sz w:val="30"/>
          <w:szCs w:val="30"/>
          <w:lang w:val="zh-CN" w:eastAsia="zh-CN"/>
        </w:rPr>
        <w:t>云南省农业厅</w:t>
      </w:r>
      <w:r>
        <w:rPr>
          <w:rFonts w:hint="eastAsia" w:ascii="仿宋" w:hAnsi="仿宋" w:eastAsia="仿宋"/>
          <w:sz w:val="30"/>
          <w:szCs w:val="30"/>
          <w:lang w:val="en-US" w:eastAsia="zh-CN"/>
        </w:rPr>
        <w:t xml:space="preserve"> </w:t>
      </w:r>
      <w:r>
        <w:rPr>
          <w:rFonts w:hint="default" w:ascii="仿宋" w:hAnsi="仿宋" w:eastAsia="仿宋"/>
          <w:sz w:val="30"/>
          <w:szCs w:val="30"/>
          <w:lang w:val="zh-CN" w:eastAsia="zh-CN"/>
        </w:rPr>
        <w:t>云南省发展和改革委员会</w:t>
      </w:r>
      <w:r>
        <w:rPr>
          <w:rFonts w:hint="eastAsia" w:ascii="仿宋" w:hAnsi="仿宋" w:eastAsia="仿宋"/>
          <w:sz w:val="30"/>
          <w:szCs w:val="30"/>
          <w:lang w:val="en-US" w:eastAsia="zh-CN"/>
        </w:rPr>
        <w:t xml:space="preserve"> </w:t>
      </w:r>
      <w:r>
        <w:rPr>
          <w:rFonts w:hint="default" w:ascii="仿宋" w:hAnsi="仿宋" w:eastAsia="仿宋"/>
          <w:sz w:val="30"/>
          <w:szCs w:val="30"/>
          <w:lang w:val="zh-CN" w:eastAsia="zh-CN"/>
        </w:rPr>
        <w:t>云南省农业综合开发办公室</w:t>
      </w:r>
      <w:r>
        <w:rPr>
          <w:rFonts w:hint="eastAsia" w:ascii="仿宋" w:hAnsi="仿宋" w:eastAsia="仿宋"/>
          <w:sz w:val="30"/>
          <w:szCs w:val="30"/>
          <w:lang w:val="en-US" w:eastAsia="zh-CN"/>
        </w:rPr>
        <w:t xml:space="preserve"> </w:t>
      </w:r>
      <w:r>
        <w:rPr>
          <w:rFonts w:hint="default" w:ascii="仿宋" w:hAnsi="仿宋" w:eastAsia="仿宋"/>
          <w:sz w:val="30"/>
          <w:szCs w:val="30"/>
          <w:lang w:val="zh-CN" w:eastAsia="zh-CN"/>
        </w:rPr>
        <w:t>关于印发云南省中央预算内投资农业建设项目管理办法的通知</w:t>
      </w:r>
      <w:r>
        <w:rPr>
          <w:rFonts w:hint="eastAsia" w:ascii="仿宋" w:hAnsi="仿宋" w:eastAsia="仿宋"/>
          <w:sz w:val="30"/>
          <w:szCs w:val="30"/>
          <w:lang w:eastAsia="zh-CN"/>
        </w:rPr>
        <w:t>》（</w:t>
      </w:r>
      <w:r>
        <w:rPr>
          <w:rFonts w:hint="eastAsia" w:ascii="仿宋" w:hAnsi="仿宋" w:eastAsia="仿宋"/>
          <w:sz w:val="30"/>
          <w:szCs w:val="30"/>
          <w:lang w:val="en-US" w:eastAsia="zh-CN"/>
        </w:rPr>
        <w:t>云农计</w:t>
      </w:r>
      <w:r>
        <w:rPr>
          <w:rFonts w:hint="eastAsia" w:ascii="仿宋" w:hAnsi="仿宋" w:eastAsia="仿宋"/>
          <w:sz w:val="30"/>
          <w:szCs w:val="30"/>
          <w:lang w:eastAsia="zh-CN"/>
        </w:rPr>
        <w:t>〔201</w:t>
      </w:r>
      <w:r>
        <w:rPr>
          <w:rFonts w:hint="eastAsia" w:ascii="仿宋" w:hAnsi="仿宋" w:eastAsia="仿宋"/>
          <w:sz w:val="30"/>
          <w:szCs w:val="30"/>
          <w:lang w:val="en-US" w:eastAsia="zh-CN"/>
        </w:rPr>
        <w:t>7</w:t>
      </w:r>
      <w:r>
        <w:rPr>
          <w:rFonts w:hint="eastAsia" w:ascii="仿宋" w:hAnsi="仿宋" w:eastAsia="仿宋"/>
          <w:sz w:val="30"/>
          <w:szCs w:val="30"/>
          <w:lang w:eastAsia="zh-CN"/>
        </w:rPr>
        <w:t>〕</w:t>
      </w:r>
      <w:r>
        <w:rPr>
          <w:rFonts w:hint="eastAsia" w:ascii="仿宋" w:hAnsi="仿宋" w:eastAsia="仿宋"/>
          <w:sz w:val="30"/>
          <w:szCs w:val="30"/>
          <w:lang w:val="en-US" w:eastAsia="zh-CN"/>
        </w:rPr>
        <w:t>34</w:t>
      </w:r>
      <w:r>
        <w:rPr>
          <w:rFonts w:hint="eastAsia" w:ascii="仿宋" w:hAnsi="仿宋" w:eastAsia="仿宋"/>
          <w:sz w:val="30"/>
          <w:szCs w:val="30"/>
          <w:lang w:eastAsia="zh-CN"/>
        </w:rPr>
        <w:t>号）进行建设。工程项目设计、</w:t>
      </w:r>
      <w:r>
        <w:rPr>
          <w:rFonts w:hint="eastAsia" w:ascii="仿宋" w:hAnsi="仿宋" w:eastAsia="仿宋"/>
          <w:sz w:val="30"/>
          <w:szCs w:val="30"/>
          <w:lang w:val="en-US" w:eastAsia="zh-CN"/>
        </w:rPr>
        <w:t>造价、</w:t>
      </w:r>
      <w:r>
        <w:rPr>
          <w:rFonts w:hint="eastAsia" w:ascii="仿宋" w:hAnsi="仿宋" w:eastAsia="仿宋"/>
          <w:sz w:val="30"/>
          <w:szCs w:val="30"/>
          <w:lang w:eastAsia="zh-CN"/>
        </w:rPr>
        <w:t>施工、监理等单位的确定手续合规。项目前期进行了规范的勘察设计及</w:t>
      </w:r>
      <w:r>
        <w:rPr>
          <w:rFonts w:hint="eastAsia" w:ascii="仿宋" w:hAnsi="仿宋" w:eastAsia="仿宋"/>
          <w:sz w:val="30"/>
          <w:szCs w:val="30"/>
          <w:lang w:val="en-US" w:eastAsia="zh-CN"/>
        </w:rPr>
        <w:t>审批</w:t>
      </w:r>
      <w:r>
        <w:rPr>
          <w:rFonts w:hint="eastAsia" w:ascii="仿宋" w:hAnsi="仿宋" w:eastAsia="仿宋"/>
          <w:sz w:val="30"/>
          <w:szCs w:val="30"/>
          <w:lang w:eastAsia="zh-CN"/>
        </w:rPr>
        <w:t>；工程建设过程严格履行监理制度、质量检查制度、安全生产制度，同时</w:t>
      </w:r>
      <w:r>
        <w:rPr>
          <w:rFonts w:hint="eastAsia" w:ascii="仿宋" w:hAnsi="仿宋" w:eastAsia="仿宋"/>
          <w:sz w:val="30"/>
          <w:szCs w:val="30"/>
          <w:lang w:val="en-US" w:eastAsia="zh-CN"/>
        </w:rPr>
        <w:t>盈江县农业农村局</w:t>
      </w:r>
      <w:r>
        <w:rPr>
          <w:rFonts w:hint="eastAsia" w:ascii="仿宋" w:hAnsi="仿宋" w:eastAsia="仿宋"/>
          <w:sz w:val="30"/>
          <w:szCs w:val="30"/>
          <w:lang w:eastAsia="zh-CN"/>
        </w:rPr>
        <w:t>会同</w:t>
      </w:r>
      <w:r>
        <w:rPr>
          <w:rFonts w:hint="eastAsia" w:ascii="仿宋" w:hAnsi="仿宋" w:eastAsia="仿宋"/>
          <w:sz w:val="30"/>
          <w:szCs w:val="30"/>
          <w:lang w:val="en-US" w:eastAsia="zh-CN"/>
        </w:rPr>
        <w:t>盈江县领导小组</w:t>
      </w:r>
      <w:r>
        <w:rPr>
          <w:rFonts w:hint="eastAsia" w:ascii="仿宋" w:hAnsi="仿宋" w:eastAsia="仿宋"/>
          <w:sz w:val="30"/>
          <w:szCs w:val="30"/>
          <w:lang w:eastAsia="zh-CN"/>
        </w:rPr>
        <w:t>等部门不定时开展监督检查</w:t>
      </w:r>
      <w:r>
        <w:rPr>
          <w:rFonts w:hint="eastAsia" w:hAnsi="仿宋"/>
          <w:sz w:val="30"/>
          <w:szCs w:val="30"/>
          <w:lang w:eastAsia="zh-CN"/>
        </w:rPr>
        <w:t>，</w:t>
      </w:r>
      <w:r>
        <w:rPr>
          <w:rFonts w:hint="eastAsia" w:hAnsi="仿宋"/>
          <w:sz w:val="30"/>
          <w:szCs w:val="30"/>
          <w:lang w:val="en-US" w:eastAsia="zh-CN"/>
        </w:rPr>
        <w:t>项目变更按照规定进行了现场签证和建设单位审批。但仍存在两方面不足，一方面工程实施未见相关公示公告资料，部分资料中出现时间逻辑错误且项目流程倒置，截至评价日暂未履行验收程序但已做结算审核；另一</w:t>
      </w:r>
      <w:r>
        <w:rPr>
          <w:rFonts w:hint="eastAsia" w:hAnsi="仿宋"/>
          <w:color w:val="auto"/>
          <w:sz w:val="30"/>
          <w:szCs w:val="30"/>
          <w:lang w:val="en-US" w:eastAsia="zh-CN"/>
        </w:rPr>
        <w:t>方面</w:t>
      </w:r>
      <w:r>
        <w:rPr>
          <w:rFonts w:hint="eastAsia" w:hAnsi="仿宋"/>
          <w:color w:val="auto"/>
          <w:sz w:val="30"/>
          <w:szCs w:val="30"/>
          <w:lang w:eastAsia="zh-CN"/>
        </w:rPr>
        <w:t>，</w:t>
      </w:r>
      <w:r>
        <w:rPr>
          <w:rFonts w:hint="eastAsia" w:hAnsi="仿宋"/>
          <w:color w:val="auto"/>
          <w:sz w:val="30"/>
          <w:szCs w:val="30"/>
          <w:lang w:val="en-US" w:eastAsia="zh-CN"/>
        </w:rPr>
        <w:t>盈江县农业农村</w:t>
      </w:r>
      <w:r>
        <w:rPr>
          <w:rFonts w:hint="eastAsia" w:ascii="仿宋" w:hAnsi="仿宋" w:eastAsia="仿宋"/>
          <w:color w:val="auto"/>
          <w:sz w:val="30"/>
          <w:szCs w:val="30"/>
        </w:rPr>
        <w:t>局进行了绩效自评，但未严格按照《盈江县财政局关于对2019年度部分项目开展绩效自评的通知》（盈财发〔2020〕180号）撰写自评报告，提交报告内容与绩效自评管理要求有所不符。</w:t>
      </w:r>
    </w:p>
    <w:p>
      <w:pPr>
        <w:spacing w:line="579" w:lineRule="exact"/>
        <w:ind w:firstLine="600" w:firstLineChars="200"/>
        <w:rPr>
          <w:rFonts w:hint="eastAsia" w:hAnsi="仿宋"/>
          <w:color w:val="auto"/>
          <w:sz w:val="30"/>
          <w:szCs w:val="30"/>
          <w:lang w:val="en-US" w:eastAsia="zh-CN"/>
        </w:rPr>
      </w:pPr>
      <w:r>
        <w:rPr>
          <w:rFonts w:hint="eastAsia" w:hAnsi="仿宋"/>
          <w:color w:val="auto"/>
          <w:sz w:val="30"/>
          <w:szCs w:val="30"/>
          <w:lang w:val="en-US" w:eastAsia="zh-CN"/>
        </w:rPr>
        <w:t>2.财务管理方面。项目资金严格按照《</w:t>
      </w:r>
      <w:r>
        <w:rPr>
          <w:rFonts w:hint="default" w:hAnsi="仿宋"/>
          <w:color w:val="auto"/>
          <w:sz w:val="30"/>
          <w:szCs w:val="30"/>
          <w:lang w:val="zh-CN" w:eastAsia="zh-CN"/>
        </w:rPr>
        <w:t>财政部</w:t>
      </w:r>
      <w:r>
        <w:rPr>
          <w:rFonts w:hint="eastAsia" w:hAnsi="仿宋"/>
          <w:color w:val="auto"/>
          <w:sz w:val="30"/>
          <w:szCs w:val="30"/>
          <w:lang w:val="en-US" w:eastAsia="zh-CN"/>
        </w:rPr>
        <w:t xml:space="preserve"> </w:t>
      </w:r>
      <w:r>
        <w:rPr>
          <w:rFonts w:hint="default" w:hAnsi="仿宋"/>
          <w:color w:val="auto"/>
          <w:sz w:val="30"/>
          <w:szCs w:val="30"/>
          <w:lang w:val="zh-CN" w:eastAsia="zh-CN"/>
        </w:rPr>
        <w:t>农业农村部关于印发农田建设补助资金管理办法的通知</w:t>
      </w:r>
      <w:r>
        <w:rPr>
          <w:rFonts w:hint="eastAsia" w:hAnsi="仿宋"/>
          <w:color w:val="auto"/>
          <w:sz w:val="30"/>
          <w:szCs w:val="30"/>
          <w:lang w:val="en-US" w:eastAsia="zh-CN"/>
        </w:rPr>
        <w:t>》（财农〔2019〕46号）的资金支出范围列支。</w:t>
      </w:r>
      <w:r>
        <w:rPr>
          <w:rFonts w:hint="eastAsia" w:ascii="宋体" w:hAnsi="宋体" w:cs="宋体"/>
          <w:sz w:val="32"/>
          <w:szCs w:val="32"/>
        </w:rPr>
        <w:t>工程建设前期费</w:t>
      </w:r>
      <w:r>
        <w:rPr>
          <w:rFonts w:hint="eastAsia" w:ascii="宋体" w:hAnsi="宋体" w:cs="宋体"/>
          <w:sz w:val="32"/>
          <w:szCs w:val="32"/>
          <w:lang w:val="en-US" w:eastAsia="zh-CN"/>
        </w:rPr>
        <w:t>44.00万元，按规定从统筹整合中央资金中列支1%，前期费用中尚有24.18万因无资金来源未支付</w:t>
      </w:r>
      <w:r>
        <w:rPr>
          <w:rFonts w:hint="eastAsia" w:hAnsi="仿宋"/>
          <w:sz w:val="30"/>
          <w:szCs w:val="30"/>
          <w:lang w:eastAsia="zh-CN"/>
        </w:rPr>
        <w:t>。</w:t>
      </w:r>
      <w:r>
        <w:rPr>
          <w:rFonts w:hint="eastAsia" w:hAnsi="仿宋"/>
          <w:color w:val="auto"/>
          <w:sz w:val="30"/>
          <w:szCs w:val="30"/>
          <w:lang w:val="en-US" w:eastAsia="zh-CN"/>
        </w:rPr>
        <w:t>部分工程进度款项拨付依据不充分，工程进度款与实际进度不匹配。</w:t>
      </w:r>
    </w:p>
    <w:p>
      <w:pPr>
        <w:spacing w:line="570" w:lineRule="exact"/>
        <w:ind w:firstLine="600" w:firstLineChars="200"/>
        <w:outlineLvl w:val="1"/>
        <w:rPr>
          <w:rFonts w:hint="eastAsia" w:ascii="楷体" w:hAnsi="楷体" w:eastAsia="楷体"/>
          <w:sz w:val="30"/>
          <w:szCs w:val="30"/>
        </w:rPr>
      </w:pPr>
      <w:bookmarkStart w:id="35" w:name="_Toc51333628"/>
      <w:r>
        <w:rPr>
          <w:rFonts w:hint="eastAsia" w:ascii="楷体" w:hAnsi="楷体" w:eastAsia="楷体"/>
          <w:sz w:val="30"/>
          <w:szCs w:val="30"/>
        </w:rPr>
        <w:t>（三）产出情况分析</w:t>
      </w:r>
      <w:bookmarkEnd w:id="35"/>
    </w:p>
    <w:p>
      <w:pPr>
        <w:spacing w:line="579" w:lineRule="exact"/>
        <w:ind w:firstLine="600" w:firstLineChars="200"/>
        <w:rPr>
          <w:rFonts w:ascii="仿宋" w:hAnsi="仿宋" w:eastAsia="仿宋"/>
          <w:sz w:val="30"/>
          <w:szCs w:val="30"/>
        </w:rPr>
      </w:pPr>
      <w:r>
        <w:rPr>
          <w:rFonts w:hint="eastAsia" w:ascii="仿宋" w:hAnsi="仿宋" w:eastAsia="仿宋"/>
          <w:sz w:val="30"/>
          <w:szCs w:val="30"/>
        </w:rPr>
        <w:t>项目产出包括产出数量、产出时效</w:t>
      </w:r>
      <w:r>
        <w:rPr>
          <w:rFonts w:hint="eastAsia" w:hAnsi="仿宋"/>
          <w:sz w:val="30"/>
          <w:szCs w:val="30"/>
          <w:lang w:eastAsia="zh-CN"/>
        </w:rPr>
        <w:t>、</w:t>
      </w:r>
      <w:r>
        <w:rPr>
          <w:rFonts w:hint="eastAsia" w:hAnsi="仿宋"/>
          <w:sz w:val="30"/>
          <w:szCs w:val="30"/>
          <w:lang w:val="en-US" w:eastAsia="zh-CN"/>
        </w:rPr>
        <w:t>产出成本、</w:t>
      </w:r>
      <w:r>
        <w:rPr>
          <w:rFonts w:hint="eastAsia" w:ascii="仿宋" w:hAnsi="仿宋" w:eastAsia="仿宋"/>
          <w:sz w:val="30"/>
          <w:szCs w:val="30"/>
        </w:rPr>
        <w:t>产出质量</w:t>
      </w:r>
      <w:r>
        <w:rPr>
          <w:rFonts w:hint="eastAsia" w:hAnsi="仿宋"/>
          <w:sz w:val="30"/>
          <w:szCs w:val="30"/>
          <w:lang w:val="en-US" w:eastAsia="zh-CN"/>
        </w:rPr>
        <w:t>四</w:t>
      </w:r>
      <w:r>
        <w:rPr>
          <w:rFonts w:hint="eastAsia" w:ascii="仿宋" w:hAnsi="仿宋" w:eastAsia="仿宋"/>
          <w:sz w:val="30"/>
          <w:szCs w:val="30"/>
        </w:rPr>
        <w:t>个方面。该项满分为</w:t>
      </w:r>
      <w:r>
        <w:rPr>
          <w:rFonts w:ascii="仿宋" w:hAnsi="仿宋" w:eastAsia="仿宋"/>
          <w:sz w:val="30"/>
          <w:szCs w:val="30"/>
        </w:rPr>
        <w:t>35分，得分27.</w:t>
      </w:r>
      <w:r>
        <w:rPr>
          <w:rFonts w:hint="eastAsia" w:hAnsi="仿宋"/>
          <w:sz w:val="30"/>
          <w:szCs w:val="30"/>
          <w:lang w:val="en-US" w:eastAsia="zh-CN"/>
        </w:rPr>
        <w:t>88</w:t>
      </w:r>
      <w:r>
        <w:rPr>
          <w:rFonts w:ascii="仿宋" w:hAnsi="仿宋" w:eastAsia="仿宋"/>
          <w:sz w:val="30"/>
          <w:szCs w:val="30"/>
        </w:rPr>
        <w:t>分，得分率</w:t>
      </w:r>
      <w:r>
        <w:rPr>
          <w:rFonts w:hint="eastAsia" w:hAnsi="仿宋"/>
          <w:sz w:val="30"/>
          <w:szCs w:val="30"/>
          <w:lang w:val="en-US" w:eastAsia="zh-CN"/>
        </w:rPr>
        <w:t>79.66</w:t>
      </w:r>
      <w:r>
        <w:rPr>
          <w:rFonts w:ascii="仿宋" w:hAnsi="仿宋" w:eastAsia="仿宋"/>
          <w:sz w:val="30"/>
          <w:szCs w:val="30"/>
        </w:rPr>
        <w:t>%。具体</w:t>
      </w:r>
      <w:r>
        <w:rPr>
          <w:rFonts w:hint="eastAsia" w:ascii="仿宋" w:hAnsi="仿宋" w:eastAsia="仿宋"/>
          <w:sz w:val="30"/>
          <w:szCs w:val="30"/>
        </w:rPr>
        <w:t>绩效</w:t>
      </w:r>
      <w:r>
        <w:rPr>
          <w:rFonts w:ascii="仿宋" w:hAnsi="仿宋" w:eastAsia="仿宋"/>
          <w:sz w:val="30"/>
          <w:szCs w:val="30"/>
        </w:rPr>
        <w:t>评价产出情况分析如下：</w:t>
      </w:r>
    </w:p>
    <w:p>
      <w:pPr>
        <w:spacing w:line="579" w:lineRule="exact"/>
        <w:ind w:firstLine="600" w:firstLineChars="200"/>
        <w:rPr>
          <w:rFonts w:hint="eastAsia" w:hAnsi="仿宋"/>
          <w:color w:val="auto"/>
          <w:sz w:val="30"/>
          <w:szCs w:val="30"/>
          <w:lang w:val="en-US" w:eastAsia="zh-CN"/>
        </w:rPr>
      </w:pPr>
      <w:r>
        <w:rPr>
          <w:rFonts w:hint="eastAsia" w:hAnsi="仿宋"/>
          <w:sz w:val="30"/>
          <w:szCs w:val="30"/>
          <w:lang w:val="en-US" w:eastAsia="zh-CN"/>
        </w:rPr>
        <w:t>1.产出数量方面。完成</w:t>
      </w:r>
      <w:r>
        <w:rPr>
          <w:rFonts w:hint="eastAsia" w:hAnsi="仿宋"/>
          <w:szCs w:val="30"/>
        </w:rPr>
        <w:t>糖料蔗核心基地建设面积</w:t>
      </w:r>
      <w:r>
        <w:rPr>
          <w:rFonts w:hint="eastAsia" w:hAnsi="仿宋"/>
          <w:szCs w:val="30"/>
          <w:lang w:val="en-US" w:eastAsia="zh-CN"/>
        </w:rPr>
        <w:t>33000亩</w:t>
      </w:r>
      <w:r>
        <w:rPr>
          <w:rFonts w:hint="eastAsia" w:hAnsi="仿宋"/>
          <w:sz w:val="30"/>
          <w:szCs w:val="30"/>
          <w:lang w:val="en-US" w:eastAsia="zh-CN"/>
        </w:rPr>
        <w:t>，完成了实施方案计划的建设面积。但</w:t>
      </w:r>
      <w:r>
        <w:rPr>
          <w:rFonts w:hint="eastAsia" w:hAnsi="仿宋"/>
          <w:color w:val="auto"/>
          <w:sz w:val="30"/>
          <w:szCs w:val="30"/>
          <w:lang w:val="en-US" w:eastAsia="zh-CN"/>
        </w:rPr>
        <w:t>部分工程未完全按照批复的项目实施方案完成，具体情况如下表：</w:t>
      </w:r>
    </w:p>
    <w:p>
      <w:pPr>
        <w:spacing w:before="157" w:beforeLines="50" w:after="157" w:afterLines="50" w:line="240" w:lineRule="auto"/>
        <w:ind w:firstLine="0" w:firstLineChars="0"/>
        <w:jc w:val="center"/>
        <w:rPr>
          <w:rFonts w:hint="eastAsia" w:ascii="黑体" w:hAnsi="黑体" w:eastAsia="黑体" w:cs="宋体"/>
          <w:bCs/>
          <w:sz w:val="24"/>
          <w:szCs w:val="24"/>
        </w:rPr>
      </w:pPr>
      <w:r>
        <w:rPr>
          <w:rFonts w:hint="eastAsia" w:ascii="黑体" w:hAnsi="黑体" w:eastAsia="黑体" w:cs="宋体"/>
          <w:bCs/>
          <w:sz w:val="24"/>
          <w:szCs w:val="24"/>
        </w:rPr>
        <w:t>表</w:t>
      </w:r>
      <w:r>
        <w:rPr>
          <w:rFonts w:hint="eastAsia" w:ascii="黑体" w:hAnsi="黑体" w:eastAsia="黑体" w:cs="宋体"/>
          <w:bCs/>
          <w:sz w:val="24"/>
          <w:szCs w:val="24"/>
          <w:lang w:val="en-US" w:eastAsia="zh-CN"/>
        </w:rPr>
        <w:t>5:</w:t>
      </w:r>
      <w:r>
        <w:rPr>
          <w:rFonts w:ascii="黑体" w:hAnsi="黑体" w:eastAsia="黑体" w:cs="宋体"/>
          <w:bCs/>
          <w:sz w:val="24"/>
          <w:szCs w:val="24"/>
        </w:rPr>
        <w:t xml:space="preserve"> </w:t>
      </w:r>
      <w:r>
        <w:rPr>
          <w:rFonts w:hint="eastAsia" w:ascii="黑体" w:hAnsi="黑体" w:eastAsia="黑体" w:cs="宋体"/>
          <w:bCs/>
          <w:sz w:val="24"/>
          <w:szCs w:val="24"/>
          <w:lang w:val="en-US" w:eastAsia="zh-CN"/>
        </w:rPr>
        <w:t>项目完成</w:t>
      </w:r>
      <w:r>
        <w:rPr>
          <w:rFonts w:hint="eastAsia" w:ascii="黑体" w:hAnsi="黑体" w:eastAsia="黑体" w:cs="宋体"/>
          <w:bCs/>
          <w:sz w:val="24"/>
          <w:szCs w:val="24"/>
        </w:rPr>
        <w:t>情况</w:t>
      </w:r>
      <w:r>
        <w:rPr>
          <w:rFonts w:hint="eastAsia" w:ascii="黑体" w:hAnsi="黑体" w:eastAsia="黑体" w:cs="宋体"/>
          <w:bCs/>
          <w:sz w:val="24"/>
          <w:szCs w:val="24"/>
          <w:lang w:val="en-US" w:eastAsia="zh-CN"/>
        </w:rPr>
        <w:t>对比</w:t>
      </w:r>
      <w:r>
        <w:rPr>
          <w:rFonts w:hint="eastAsia" w:ascii="黑体" w:hAnsi="黑体" w:eastAsia="黑体" w:cs="宋体"/>
          <w:bCs/>
          <w:sz w:val="24"/>
          <w:szCs w:val="24"/>
        </w:rPr>
        <w:t>表</w:t>
      </w:r>
    </w:p>
    <w:tbl>
      <w:tblPr>
        <w:tblStyle w:val="7"/>
        <w:tblW w:w="83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3072"/>
        <w:gridCol w:w="3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keepNext w:val="0"/>
              <w:keepLines w:val="0"/>
              <w:widowControl w:val="0"/>
              <w:suppressLineNumbers w:val="0"/>
              <w:adjustRightInd/>
              <w:snapToGrid/>
              <w:spacing w:before="157" w:beforeLines="50" w:after="157" w:afterLines="50"/>
              <w:jc w:val="center"/>
              <w:textAlignment w:val="auto"/>
              <w:rPr>
                <w:rFonts w:hint="eastAsia" w:ascii="仿宋" w:hAnsi="仿宋" w:eastAsia="仿宋" w:cs="仿宋"/>
                <w:b/>
                <w:bCs w:val="0"/>
                <w:i w:val="0"/>
                <w:kern w:val="30"/>
                <w:sz w:val="24"/>
                <w:szCs w:val="24"/>
                <w:u w:val="none"/>
                <w:lang w:val="en-US" w:eastAsia="zh-CN" w:bidi="ar-SA"/>
              </w:rPr>
            </w:pPr>
            <w:r>
              <w:rPr>
                <w:rFonts w:hint="eastAsia" w:ascii="仿宋" w:hAnsi="仿宋" w:eastAsia="仿宋" w:cs="仿宋"/>
                <w:b/>
                <w:bCs w:val="0"/>
                <w:i w:val="0"/>
                <w:kern w:val="30"/>
                <w:sz w:val="24"/>
                <w:szCs w:val="24"/>
                <w:u w:val="none"/>
                <w:lang w:val="en-US" w:eastAsia="zh-CN" w:bidi="ar"/>
              </w:rPr>
              <w:t>分部项目</w:t>
            </w:r>
          </w:p>
        </w:tc>
        <w:tc>
          <w:tcPr>
            <w:tcW w:w="3072" w:type="dxa"/>
          </w:tcPr>
          <w:p>
            <w:pPr>
              <w:keepNext w:val="0"/>
              <w:keepLines w:val="0"/>
              <w:widowControl w:val="0"/>
              <w:suppressLineNumbers w:val="0"/>
              <w:adjustRightInd/>
              <w:snapToGrid/>
              <w:spacing w:before="157" w:beforeLines="50" w:after="157" w:afterLines="50"/>
              <w:jc w:val="center"/>
              <w:textAlignment w:val="auto"/>
              <w:rPr>
                <w:rFonts w:hint="eastAsia" w:ascii="仿宋" w:hAnsi="仿宋" w:eastAsia="仿宋" w:cs="仿宋"/>
                <w:b/>
                <w:bCs w:val="0"/>
                <w:i w:val="0"/>
                <w:kern w:val="30"/>
                <w:sz w:val="24"/>
                <w:szCs w:val="24"/>
                <w:u w:val="none"/>
                <w:lang w:val="en-US" w:eastAsia="zh-CN" w:bidi="ar-SA"/>
              </w:rPr>
            </w:pPr>
            <w:r>
              <w:rPr>
                <w:rFonts w:hint="eastAsia" w:ascii="仿宋" w:hAnsi="仿宋" w:eastAsia="仿宋" w:cs="仿宋"/>
                <w:b/>
                <w:bCs w:val="0"/>
                <w:i w:val="0"/>
                <w:kern w:val="30"/>
                <w:sz w:val="24"/>
                <w:szCs w:val="24"/>
                <w:u w:val="none"/>
                <w:lang w:val="en-US" w:eastAsia="zh-CN" w:bidi="ar"/>
              </w:rPr>
              <w:t>项目批复量</w:t>
            </w:r>
          </w:p>
        </w:tc>
        <w:tc>
          <w:tcPr>
            <w:tcW w:w="3324" w:type="dxa"/>
          </w:tcPr>
          <w:p>
            <w:pPr>
              <w:keepNext w:val="0"/>
              <w:keepLines w:val="0"/>
              <w:widowControl w:val="0"/>
              <w:suppressLineNumbers w:val="0"/>
              <w:adjustRightInd/>
              <w:snapToGrid/>
              <w:spacing w:before="157" w:beforeLines="50" w:after="157" w:afterLines="50"/>
              <w:jc w:val="center"/>
              <w:textAlignment w:val="auto"/>
              <w:rPr>
                <w:rFonts w:hint="eastAsia" w:ascii="仿宋" w:hAnsi="仿宋" w:eastAsia="仿宋" w:cs="仿宋"/>
                <w:b/>
                <w:bCs w:val="0"/>
                <w:i w:val="0"/>
                <w:kern w:val="30"/>
                <w:sz w:val="24"/>
                <w:szCs w:val="24"/>
                <w:u w:val="none"/>
                <w:lang w:val="en-US" w:eastAsia="zh-CN" w:bidi="ar-SA"/>
              </w:rPr>
            </w:pPr>
            <w:r>
              <w:rPr>
                <w:rFonts w:hint="eastAsia" w:ascii="仿宋" w:hAnsi="仿宋" w:eastAsia="仿宋" w:cs="仿宋"/>
                <w:b/>
                <w:bCs w:val="0"/>
                <w:i w:val="0"/>
                <w:kern w:val="30"/>
                <w:sz w:val="24"/>
                <w:szCs w:val="24"/>
                <w:u w:val="none"/>
                <w:lang w:val="en-US" w:eastAsia="zh-CN" w:bidi="ar"/>
              </w:rPr>
              <w:t>实际完成量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951" w:type="dxa"/>
            <w:vAlign w:val="center"/>
          </w:tcPr>
          <w:p>
            <w:pPr>
              <w:keepNext w:val="0"/>
              <w:keepLines w:val="0"/>
              <w:widowControl/>
              <w:suppressLineNumbers w:val="0"/>
              <w:adjustRightInd w:val="0"/>
              <w:snapToGrid w:val="0"/>
              <w:spacing w:line="240" w:lineRule="exact"/>
              <w:jc w:val="center"/>
              <w:textAlignment w:val="center"/>
              <w:rPr>
                <w:rFonts w:hint="eastAsia" w:ascii="仿宋" w:hAnsi="仿宋" w:eastAsia="仿宋" w:cs="仿宋"/>
                <w:i w:val="0"/>
                <w:color w:val="000000"/>
                <w:kern w:val="30"/>
                <w:sz w:val="20"/>
                <w:szCs w:val="20"/>
                <w:u w:val="none"/>
                <w:lang w:val="en-US" w:eastAsia="zh-CN" w:bidi="ar-SA"/>
              </w:rPr>
            </w:pPr>
            <w:r>
              <w:rPr>
                <w:rFonts w:hint="eastAsia" w:ascii="仿宋" w:hAnsi="仿宋" w:eastAsia="仿宋" w:cs="仿宋"/>
                <w:i w:val="0"/>
                <w:color w:val="000000"/>
                <w:kern w:val="0"/>
                <w:sz w:val="20"/>
                <w:szCs w:val="20"/>
                <w:u w:val="none"/>
                <w:lang w:val="en-US" w:eastAsia="zh-CN" w:bidi="ar"/>
              </w:rPr>
              <w:t>灌溉与排水工程</w:t>
            </w:r>
          </w:p>
        </w:tc>
        <w:tc>
          <w:tcPr>
            <w:tcW w:w="3072" w:type="dxa"/>
            <w:vAlign w:val="center"/>
          </w:tcPr>
          <w:p>
            <w:pPr>
              <w:keepNext w:val="0"/>
              <w:keepLines w:val="0"/>
              <w:widowControl/>
              <w:suppressLineNumbers w:val="0"/>
              <w:adjustRightInd w:val="0"/>
              <w:snapToGrid w:val="0"/>
              <w:spacing w:line="240" w:lineRule="exact"/>
              <w:jc w:val="center"/>
              <w:textAlignment w:val="center"/>
              <w:rPr>
                <w:rFonts w:hint="eastAsia" w:ascii="仿宋" w:hAnsi="仿宋" w:eastAsia="仿宋" w:cs="仿宋"/>
                <w:i w:val="0"/>
                <w:color w:val="000000"/>
                <w:kern w:val="30"/>
                <w:sz w:val="22"/>
                <w:szCs w:val="22"/>
                <w:u w:val="none"/>
                <w:lang w:val="en-US" w:eastAsia="zh-CN" w:bidi="ar-SA"/>
              </w:rPr>
            </w:pPr>
            <w:r>
              <w:rPr>
                <w:rFonts w:hint="eastAsia" w:ascii="仿宋" w:hAnsi="仿宋" w:eastAsia="仿宋" w:cs="仿宋"/>
                <w:i w:val="0"/>
                <w:color w:val="000000"/>
                <w:kern w:val="0"/>
                <w:sz w:val="22"/>
                <w:szCs w:val="22"/>
                <w:u w:val="none"/>
                <w:lang w:val="en-US" w:eastAsia="zh-CN" w:bidi="ar"/>
              </w:rPr>
              <w:t>三面防渗衬砌灌排沟渠52条，全长28850m</w:t>
            </w:r>
          </w:p>
        </w:tc>
        <w:tc>
          <w:tcPr>
            <w:tcW w:w="3324" w:type="dxa"/>
            <w:vAlign w:val="center"/>
          </w:tcPr>
          <w:p>
            <w:pPr>
              <w:keepNext w:val="0"/>
              <w:keepLines w:val="0"/>
              <w:widowControl/>
              <w:suppressLineNumbers w:val="0"/>
              <w:adjustRightInd w:val="0"/>
              <w:snapToGrid w:val="0"/>
              <w:spacing w:line="240" w:lineRule="exact"/>
              <w:jc w:val="center"/>
              <w:textAlignment w:val="center"/>
              <w:rPr>
                <w:rFonts w:hint="eastAsia" w:ascii="仿宋" w:hAnsi="仿宋" w:eastAsia="仿宋" w:cs="仿宋"/>
                <w:i w:val="0"/>
                <w:color w:val="000000"/>
                <w:kern w:val="30"/>
                <w:sz w:val="22"/>
                <w:szCs w:val="22"/>
                <w:u w:val="none"/>
                <w:lang w:val="en-US" w:eastAsia="zh-CN" w:bidi="ar-SA"/>
              </w:rPr>
            </w:pPr>
            <w:r>
              <w:rPr>
                <w:rFonts w:hint="eastAsia" w:ascii="仿宋" w:hAnsi="仿宋" w:eastAsia="仿宋" w:cs="仿宋"/>
                <w:i w:val="0"/>
                <w:color w:val="000000"/>
                <w:kern w:val="0"/>
                <w:sz w:val="22"/>
                <w:szCs w:val="22"/>
                <w:u w:val="none"/>
                <w:lang w:val="en-US" w:eastAsia="zh-CN" w:bidi="ar"/>
              </w:rPr>
              <w:t>完成灌溉与排水工程48条，全长26210.2m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atLeast"/>
        </w:trPr>
        <w:tc>
          <w:tcPr>
            <w:tcW w:w="1951" w:type="dxa"/>
            <w:vAlign w:val="center"/>
          </w:tcPr>
          <w:p>
            <w:pPr>
              <w:keepNext w:val="0"/>
              <w:keepLines w:val="0"/>
              <w:widowControl/>
              <w:suppressLineNumbers w:val="0"/>
              <w:adjustRightInd w:val="0"/>
              <w:snapToGrid w:val="0"/>
              <w:jc w:val="center"/>
              <w:textAlignment w:val="center"/>
              <w:rPr>
                <w:rFonts w:hint="eastAsia" w:ascii="仿宋" w:hAnsi="仿宋" w:eastAsia="仿宋" w:cs="仿宋"/>
                <w:i w:val="0"/>
                <w:color w:val="000000"/>
                <w:kern w:val="30"/>
                <w:sz w:val="20"/>
                <w:szCs w:val="20"/>
                <w:u w:val="none"/>
                <w:lang w:val="en-US" w:eastAsia="zh-CN" w:bidi="ar-SA"/>
              </w:rPr>
            </w:pPr>
            <w:r>
              <w:rPr>
                <w:rFonts w:hint="eastAsia" w:ascii="仿宋" w:hAnsi="仿宋" w:eastAsia="仿宋" w:cs="仿宋"/>
                <w:i w:val="0"/>
                <w:color w:val="000000"/>
                <w:kern w:val="0"/>
                <w:sz w:val="20"/>
                <w:szCs w:val="20"/>
                <w:u w:val="none"/>
                <w:lang w:val="en-US" w:eastAsia="zh-CN" w:bidi="ar"/>
              </w:rPr>
              <w:t>田间道路工程</w:t>
            </w:r>
          </w:p>
        </w:tc>
        <w:tc>
          <w:tcPr>
            <w:tcW w:w="3072" w:type="dxa"/>
            <w:vAlign w:val="center"/>
          </w:tcPr>
          <w:p>
            <w:pPr>
              <w:keepNext w:val="0"/>
              <w:keepLines w:val="0"/>
              <w:widowControl/>
              <w:suppressLineNumbers w:val="0"/>
              <w:adjustRightInd w:val="0"/>
              <w:snapToGrid w:val="0"/>
              <w:jc w:val="center"/>
              <w:textAlignment w:val="center"/>
              <w:rPr>
                <w:rFonts w:hint="eastAsia" w:ascii="仿宋" w:hAnsi="仿宋" w:eastAsia="仿宋" w:cs="仿宋"/>
                <w:i w:val="0"/>
                <w:color w:val="000000"/>
                <w:kern w:val="30"/>
                <w:sz w:val="20"/>
                <w:szCs w:val="20"/>
                <w:u w:val="none"/>
                <w:lang w:val="en-US" w:eastAsia="zh-CN" w:bidi="ar-SA"/>
              </w:rPr>
            </w:pPr>
            <w:r>
              <w:rPr>
                <w:rFonts w:hint="eastAsia" w:ascii="仿宋" w:hAnsi="仿宋" w:eastAsia="仿宋" w:cs="仿宋"/>
                <w:i w:val="0"/>
                <w:color w:val="000000"/>
                <w:kern w:val="0"/>
                <w:sz w:val="20"/>
                <w:szCs w:val="20"/>
                <w:u w:val="none"/>
                <w:lang w:val="en-US" w:eastAsia="zh-CN" w:bidi="ar"/>
              </w:rPr>
              <w:t>新修建田间机耕道27条，全长16896m</w:t>
            </w:r>
          </w:p>
        </w:tc>
        <w:tc>
          <w:tcPr>
            <w:tcW w:w="3324" w:type="dxa"/>
            <w:vAlign w:val="center"/>
          </w:tcPr>
          <w:p>
            <w:pPr>
              <w:keepNext w:val="0"/>
              <w:keepLines w:val="0"/>
              <w:widowControl/>
              <w:suppressLineNumbers w:val="0"/>
              <w:adjustRightInd w:val="0"/>
              <w:snapToGrid w:val="0"/>
              <w:jc w:val="center"/>
              <w:textAlignment w:val="center"/>
              <w:rPr>
                <w:rFonts w:hint="eastAsia" w:ascii="仿宋" w:hAnsi="仿宋" w:eastAsia="仿宋" w:cs="仿宋"/>
                <w:i w:val="0"/>
                <w:color w:val="000000"/>
                <w:kern w:val="30"/>
                <w:sz w:val="20"/>
                <w:szCs w:val="20"/>
                <w:u w:val="none"/>
                <w:lang w:val="en-US" w:eastAsia="zh-CN" w:bidi="ar-SA"/>
              </w:rPr>
            </w:pPr>
            <w:r>
              <w:rPr>
                <w:rFonts w:hint="eastAsia" w:ascii="仿宋" w:hAnsi="仿宋" w:eastAsia="仿宋" w:cs="仿宋"/>
                <w:i w:val="0"/>
                <w:color w:val="000000"/>
                <w:kern w:val="0"/>
                <w:sz w:val="20"/>
                <w:szCs w:val="20"/>
                <w:u w:val="none"/>
                <w:lang w:val="en-US" w:eastAsia="zh-CN" w:bidi="ar"/>
              </w:rPr>
              <w:t>完成田间道路工程29条，全长16877m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6" w:hRule="atLeast"/>
        </w:trPr>
        <w:tc>
          <w:tcPr>
            <w:tcW w:w="1951" w:type="dxa"/>
            <w:vAlign w:val="center"/>
          </w:tcPr>
          <w:p>
            <w:pPr>
              <w:keepNext w:val="0"/>
              <w:keepLines w:val="0"/>
              <w:widowControl/>
              <w:suppressLineNumbers w:val="0"/>
              <w:adjustRightInd w:val="0"/>
              <w:snapToGrid w:val="0"/>
              <w:jc w:val="center"/>
              <w:textAlignment w:val="center"/>
              <w:rPr>
                <w:rFonts w:hint="eastAsia" w:ascii="仿宋" w:hAnsi="仿宋" w:eastAsia="仿宋" w:cs="仿宋"/>
                <w:i w:val="0"/>
                <w:color w:val="000000"/>
                <w:kern w:val="30"/>
                <w:sz w:val="20"/>
                <w:szCs w:val="20"/>
                <w:u w:val="none"/>
                <w:lang w:val="en-US" w:eastAsia="zh-CN" w:bidi="ar-SA"/>
              </w:rPr>
            </w:pPr>
            <w:r>
              <w:rPr>
                <w:rFonts w:hint="eastAsia" w:ascii="仿宋" w:hAnsi="仿宋" w:eastAsia="仿宋" w:cs="仿宋"/>
                <w:i w:val="0"/>
                <w:color w:val="000000"/>
                <w:kern w:val="0"/>
                <w:sz w:val="20"/>
                <w:szCs w:val="20"/>
                <w:u w:val="none"/>
                <w:lang w:val="en-US" w:eastAsia="zh-CN" w:bidi="ar"/>
              </w:rPr>
              <w:t>交叉建筑物</w:t>
            </w:r>
          </w:p>
        </w:tc>
        <w:tc>
          <w:tcPr>
            <w:tcW w:w="3072" w:type="dxa"/>
            <w:vAlign w:val="center"/>
          </w:tcPr>
          <w:p>
            <w:pPr>
              <w:keepNext w:val="0"/>
              <w:keepLines w:val="0"/>
              <w:widowControl/>
              <w:suppressLineNumbers w:val="0"/>
              <w:adjustRightInd w:val="0"/>
              <w:snapToGrid w:val="0"/>
              <w:jc w:val="center"/>
              <w:textAlignment w:val="center"/>
              <w:rPr>
                <w:rFonts w:hint="eastAsia" w:ascii="仿宋" w:hAnsi="仿宋" w:eastAsia="仿宋" w:cs="仿宋"/>
                <w:i w:val="0"/>
                <w:color w:val="000000"/>
                <w:kern w:val="30"/>
                <w:sz w:val="20"/>
                <w:szCs w:val="20"/>
                <w:u w:val="none"/>
                <w:lang w:val="en-US" w:eastAsia="zh-CN" w:bidi="ar-SA"/>
              </w:rPr>
            </w:pPr>
            <w:r>
              <w:rPr>
                <w:rFonts w:hint="eastAsia" w:ascii="仿宋" w:hAnsi="仿宋" w:eastAsia="仿宋" w:cs="仿宋"/>
                <w:i w:val="0"/>
                <w:color w:val="000000"/>
                <w:kern w:val="0"/>
                <w:sz w:val="20"/>
                <w:szCs w:val="20"/>
                <w:u w:val="none"/>
                <w:lang w:val="en-US" w:eastAsia="zh-CN" w:bidi="ar"/>
              </w:rPr>
              <w:t>新建取水坝1座，新建背水槽1座，新建挡土墙470m，新建农桥6座，新建农机涵洞56座，新建预制混凝土涵洞59座，新建下田道237座，泄水池2座</w:t>
            </w:r>
          </w:p>
        </w:tc>
        <w:tc>
          <w:tcPr>
            <w:tcW w:w="3324" w:type="dxa"/>
            <w:vAlign w:val="center"/>
          </w:tcPr>
          <w:p>
            <w:pPr>
              <w:keepNext w:val="0"/>
              <w:keepLines w:val="0"/>
              <w:widowControl/>
              <w:suppressLineNumbers w:val="0"/>
              <w:adjustRightInd w:val="0"/>
              <w:snapToGrid w:val="0"/>
              <w:jc w:val="center"/>
              <w:textAlignment w:val="center"/>
              <w:rPr>
                <w:rFonts w:hint="eastAsia" w:ascii="仿宋" w:hAnsi="仿宋" w:eastAsia="仿宋" w:cs="仿宋"/>
                <w:i w:val="0"/>
                <w:color w:val="000000"/>
                <w:kern w:val="30"/>
                <w:sz w:val="20"/>
                <w:szCs w:val="20"/>
                <w:u w:val="none"/>
                <w:lang w:val="en-US" w:eastAsia="zh-CN" w:bidi="ar-SA"/>
              </w:rPr>
            </w:pPr>
            <w:r>
              <w:rPr>
                <w:rFonts w:hint="eastAsia" w:ascii="仿宋" w:hAnsi="仿宋" w:eastAsia="仿宋" w:cs="仿宋"/>
                <w:i w:val="0"/>
                <w:color w:val="000000"/>
                <w:kern w:val="0"/>
                <w:sz w:val="20"/>
                <w:szCs w:val="20"/>
                <w:u w:val="none"/>
                <w:lang w:val="en-US" w:eastAsia="zh-CN" w:bidi="ar"/>
              </w:rPr>
              <w:t>取水坝3座，取水头1座，挡土墙85.5m，农机涵洞70座，下田道55座，农桥2座，预制混凝土涵洞71座，泄水池1座</w:t>
            </w:r>
          </w:p>
        </w:tc>
      </w:tr>
    </w:tbl>
    <w:p>
      <w:pPr>
        <w:spacing w:before="0" w:beforeLines="0" w:after="0" w:afterLines="0" w:line="579" w:lineRule="exact"/>
        <w:ind w:firstLine="600" w:firstLineChars="200"/>
        <w:rPr>
          <w:rFonts w:hint="eastAsia" w:hAnsi="仿宋"/>
          <w:szCs w:val="30"/>
          <w:lang w:val="en-US" w:eastAsia="zh-CN"/>
        </w:rPr>
      </w:pPr>
      <w:r>
        <w:rPr>
          <w:rFonts w:hint="eastAsia" w:hAnsi="仿宋"/>
          <w:szCs w:val="30"/>
          <w:lang w:val="en-US" w:eastAsia="zh-CN"/>
        </w:rPr>
        <w:t>2.产出时效方面。项目完成及时率高，一至六标段合同约定完成时间均为2020年5月18日，合同工期150个日历天，各标段均在2020年5月18日之前完工，完工及时率达100%。</w:t>
      </w:r>
    </w:p>
    <w:p>
      <w:pPr>
        <w:spacing w:beforeLines="0" w:afterLines="0" w:line="579" w:lineRule="exact"/>
        <w:ind w:firstLine="600" w:firstLineChars="200"/>
        <w:rPr>
          <w:rFonts w:hint="default" w:hAnsi="仿宋"/>
          <w:sz w:val="30"/>
          <w:szCs w:val="30"/>
          <w:lang w:val="en-US" w:eastAsia="zh-CN"/>
        </w:rPr>
      </w:pPr>
      <w:r>
        <w:rPr>
          <w:rFonts w:hint="eastAsia" w:hAnsi="仿宋"/>
          <w:szCs w:val="30"/>
          <w:lang w:val="en-US" w:eastAsia="zh-CN"/>
        </w:rPr>
        <w:t>3.</w:t>
      </w:r>
      <w:r>
        <w:rPr>
          <w:rFonts w:hint="eastAsia" w:hAnsi="仿宋"/>
          <w:sz w:val="30"/>
          <w:szCs w:val="30"/>
          <w:lang w:val="en-US" w:eastAsia="zh-CN"/>
        </w:rPr>
        <w:t>产出成本方面。项目成本节约率高，根据</w:t>
      </w:r>
      <w:r>
        <w:rPr>
          <w:rFonts w:hint="eastAsia" w:hAnsi="仿宋"/>
          <w:szCs w:val="30"/>
        </w:rPr>
        <w:t>《德宏州农业农村局 德宏州发展和改革委员会关于盈江糖料蔗核心基地建设项目实施方案的批复》（德农复字〔2019〕50号）</w:t>
      </w:r>
      <w:r>
        <w:rPr>
          <w:rFonts w:hint="eastAsia" w:hAnsi="仿宋"/>
          <w:szCs w:val="30"/>
          <w:lang w:eastAsia="zh-CN"/>
        </w:rPr>
        <w:t>，</w:t>
      </w:r>
      <w:r>
        <w:rPr>
          <w:rFonts w:hint="eastAsia" w:hAnsi="仿宋"/>
          <w:szCs w:val="30"/>
          <w:lang w:val="en-US" w:eastAsia="zh-CN"/>
        </w:rPr>
        <w:t>批准建筑工程概算投资2,177.47万元，其中建筑工程费1,982.00万元，独立费用152.78万元，基本预备费42.69万元；项目实际发生成本1,833.70万元,其中建筑工程费1,789.70万元，独立费用44.00万元，基本预备费0.00万元,项目合计节约343.77万元。</w:t>
      </w:r>
    </w:p>
    <w:p>
      <w:pPr>
        <w:spacing w:line="579" w:lineRule="exact"/>
        <w:ind w:firstLine="600" w:firstLineChars="200"/>
        <w:rPr>
          <w:rFonts w:hint="default" w:ascii="仿宋" w:hAnsi="仿宋" w:eastAsia="仿宋"/>
          <w:color w:val="auto"/>
          <w:sz w:val="30"/>
          <w:szCs w:val="30"/>
          <w:lang w:val="en-US" w:eastAsia="zh-CN"/>
        </w:rPr>
      </w:pPr>
      <w:r>
        <w:rPr>
          <w:rFonts w:hint="eastAsia" w:hAnsi="仿宋"/>
          <w:color w:val="auto"/>
          <w:sz w:val="30"/>
          <w:szCs w:val="30"/>
          <w:lang w:val="en-US" w:eastAsia="zh-CN"/>
        </w:rPr>
        <w:t>4</w:t>
      </w:r>
      <w:r>
        <w:rPr>
          <w:rFonts w:ascii="仿宋" w:hAnsi="仿宋" w:eastAsia="仿宋"/>
          <w:color w:val="auto"/>
          <w:sz w:val="30"/>
          <w:szCs w:val="30"/>
        </w:rPr>
        <w:t>.</w:t>
      </w:r>
      <w:r>
        <w:rPr>
          <w:rFonts w:hint="eastAsia" w:ascii="仿宋" w:hAnsi="仿宋" w:eastAsia="仿宋"/>
          <w:color w:val="auto"/>
          <w:sz w:val="30"/>
          <w:szCs w:val="30"/>
        </w:rPr>
        <w:t>产出质量方面。</w:t>
      </w:r>
      <w:r>
        <w:rPr>
          <w:rFonts w:hint="eastAsia" w:hAnsi="仿宋"/>
          <w:color w:val="auto"/>
          <w:sz w:val="30"/>
          <w:szCs w:val="30"/>
          <w:lang w:val="en-US" w:eastAsia="zh-CN"/>
        </w:rPr>
        <w:t>虽然截至被评价日项目暂未履行验收程序，但是根据单元工程质量评定资料，单元工程质量评定均为合格。根据现场走访和调查存在3份问卷反映部分工程出现轻微质量问题。</w:t>
      </w:r>
    </w:p>
    <w:p>
      <w:pPr>
        <w:spacing w:line="570" w:lineRule="exact"/>
        <w:ind w:firstLine="600" w:firstLineChars="200"/>
        <w:rPr>
          <w:rFonts w:hint="eastAsia" w:ascii="楷体" w:hAnsi="楷体" w:eastAsia="楷体"/>
          <w:sz w:val="30"/>
          <w:szCs w:val="30"/>
        </w:rPr>
      </w:pPr>
      <w:r>
        <w:rPr>
          <w:rFonts w:hint="eastAsia" w:ascii="楷体" w:hAnsi="楷体" w:eastAsia="楷体"/>
          <w:sz w:val="30"/>
          <w:szCs w:val="30"/>
        </w:rPr>
        <w:t>（四）效果情况分析</w:t>
      </w:r>
    </w:p>
    <w:p>
      <w:pPr>
        <w:spacing w:line="579" w:lineRule="exact"/>
        <w:ind w:firstLine="600" w:firstLineChars="200"/>
        <w:rPr>
          <w:rFonts w:ascii="仿宋" w:hAnsi="仿宋" w:eastAsia="仿宋"/>
          <w:sz w:val="30"/>
          <w:szCs w:val="30"/>
        </w:rPr>
      </w:pPr>
      <w:r>
        <w:rPr>
          <w:rFonts w:hint="eastAsia" w:ascii="仿宋" w:hAnsi="仿宋" w:eastAsia="仿宋"/>
          <w:sz w:val="30"/>
          <w:szCs w:val="30"/>
        </w:rPr>
        <w:t>效果情况包括</w:t>
      </w:r>
      <w:r>
        <w:rPr>
          <w:rFonts w:hint="eastAsia" w:hAnsi="仿宋"/>
          <w:sz w:val="30"/>
          <w:szCs w:val="30"/>
          <w:lang w:val="en-US" w:eastAsia="zh-CN"/>
        </w:rPr>
        <w:t>经济效益、</w:t>
      </w:r>
      <w:r>
        <w:rPr>
          <w:rFonts w:hint="eastAsia" w:ascii="仿宋" w:hAnsi="仿宋" w:eastAsia="仿宋"/>
          <w:sz w:val="30"/>
          <w:szCs w:val="30"/>
        </w:rPr>
        <w:t>社会效益、生态效益、可持续性影响和满意度</w:t>
      </w:r>
      <w:r>
        <w:rPr>
          <w:rFonts w:hint="eastAsia" w:hAnsi="仿宋"/>
          <w:sz w:val="30"/>
          <w:szCs w:val="30"/>
          <w:lang w:val="en-US" w:eastAsia="zh-CN"/>
        </w:rPr>
        <w:t>五</w:t>
      </w:r>
      <w:r>
        <w:rPr>
          <w:rFonts w:hint="eastAsia" w:ascii="仿宋" w:hAnsi="仿宋" w:eastAsia="仿宋"/>
          <w:sz w:val="30"/>
          <w:szCs w:val="30"/>
        </w:rPr>
        <w:t>方面，满分为</w:t>
      </w:r>
      <w:r>
        <w:rPr>
          <w:rFonts w:ascii="仿宋" w:hAnsi="仿宋" w:eastAsia="仿宋"/>
          <w:sz w:val="30"/>
          <w:szCs w:val="30"/>
        </w:rPr>
        <w:t>30分，得分</w:t>
      </w:r>
      <w:r>
        <w:rPr>
          <w:rFonts w:hint="eastAsia" w:hAnsi="仿宋"/>
          <w:sz w:val="30"/>
          <w:szCs w:val="30"/>
          <w:lang w:val="en-US" w:eastAsia="zh-CN"/>
        </w:rPr>
        <w:t>25.58</w:t>
      </w:r>
      <w:r>
        <w:rPr>
          <w:rFonts w:ascii="仿宋" w:hAnsi="仿宋" w:eastAsia="仿宋"/>
          <w:sz w:val="30"/>
          <w:szCs w:val="30"/>
        </w:rPr>
        <w:t>分，得分率</w:t>
      </w:r>
      <w:r>
        <w:rPr>
          <w:rFonts w:hint="eastAsia" w:hAnsi="仿宋"/>
          <w:sz w:val="30"/>
          <w:szCs w:val="30"/>
          <w:lang w:val="en-US" w:eastAsia="zh-CN"/>
        </w:rPr>
        <w:t>85.27</w:t>
      </w:r>
      <w:r>
        <w:rPr>
          <w:rFonts w:ascii="仿宋" w:hAnsi="仿宋" w:eastAsia="仿宋"/>
          <w:sz w:val="30"/>
          <w:szCs w:val="30"/>
        </w:rPr>
        <w:t>%。具体</w:t>
      </w:r>
      <w:r>
        <w:rPr>
          <w:rFonts w:hint="eastAsia" w:ascii="仿宋" w:hAnsi="仿宋" w:eastAsia="仿宋"/>
          <w:sz w:val="30"/>
          <w:szCs w:val="30"/>
        </w:rPr>
        <w:t>绩效</w:t>
      </w:r>
      <w:r>
        <w:rPr>
          <w:rFonts w:ascii="仿宋" w:hAnsi="仿宋" w:eastAsia="仿宋"/>
          <w:sz w:val="30"/>
          <w:szCs w:val="30"/>
        </w:rPr>
        <w:t>评价效果情况分析如下：</w:t>
      </w:r>
    </w:p>
    <w:p>
      <w:pPr>
        <w:spacing w:line="579" w:lineRule="exact"/>
        <w:ind w:firstLine="600" w:firstLineChars="200"/>
        <w:rPr>
          <w:rFonts w:hint="eastAsia" w:hAnsi="仿宋" w:eastAsia="仿宋"/>
          <w:sz w:val="30"/>
          <w:szCs w:val="30"/>
          <w:lang w:val="en-US" w:eastAsia="zh-CN"/>
        </w:rPr>
      </w:pPr>
      <w:r>
        <w:rPr>
          <w:rFonts w:hint="eastAsia" w:hAnsi="仿宋"/>
          <w:sz w:val="30"/>
          <w:szCs w:val="30"/>
          <w:lang w:val="en-US" w:eastAsia="zh-CN"/>
        </w:rPr>
        <w:t>1.经济效益方面。通过项目实施，一定程度上对项目区甘蔗生产产量和农户农业生产收入的起到了带动作用，极大程度上的节约了项目区甘蔗种植的成本。</w:t>
      </w:r>
      <w:r>
        <w:rPr>
          <w:rFonts w:hint="eastAsia" w:hAnsi="仿宋"/>
          <w:szCs w:val="30"/>
        </w:rPr>
        <w:t>通过项目的实施，</w:t>
      </w:r>
      <w:r>
        <w:rPr>
          <w:rFonts w:hint="eastAsia" w:hAnsi="仿宋"/>
          <w:sz w:val="30"/>
          <w:szCs w:val="30"/>
          <w:lang w:val="en-US" w:eastAsia="zh-CN"/>
        </w:rPr>
        <w:t>盈江糖料蔗核心基地建设项目测产验收组于2020年11月4日—11月5日对糖料蔗核心基地建设项目区及非项目区进行田间测产，项目区平均亩产量为7.51吨，</w:t>
      </w:r>
      <w:r>
        <w:rPr>
          <w:rFonts w:hint="eastAsia" w:hAnsi="仿宋"/>
          <w:szCs w:val="30"/>
        </w:rPr>
        <w:t>甘蔗总产量达247,830.00吨</w:t>
      </w:r>
      <w:r>
        <w:rPr>
          <w:rFonts w:hint="eastAsia" w:hAnsi="仿宋"/>
          <w:szCs w:val="30"/>
          <w:lang w:eastAsia="zh-CN"/>
        </w:rPr>
        <w:t>。</w:t>
      </w:r>
    </w:p>
    <w:p>
      <w:pPr>
        <w:spacing w:line="579" w:lineRule="exact"/>
        <w:ind w:firstLine="600" w:firstLineChars="200"/>
        <w:rPr>
          <w:rFonts w:hint="eastAsia" w:ascii="仿宋" w:hAnsi="仿宋" w:eastAsia="仿宋"/>
          <w:color w:val="auto"/>
          <w:sz w:val="30"/>
          <w:szCs w:val="30"/>
          <w:lang w:val="en-US" w:eastAsia="zh-CN"/>
        </w:rPr>
      </w:pPr>
      <w:r>
        <w:rPr>
          <w:rFonts w:hint="eastAsia" w:hAnsi="仿宋"/>
          <w:color w:val="auto"/>
          <w:sz w:val="30"/>
          <w:szCs w:val="30"/>
          <w:lang w:val="en-US" w:eastAsia="zh-CN"/>
        </w:rPr>
        <w:t>2</w:t>
      </w:r>
      <w:r>
        <w:rPr>
          <w:rFonts w:ascii="仿宋" w:hAnsi="仿宋" w:eastAsia="仿宋"/>
          <w:color w:val="auto"/>
          <w:sz w:val="30"/>
          <w:szCs w:val="30"/>
        </w:rPr>
        <w:t>.</w:t>
      </w:r>
      <w:r>
        <w:rPr>
          <w:rFonts w:hint="eastAsia" w:ascii="仿宋" w:hAnsi="仿宋" w:eastAsia="仿宋"/>
          <w:color w:val="auto"/>
          <w:sz w:val="30"/>
          <w:szCs w:val="30"/>
        </w:rPr>
        <w:t>社会效益</w:t>
      </w:r>
      <w:r>
        <w:rPr>
          <w:rFonts w:ascii="仿宋" w:hAnsi="仿宋" w:eastAsia="仿宋"/>
          <w:color w:val="auto"/>
          <w:sz w:val="30"/>
          <w:szCs w:val="30"/>
        </w:rPr>
        <w:t>方面。</w:t>
      </w:r>
      <w:r>
        <w:rPr>
          <w:rFonts w:hint="eastAsia" w:ascii="仿宋" w:hAnsi="仿宋" w:eastAsia="仿宋"/>
          <w:color w:val="auto"/>
          <w:sz w:val="30"/>
          <w:szCs w:val="30"/>
        </w:rPr>
        <w:t>通过项目的实施，项目区农业基础设施得到统一规划，提高了农田灌溉率，为机械化耕作运输提供了必要条件。</w:t>
      </w:r>
      <w:r>
        <w:rPr>
          <w:rFonts w:hint="eastAsia" w:hAnsi="仿宋"/>
          <w:color w:val="auto"/>
          <w:sz w:val="30"/>
          <w:szCs w:val="30"/>
          <w:lang w:val="en-US" w:eastAsia="zh-CN"/>
        </w:rPr>
        <w:t>极大的改善了</w:t>
      </w:r>
      <w:r>
        <w:rPr>
          <w:rFonts w:hint="eastAsia" w:ascii="仿宋" w:hAnsi="仿宋" w:eastAsia="仿宋"/>
          <w:color w:val="auto"/>
          <w:sz w:val="30"/>
          <w:szCs w:val="30"/>
        </w:rPr>
        <w:t>项目区生产生活便捷性</w:t>
      </w:r>
      <w:r>
        <w:rPr>
          <w:rFonts w:hint="eastAsia" w:hAnsi="仿宋"/>
          <w:color w:val="auto"/>
          <w:sz w:val="30"/>
          <w:szCs w:val="30"/>
          <w:lang w:eastAsia="zh-CN"/>
        </w:rPr>
        <w:t>、</w:t>
      </w:r>
      <w:r>
        <w:rPr>
          <w:rFonts w:hint="eastAsia" w:ascii="仿宋" w:hAnsi="仿宋" w:eastAsia="仿宋"/>
          <w:color w:val="auto"/>
          <w:sz w:val="30"/>
          <w:szCs w:val="30"/>
        </w:rPr>
        <w:t>农业灌溉条件</w:t>
      </w:r>
      <w:r>
        <w:rPr>
          <w:rFonts w:hint="eastAsia" w:hAnsi="仿宋"/>
          <w:color w:val="auto"/>
          <w:sz w:val="30"/>
          <w:szCs w:val="30"/>
          <w:lang w:val="en-US" w:eastAsia="zh-CN"/>
        </w:rPr>
        <w:t>和</w:t>
      </w:r>
      <w:r>
        <w:rPr>
          <w:rFonts w:hint="eastAsia" w:ascii="仿宋" w:hAnsi="仿宋" w:eastAsia="仿宋"/>
          <w:color w:val="auto"/>
          <w:sz w:val="30"/>
          <w:szCs w:val="30"/>
        </w:rPr>
        <w:t>水资源利用</w:t>
      </w:r>
      <w:r>
        <w:rPr>
          <w:rFonts w:hint="eastAsia" w:hAnsi="仿宋"/>
          <w:color w:val="auto"/>
          <w:sz w:val="30"/>
          <w:szCs w:val="30"/>
          <w:lang w:val="en-US" w:eastAsia="zh-CN"/>
        </w:rPr>
        <w:t>率。</w:t>
      </w:r>
    </w:p>
    <w:p>
      <w:pPr>
        <w:spacing w:line="579" w:lineRule="exact"/>
        <w:ind w:firstLine="600" w:firstLineChars="200"/>
        <w:rPr>
          <w:rFonts w:hint="eastAsia" w:ascii="仿宋" w:hAnsi="仿宋" w:eastAsia="仿宋"/>
          <w:color w:val="auto"/>
          <w:sz w:val="30"/>
          <w:szCs w:val="30"/>
        </w:rPr>
      </w:pPr>
      <w:r>
        <w:rPr>
          <w:rFonts w:hint="eastAsia" w:hAnsi="仿宋"/>
          <w:color w:val="auto"/>
          <w:sz w:val="30"/>
          <w:szCs w:val="30"/>
          <w:lang w:val="en-US" w:eastAsia="zh-CN"/>
        </w:rPr>
        <w:t>3</w:t>
      </w:r>
      <w:r>
        <w:rPr>
          <w:rFonts w:ascii="仿宋" w:hAnsi="仿宋" w:eastAsia="仿宋"/>
          <w:color w:val="auto"/>
          <w:sz w:val="30"/>
          <w:szCs w:val="30"/>
        </w:rPr>
        <w:t>.</w:t>
      </w:r>
      <w:r>
        <w:rPr>
          <w:rFonts w:hint="eastAsia" w:ascii="仿宋" w:hAnsi="仿宋" w:eastAsia="仿宋"/>
          <w:color w:val="auto"/>
          <w:sz w:val="30"/>
          <w:szCs w:val="30"/>
        </w:rPr>
        <w:t>生态效益</w:t>
      </w:r>
      <w:r>
        <w:rPr>
          <w:rFonts w:ascii="仿宋" w:hAnsi="仿宋" w:eastAsia="仿宋"/>
          <w:color w:val="auto"/>
          <w:sz w:val="30"/>
          <w:szCs w:val="30"/>
        </w:rPr>
        <w:t>方面。</w:t>
      </w:r>
      <w:r>
        <w:rPr>
          <w:rFonts w:hint="eastAsia" w:ascii="仿宋" w:hAnsi="仿宋" w:eastAsia="仿宋"/>
          <w:color w:val="auto"/>
          <w:sz w:val="30"/>
          <w:szCs w:val="30"/>
        </w:rPr>
        <w:t>项目实施后，项目区内的农田基础设施条件得到明显改善</w:t>
      </w:r>
      <w:r>
        <w:rPr>
          <w:rFonts w:hint="eastAsia" w:hAnsi="仿宋"/>
          <w:color w:val="auto"/>
          <w:sz w:val="30"/>
          <w:szCs w:val="30"/>
          <w:lang w:eastAsia="zh-CN"/>
        </w:rPr>
        <w:t>，</w:t>
      </w:r>
      <w:r>
        <w:rPr>
          <w:rFonts w:hint="eastAsia" w:ascii="仿宋" w:hAnsi="仿宋" w:eastAsia="仿宋"/>
          <w:color w:val="auto"/>
          <w:sz w:val="30"/>
          <w:szCs w:val="30"/>
        </w:rPr>
        <w:t>减少了地表径流带来的水土流失，同时也减少了水质污染和土壤污染，进而有效地保护和改善了农业生态环境，美化田间生态景观。</w:t>
      </w:r>
    </w:p>
    <w:p>
      <w:pPr>
        <w:spacing w:line="579" w:lineRule="exact"/>
        <w:ind w:firstLine="600" w:firstLineChars="200"/>
        <w:rPr>
          <w:rFonts w:hint="eastAsia" w:hAnsi="仿宋"/>
          <w:color w:val="auto"/>
          <w:sz w:val="30"/>
          <w:szCs w:val="30"/>
          <w:lang w:val="en-US" w:eastAsia="zh-CN"/>
        </w:rPr>
      </w:pPr>
      <w:r>
        <w:rPr>
          <w:rFonts w:hint="eastAsia" w:hAnsi="仿宋"/>
          <w:color w:val="auto"/>
          <w:sz w:val="30"/>
          <w:szCs w:val="30"/>
          <w:lang w:val="en-US" w:eastAsia="zh-CN"/>
        </w:rPr>
        <w:t>4</w:t>
      </w:r>
      <w:r>
        <w:rPr>
          <w:rFonts w:ascii="仿宋" w:hAnsi="仿宋" w:eastAsia="仿宋"/>
          <w:color w:val="auto"/>
          <w:sz w:val="30"/>
          <w:szCs w:val="30"/>
        </w:rPr>
        <w:t>.可持续</w:t>
      </w:r>
      <w:r>
        <w:rPr>
          <w:rFonts w:hint="eastAsia" w:hAnsi="仿宋"/>
          <w:color w:val="auto"/>
          <w:sz w:val="30"/>
          <w:szCs w:val="30"/>
          <w:lang w:val="en-US" w:eastAsia="zh-CN"/>
        </w:rPr>
        <w:t>性影响</w:t>
      </w:r>
      <w:r>
        <w:rPr>
          <w:rFonts w:ascii="仿宋" w:hAnsi="仿宋" w:eastAsia="仿宋"/>
          <w:color w:val="auto"/>
          <w:sz w:val="30"/>
          <w:szCs w:val="30"/>
        </w:rPr>
        <w:t>方</w:t>
      </w:r>
      <w:r>
        <w:rPr>
          <w:rFonts w:hint="eastAsia" w:hAnsi="仿宋"/>
          <w:color w:val="auto"/>
          <w:sz w:val="30"/>
          <w:szCs w:val="30"/>
          <w:lang w:val="en-US" w:eastAsia="zh-CN"/>
        </w:rPr>
        <w:t>面。项目已完工投入使用，按照“谁受益、谁管护，谁使用、谁管护”的原则明确工程管护主体，落实管护责任，保证工程在设计使用期限内正常运行。但项目尚未办理移交手续。</w:t>
      </w:r>
    </w:p>
    <w:p>
      <w:pPr>
        <w:spacing w:line="579" w:lineRule="exact"/>
        <w:ind w:firstLine="600" w:firstLineChars="200"/>
        <w:rPr>
          <w:rFonts w:hint="default" w:ascii="楷体" w:hAnsi="楷体" w:eastAsia="仿宋"/>
          <w:color w:val="FF0000"/>
          <w:sz w:val="30"/>
          <w:szCs w:val="30"/>
          <w:lang w:val="en-US" w:eastAsia="zh-CN"/>
        </w:rPr>
      </w:pPr>
      <w:r>
        <w:rPr>
          <w:rFonts w:hint="eastAsia" w:hAnsi="仿宋"/>
          <w:color w:val="auto"/>
          <w:sz w:val="30"/>
          <w:szCs w:val="30"/>
          <w:lang w:val="en-US" w:eastAsia="zh-CN"/>
        </w:rPr>
        <w:t>5.满意度方面。项目实施极大的改善了项目区生产生活便捷性、农业灌溉条件、水资源利用率，一定程度上</w:t>
      </w:r>
      <w:r>
        <w:rPr>
          <w:rFonts w:hint="eastAsia" w:hAnsi="仿宋"/>
          <w:szCs w:val="30"/>
        </w:rPr>
        <w:t>减轻了当地群众的</w:t>
      </w:r>
      <w:r>
        <w:rPr>
          <w:rFonts w:hint="eastAsia" w:hAnsi="仿宋"/>
          <w:szCs w:val="30"/>
          <w:lang w:val="en-US" w:eastAsia="zh-CN"/>
        </w:rPr>
        <w:t>耕种</w:t>
      </w:r>
      <w:r>
        <w:rPr>
          <w:rFonts w:hint="eastAsia" w:hAnsi="仿宋"/>
          <w:szCs w:val="30"/>
        </w:rPr>
        <w:t>压力</w:t>
      </w:r>
      <w:r>
        <w:rPr>
          <w:rFonts w:hint="eastAsia" w:hAnsi="仿宋"/>
          <w:szCs w:val="30"/>
          <w:lang w:eastAsia="zh-CN"/>
        </w:rPr>
        <w:t>。本次评价通过问卷调查的方式对项目的实施效果进行评价，调查结果显示受益对象综合满意度为8</w:t>
      </w:r>
      <w:r>
        <w:rPr>
          <w:rFonts w:hint="eastAsia" w:hAnsi="仿宋"/>
          <w:szCs w:val="30"/>
          <w:lang w:val="en-US" w:eastAsia="zh-CN"/>
        </w:rPr>
        <w:t>7.44</w:t>
      </w:r>
      <w:r>
        <w:rPr>
          <w:rFonts w:hint="eastAsia" w:hAnsi="仿宋"/>
          <w:szCs w:val="30"/>
          <w:lang w:eastAsia="zh-CN"/>
        </w:rPr>
        <w:t>%，受益对象对项目整体实施的效果</w:t>
      </w:r>
      <w:r>
        <w:rPr>
          <w:rFonts w:hint="eastAsia" w:hAnsi="仿宋"/>
          <w:szCs w:val="30"/>
          <w:lang w:val="en-US" w:eastAsia="zh-CN"/>
        </w:rPr>
        <w:t>比较</w:t>
      </w:r>
      <w:r>
        <w:rPr>
          <w:rFonts w:hint="eastAsia" w:hAnsi="仿宋"/>
          <w:szCs w:val="30"/>
          <w:lang w:eastAsia="zh-CN"/>
        </w:rPr>
        <w:t>满意。</w:t>
      </w:r>
    </w:p>
    <w:p>
      <w:pPr>
        <w:overflowPunct w:val="0"/>
        <w:spacing w:line="570" w:lineRule="exact"/>
        <w:ind w:firstLine="629"/>
        <w:outlineLvl w:val="0"/>
        <w:rPr>
          <w:rFonts w:ascii="黑体" w:hAnsi="黑体" w:eastAsia="黑体"/>
          <w:sz w:val="30"/>
          <w:szCs w:val="30"/>
        </w:rPr>
      </w:pPr>
      <w:bookmarkStart w:id="36" w:name="_Toc51333630"/>
      <w:bookmarkStart w:id="37" w:name="_Toc9439757"/>
      <w:r>
        <w:rPr>
          <w:rFonts w:hint="eastAsia" w:ascii="黑体" w:hAnsi="黑体" w:eastAsia="黑体"/>
          <w:sz w:val="30"/>
          <w:szCs w:val="30"/>
          <w:lang w:val="en-US" w:eastAsia="zh-CN"/>
        </w:rPr>
        <w:t>六</w:t>
      </w:r>
      <w:r>
        <w:rPr>
          <w:rFonts w:hint="eastAsia" w:ascii="黑体" w:hAnsi="黑体" w:eastAsia="黑体"/>
          <w:sz w:val="30"/>
          <w:szCs w:val="30"/>
        </w:rPr>
        <w:t>、存在问题及原因分析</w:t>
      </w:r>
      <w:bookmarkEnd w:id="36"/>
      <w:bookmarkEnd w:id="37"/>
    </w:p>
    <w:p>
      <w:pPr>
        <w:spacing w:line="570" w:lineRule="exact"/>
        <w:ind w:firstLine="600" w:firstLineChars="200"/>
        <w:outlineLvl w:val="1"/>
        <w:rPr>
          <w:rFonts w:hint="default" w:ascii="楷体" w:hAnsi="楷体" w:eastAsia="楷体"/>
          <w:sz w:val="30"/>
          <w:szCs w:val="30"/>
          <w:lang w:val="en-US" w:eastAsia="zh-CN"/>
        </w:rPr>
      </w:pPr>
      <w:r>
        <w:rPr>
          <w:rFonts w:hint="eastAsia" w:ascii="楷体" w:hAnsi="楷体" w:eastAsia="楷体"/>
          <w:sz w:val="30"/>
          <w:szCs w:val="30"/>
          <w:lang w:val="en-US" w:eastAsia="zh-CN"/>
        </w:rPr>
        <w:t>（一）绩效目标不够完整、清晰、合理，绩效自评质量不高</w:t>
      </w:r>
    </w:p>
    <w:p>
      <w:pPr>
        <w:spacing w:line="57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1.绩效指标设置不够完整、清晰、合理</w:t>
      </w:r>
    </w:p>
    <w:p>
      <w:pPr>
        <w:spacing w:line="570" w:lineRule="exact"/>
        <w:ind w:firstLine="600" w:firstLineChars="200"/>
        <w:rPr>
          <w:rFonts w:hint="default" w:ascii="仿宋" w:hAnsi="仿宋" w:eastAsia="仿宋"/>
          <w:sz w:val="30"/>
          <w:szCs w:val="30"/>
          <w:lang w:val="en-US" w:eastAsia="zh-CN"/>
        </w:rPr>
      </w:pPr>
      <w:r>
        <w:rPr>
          <w:rFonts w:hint="eastAsia" w:hAnsi="仿宋"/>
          <w:sz w:val="30"/>
          <w:szCs w:val="30"/>
          <w:lang w:val="en-US" w:eastAsia="zh-CN"/>
        </w:rPr>
        <w:t>一</w:t>
      </w:r>
      <w:r>
        <w:rPr>
          <w:rFonts w:hint="eastAsia" w:ascii="仿宋" w:hAnsi="仿宋" w:eastAsia="仿宋"/>
          <w:sz w:val="30"/>
          <w:szCs w:val="30"/>
          <w:lang w:val="en-US" w:eastAsia="zh-CN"/>
        </w:rPr>
        <w:t>是部分绩效指标设置不合理，指标值无法衡量，例如生产道路通达率、耕地质量及水资源利用率等指标，指标值设置无相关统计数据支撑，与衡量指标有关的数据和资料无法取得；</w:t>
      </w:r>
      <w:r>
        <w:rPr>
          <w:rFonts w:hint="eastAsia" w:hAnsi="仿宋"/>
          <w:sz w:val="30"/>
          <w:szCs w:val="30"/>
          <w:lang w:val="en-US" w:eastAsia="zh-CN"/>
        </w:rPr>
        <w:t>二</w:t>
      </w:r>
      <w:r>
        <w:rPr>
          <w:rFonts w:hint="eastAsia" w:ascii="仿宋" w:hAnsi="仿宋" w:eastAsia="仿宋"/>
          <w:sz w:val="30"/>
          <w:szCs w:val="30"/>
          <w:lang w:val="en-US" w:eastAsia="zh-CN"/>
        </w:rPr>
        <w:t>是绩效指标设置缺乏考核项目产出关键性指标，不能全面反映项目实施情况，不利于对项目进行监督管理，无法衡量项目预期效果的实现程度</w:t>
      </w:r>
      <w:r>
        <w:rPr>
          <w:rFonts w:hint="eastAsia" w:hAnsi="仿宋"/>
          <w:sz w:val="30"/>
          <w:szCs w:val="30"/>
          <w:lang w:val="en-US" w:eastAsia="zh-CN"/>
        </w:rPr>
        <w:t>；三是未能根据项目实施方案及相关工作部署独立申报项目绩效目标及指标，盈江县农业农村局2019年申请项目预算时，将该项目与盈江县2019年全国新增千亿斤增粮生产能力规划田间工程建设项目合并申报绩效目标；四是绩效指标值无法区分，如：新增粮食和其他作物产能≥1950万公斤、受益建档立卡贫困人口数≥3477人，无法分别确定两个项目实施后需实现的目标。</w:t>
      </w:r>
    </w:p>
    <w:p>
      <w:pPr>
        <w:ind w:firstLine="600" w:firstLineChars="200"/>
        <w:jc w:val="both"/>
        <w:rPr>
          <w:rFonts w:hint="default" w:ascii="仿宋" w:hAnsi="仿宋" w:eastAsia="仿宋" w:cs="仿宋"/>
          <w:sz w:val="30"/>
          <w:szCs w:val="30"/>
          <w:lang w:val="en-US" w:eastAsia="zh-CN"/>
        </w:rPr>
      </w:pPr>
      <w:r>
        <w:rPr>
          <w:rFonts w:hint="eastAsia" w:hAnsi="仿宋" w:cs="仿宋"/>
          <w:sz w:val="30"/>
          <w:szCs w:val="30"/>
          <w:lang w:val="en-US" w:eastAsia="zh-CN"/>
        </w:rPr>
        <w:t>2.</w:t>
      </w:r>
      <w:r>
        <w:rPr>
          <w:rFonts w:hint="eastAsia" w:ascii="仿宋" w:hAnsi="仿宋" w:eastAsia="仿宋" w:cs="仿宋"/>
          <w:sz w:val="30"/>
          <w:szCs w:val="30"/>
          <w:lang w:val="en-US" w:eastAsia="zh-CN"/>
        </w:rPr>
        <w:t>绩效自评</w:t>
      </w:r>
      <w:r>
        <w:rPr>
          <w:rFonts w:hint="eastAsia" w:hAnsi="仿宋" w:cs="仿宋"/>
          <w:sz w:val="30"/>
          <w:szCs w:val="30"/>
          <w:lang w:val="en-US" w:eastAsia="zh-CN"/>
        </w:rPr>
        <w:t>质量不高</w:t>
      </w:r>
    </w:p>
    <w:p>
      <w:pPr>
        <w:ind w:firstLine="600" w:firstLineChars="200"/>
        <w:jc w:val="both"/>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盈江县农业农村局虽然已组织开展了绩效自评工作，但未按照《盈江县财政局关于对2019年度部分项目开展绩效自评的通知》（盈财发〔2020〕180号）文件要求撰写绩效自评报告，未能结合项目申报的绩效目标和实施方案要求设置绩效自评指标，无相关绩效自评分值体现和绩效自评过程佐证材料，未能全面反映项目的整体情况，一定程度上降低了绩效自评的可利用性。</w:t>
      </w:r>
    </w:p>
    <w:p>
      <w:pPr>
        <w:keepNext w:val="0"/>
        <w:keepLines w:val="0"/>
        <w:pageBreakBefore w:val="0"/>
        <w:widowControl w:val="0"/>
        <w:numPr>
          <w:ilvl w:val="0"/>
          <w:numId w:val="0"/>
        </w:numPr>
        <w:tabs>
          <w:tab w:val="center" w:pos="4153"/>
        </w:tabs>
        <w:kinsoku/>
        <w:wordWrap/>
        <w:overflowPunct/>
        <w:topLinePunct w:val="0"/>
        <w:autoSpaceDE/>
        <w:autoSpaceDN/>
        <w:bidi w:val="0"/>
        <w:adjustRightInd/>
        <w:snapToGrid/>
        <w:spacing w:line="560" w:lineRule="exact"/>
        <w:ind w:firstLine="600" w:firstLineChars="200"/>
        <w:jc w:val="left"/>
        <w:textAlignment w:val="auto"/>
        <w:rPr>
          <w:rFonts w:hint="default" w:ascii="楷体" w:hAnsi="楷体" w:eastAsia="楷体"/>
          <w:sz w:val="30"/>
          <w:szCs w:val="30"/>
          <w:lang w:val="en-US" w:eastAsia="zh-CN"/>
        </w:rPr>
      </w:pPr>
      <w:r>
        <w:rPr>
          <w:rFonts w:hint="eastAsia" w:ascii="楷体" w:hAnsi="楷体" w:eastAsia="楷体"/>
          <w:sz w:val="30"/>
          <w:szCs w:val="30"/>
          <w:lang w:val="en-US" w:eastAsia="zh-CN"/>
        </w:rPr>
        <w:t>（二）</w:t>
      </w:r>
      <w:r>
        <w:rPr>
          <w:rFonts w:hint="eastAsia" w:ascii="楷体" w:hAnsi="楷体" w:eastAsia="楷体" w:cs="楷体"/>
          <w:b w:val="0"/>
          <w:bCs w:val="0"/>
          <w:sz w:val="30"/>
          <w:szCs w:val="30"/>
          <w:lang w:val="en-US" w:eastAsia="zh-CN"/>
        </w:rPr>
        <w:t>项目管理不尽规范，过程管控亟待加强</w:t>
      </w:r>
    </w:p>
    <w:p>
      <w:pPr>
        <w:numPr>
          <w:ilvl w:val="0"/>
          <w:numId w:val="0"/>
        </w:numPr>
        <w:ind w:firstLine="600" w:firstLineChars="200"/>
        <w:jc w:val="both"/>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1.未执行项目信息公开、公示程序</w:t>
      </w:r>
    </w:p>
    <w:p>
      <w:pPr>
        <w:numPr>
          <w:ilvl w:val="0"/>
          <w:numId w:val="0"/>
        </w:numPr>
        <w:ind w:firstLine="600" w:firstLineChars="200"/>
        <w:jc w:val="both"/>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根据《盈江县人民政府办公室关于印发盈江县统筹整合使用财政涉农资金管理暂行办法的通知》（盈政办发〔2018〕92号），统筹整合财政涉农资金项目，实施过程中均应对资金使用、项目实施情况、项目竣工验收情况，在实施乡镇进行公示公告，接受社会监督，根据现场评价，盈江县农业农村局均未执行公示公告程序。</w:t>
      </w:r>
    </w:p>
    <w:p>
      <w:pPr>
        <w:numPr>
          <w:ilvl w:val="0"/>
          <w:numId w:val="0"/>
        </w:numPr>
        <w:ind w:firstLine="600" w:firstLineChars="200"/>
        <w:jc w:val="both"/>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2.项目验收不及时且验收和结算审核流程倒置</w:t>
      </w:r>
    </w:p>
    <w:p>
      <w:pPr>
        <w:numPr>
          <w:ilvl w:val="0"/>
          <w:numId w:val="0"/>
        </w:numPr>
        <w:ind w:firstLine="600" w:firstLineChars="200"/>
        <w:jc w:val="both"/>
        <w:rPr>
          <w:rFonts w:hint="eastAsia" w:ascii="仿宋" w:hAnsi="仿宋" w:eastAsia="仿宋" w:cs="仿宋"/>
          <w:sz w:val="30"/>
          <w:szCs w:val="30"/>
          <w:lang w:val="en-US" w:eastAsia="zh-CN"/>
        </w:rPr>
      </w:pPr>
      <w:r>
        <w:rPr>
          <w:rFonts w:hint="eastAsia" w:hAnsi="仿宋" w:cs="仿宋"/>
          <w:sz w:val="30"/>
          <w:szCs w:val="30"/>
          <w:lang w:val="en-US" w:eastAsia="zh-CN"/>
        </w:rPr>
        <w:t>一是</w:t>
      </w:r>
      <w:r>
        <w:rPr>
          <w:rFonts w:hint="eastAsia" w:ascii="仿宋" w:hAnsi="仿宋" w:eastAsia="仿宋" w:cs="仿宋"/>
          <w:sz w:val="30"/>
          <w:szCs w:val="30"/>
          <w:lang w:val="en-US" w:eastAsia="zh-CN"/>
        </w:rPr>
        <w:t>根据《盈江糖料蔗核心基地建设项目实施方案》该项目预计于2020年5月完工，2020年6月至8月组织工程验收，项目实际于2020年5月16日已全面完工，但截至评价日尚未验收</w:t>
      </w:r>
      <w:r>
        <w:rPr>
          <w:rFonts w:hint="eastAsia" w:hAnsi="仿宋" w:cs="仿宋"/>
          <w:sz w:val="30"/>
          <w:szCs w:val="30"/>
          <w:lang w:val="en-US" w:eastAsia="zh-CN"/>
        </w:rPr>
        <w:t>，项目验收及时性有待加强</w:t>
      </w:r>
      <w:r>
        <w:rPr>
          <w:rFonts w:hint="eastAsia" w:ascii="仿宋" w:hAnsi="仿宋" w:eastAsia="仿宋" w:cs="仿宋"/>
          <w:sz w:val="30"/>
          <w:szCs w:val="30"/>
          <w:lang w:val="en-US" w:eastAsia="zh-CN"/>
        </w:rPr>
        <w:t>。</w:t>
      </w:r>
      <w:r>
        <w:rPr>
          <w:rFonts w:hint="eastAsia" w:hAnsi="仿宋" w:cs="仿宋"/>
          <w:sz w:val="30"/>
          <w:szCs w:val="30"/>
          <w:lang w:val="en-US" w:eastAsia="zh-CN"/>
        </w:rPr>
        <w:t>二是竣工</w:t>
      </w:r>
      <w:r>
        <w:rPr>
          <w:rFonts w:hint="eastAsia" w:ascii="仿宋" w:hAnsi="仿宋" w:eastAsia="仿宋" w:cs="仿宋"/>
          <w:sz w:val="30"/>
          <w:szCs w:val="30"/>
          <w:lang w:val="en-US" w:eastAsia="zh-CN"/>
        </w:rPr>
        <w:t>项目结算审核</w:t>
      </w:r>
      <w:r>
        <w:rPr>
          <w:rFonts w:hint="eastAsia" w:hAnsi="仿宋" w:cs="仿宋"/>
          <w:sz w:val="30"/>
          <w:szCs w:val="30"/>
          <w:lang w:val="en-US" w:eastAsia="zh-CN"/>
        </w:rPr>
        <w:t>于2020年6月25日已完成</w:t>
      </w:r>
      <w:r>
        <w:rPr>
          <w:rFonts w:hint="eastAsia" w:ascii="仿宋" w:hAnsi="仿宋" w:eastAsia="仿宋" w:cs="仿宋"/>
          <w:sz w:val="30"/>
          <w:szCs w:val="30"/>
          <w:lang w:val="en-US" w:eastAsia="zh-CN"/>
        </w:rPr>
        <w:t>，但</w:t>
      </w:r>
      <w:r>
        <w:rPr>
          <w:rFonts w:hint="eastAsia" w:hAnsi="仿宋" w:cs="仿宋"/>
          <w:sz w:val="30"/>
          <w:szCs w:val="30"/>
          <w:lang w:val="en-US" w:eastAsia="zh-CN"/>
        </w:rPr>
        <w:t>截止评价日</w:t>
      </w:r>
      <w:r>
        <w:rPr>
          <w:rFonts w:hint="eastAsia" w:ascii="仿宋" w:hAnsi="仿宋" w:eastAsia="仿宋" w:cs="仿宋"/>
          <w:sz w:val="30"/>
          <w:szCs w:val="30"/>
          <w:lang w:val="en-US" w:eastAsia="zh-CN"/>
        </w:rPr>
        <w:t>验收程序暂未启动，项目验收程序与结算审核流程倒置。</w:t>
      </w:r>
    </w:p>
    <w:p>
      <w:pPr>
        <w:spacing w:line="570" w:lineRule="exact"/>
        <w:ind w:firstLine="600" w:firstLineChars="200"/>
        <w:outlineLvl w:val="1"/>
        <w:rPr>
          <w:rFonts w:hint="eastAsia" w:ascii="楷体" w:hAnsi="楷体" w:eastAsia="楷体"/>
          <w:sz w:val="30"/>
          <w:szCs w:val="30"/>
          <w:lang w:val="en-US" w:eastAsia="zh-CN"/>
        </w:rPr>
      </w:pPr>
      <w:r>
        <w:rPr>
          <w:rFonts w:hint="eastAsia" w:ascii="楷体" w:hAnsi="楷体" w:eastAsia="楷体"/>
          <w:sz w:val="30"/>
          <w:szCs w:val="30"/>
          <w:lang w:val="en-US" w:eastAsia="zh-CN"/>
        </w:rPr>
        <w:t>（三）地方投资资金未到位，资金拨付依据不充分</w:t>
      </w:r>
    </w:p>
    <w:p>
      <w:pPr>
        <w:ind w:firstLine="600" w:firstLineChars="200"/>
        <w:jc w:val="both"/>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1.地方投资资金未到位</w:t>
      </w:r>
    </w:p>
    <w:p>
      <w:pPr>
        <w:numPr>
          <w:ilvl w:val="0"/>
          <w:numId w:val="0"/>
        </w:numPr>
        <w:ind w:firstLine="600" w:firstLineChars="200"/>
        <w:jc w:val="both"/>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根据《德宏州农业农村局 德宏州发展和改革委员会关于盈江糖料蔗核心基地建设项目实施方案的批复》（德农复字〔2019〕50号），项目批复资金2,177.47万元，其中中央投资1,982.00万元，地方投资195.47万元；截止评价日中央投资到位1,982.00万元，地方投资195.47万元未到位，资金到位率91.02%。</w:t>
      </w:r>
    </w:p>
    <w:p>
      <w:pPr>
        <w:ind w:firstLine="600" w:firstLineChars="200"/>
        <w:jc w:val="both"/>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w:t>
      </w:r>
      <w:r>
        <w:rPr>
          <w:rFonts w:hint="eastAsia" w:hAnsi="仿宋" w:cs="仿宋"/>
          <w:sz w:val="30"/>
          <w:szCs w:val="30"/>
          <w:lang w:val="en-US" w:eastAsia="zh-CN"/>
        </w:rPr>
        <w:t>资金</w:t>
      </w:r>
      <w:r>
        <w:rPr>
          <w:rFonts w:hint="eastAsia" w:ascii="仿宋" w:hAnsi="仿宋" w:eastAsia="仿宋" w:cs="仿宋"/>
          <w:sz w:val="30"/>
          <w:szCs w:val="30"/>
          <w:lang w:val="en-US" w:eastAsia="zh-CN"/>
        </w:rPr>
        <w:t>拨付</w:t>
      </w:r>
      <w:r>
        <w:rPr>
          <w:rFonts w:hint="eastAsia" w:hAnsi="仿宋" w:cs="仿宋"/>
          <w:sz w:val="30"/>
          <w:szCs w:val="30"/>
          <w:lang w:val="en-US" w:eastAsia="zh-CN"/>
        </w:rPr>
        <w:t>依据不充分，财务管理工作有待提高</w:t>
      </w:r>
    </w:p>
    <w:p>
      <w:pPr>
        <w:numPr>
          <w:ilvl w:val="0"/>
          <w:numId w:val="0"/>
        </w:numPr>
        <w:ind w:firstLine="600" w:firstLineChars="200"/>
        <w:jc w:val="both"/>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一是</w:t>
      </w:r>
      <w:r>
        <w:rPr>
          <w:rFonts w:hint="default" w:ascii="仿宋" w:hAnsi="仿宋" w:eastAsia="仿宋" w:cs="仿宋"/>
          <w:sz w:val="30"/>
          <w:szCs w:val="30"/>
          <w:lang w:val="en-US" w:eastAsia="zh-CN"/>
        </w:rPr>
        <w:t>工程款支付均无监理、施工方确认的工程款拨付申请书及相关进度资料</w:t>
      </w:r>
      <w:r>
        <w:rPr>
          <w:rFonts w:hint="eastAsia" w:ascii="仿宋" w:hAnsi="仿宋" w:eastAsia="仿宋" w:cs="仿宋"/>
          <w:sz w:val="30"/>
          <w:szCs w:val="30"/>
          <w:lang w:val="en-US" w:eastAsia="zh-CN"/>
        </w:rPr>
        <w:t>，工程款拨付依据不充分；二是</w:t>
      </w:r>
      <w:r>
        <w:rPr>
          <w:rFonts w:hint="default" w:ascii="仿宋" w:hAnsi="仿宋" w:eastAsia="仿宋" w:cs="仿宋"/>
          <w:sz w:val="30"/>
          <w:szCs w:val="30"/>
          <w:lang w:val="en-US" w:eastAsia="zh-CN"/>
        </w:rPr>
        <w:t>未按照合同约定“驻场后支付合同总价款的30%，主体完工后支付合同总价款的40%，竣工结算后支付合同总价款的30%”支付工程款</w:t>
      </w:r>
      <w:r>
        <w:rPr>
          <w:rFonts w:hint="eastAsia" w:ascii="仿宋" w:hAnsi="仿宋" w:eastAsia="仿宋" w:cs="仿宋"/>
          <w:sz w:val="30"/>
          <w:szCs w:val="30"/>
          <w:lang w:val="en-US" w:eastAsia="zh-CN"/>
        </w:rPr>
        <w:t>，项目于2019年12月开工，2020年5月完工，但</w:t>
      </w:r>
      <w:r>
        <w:rPr>
          <w:rFonts w:hint="default" w:ascii="仿宋" w:hAnsi="仿宋" w:eastAsia="仿宋" w:cs="仿宋"/>
          <w:sz w:val="30"/>
          <w:szCs w:val="30"/>
          <w:lang w:val="en-US" w:eastAsia="zh-CN"/>
        </w:rPr>
        <w:t>截止2019年12月28日已支付总工程款的98.99%</w:t>
      </w:r>
      <w:r>
        <w:rPr>
          <w:rFonts w:hint="eastAsia" w:ascii="仿宋" w:hAnsi="仿宋" w:eastAsia="仿宋" w:cs="仿宋"/>
          <w:sz w:val="30"/>
          <w:szCs w:val="30"/>
          <w:lang w:val="en-US" w:eastAsia="zh-CN"/>
        </w:rPr>
        <w:t>，工程实际完工率与资金支付比例不匹配，资金安全保障力不足，不利于工程质量的有效控制。付款明细具体如下：</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firstLine="3120" w:firstLineChars="1300"/>
        <w:jc w:val="both"/>
        <w:textAlignment w:val="auto"/>
        <w:rPr>
          <w:rFonts w:hint="default" w:ascii="仿宋" w:hAnsi="仿宋" w:eastAsia="黑体" w:cs="仿宋"/>
          <w:sz w:val="30"/>
          <w:szCs w:val="30"/>
          <w:lang w:val="en-US" w:eastAsia="zh-CN"/>
        </w:rPr>
      </w:pPr>
      <w:r>
        <w:rPr>
          <w:rFonts w:hint="eastAsia" w:ascii="黑体" w:hAnsi="黑体" w:eastAsia="黑体"/>
          <w:sz w:val="24"/>
          <w:szCs w:val="24"/>
        </w:rPr>
        <w:t>表</w:t>
      </w:r>
      <w:r>
        <w:rPr>
          <w:rFonts w:hint="eastAsia" w:ascii="黑体" w:hAnsi="黑体" w:eastAsia="黑体"/>
          <w:sz w:val="24"/>
          <w:szCs w:val="24"/>
          <w:lang w:val="en-US" w:eastAsia="zh-CN"/>
        </w:rPr>
        <w:t>6：</w:t>
      </w:r>
      <w:r>
        <w:rPr>
          <w:rFonts w:ascii="黑体" w:hAnsi="黑体" w:eastAsia="黑体"/>
          <w:sz w:val="24"/>
          <w:szCs w:val="24"/>
        </w:rPr>
        <w:t xml:space="preserve"> </w:t>
      </w:r>
      <w:r>
        <w:rPr>
          <w:rFonts w:hint="eastAsia" w:ascii="黑体" w:hAnsi="黑体" w:eastAsia="黑体"/>
          <w:sz w:val="24"/>
          <w:szCs w:val="24"/>
          <w:lang w:val="en-US" w:eastAsia="zh-CN"/>
        </w:rPr>
        <w:t>资金支付情况明细</w:t>
      </w:r>
    </w:p>
    <w:tbl>
      <w:tblPr>
        <w:tblStyle w:val="6"/>
        <w:tblW w:w="8479" w:type="dxa"/>
        <w:tblInd w:w="0" w:type="dxa"/>
        <w:shd w:val="clear" w:color="auto" w:fill="auto"/>
        <w:tblLayout w:type="fixed"/>
        <w:tblCellMar>
          <w:top w:w="0" w:type="dxa"/>
          <w:left w:w="0" w:type="dxa"/>
          <w:bottom w:w="0" w:type="dxa"/>
          <w:right w:w="0" w:type="dxa"/>
        </w:tblCellMar>
      </w:tblPr>
      <w:tblGrid>
        <w:gridCol w:w="1291"/>
        <w:gridCol w:w="900"/>
        <w:gridCol w:w="1404"/>
        <w:gridCol w:w="1212"/>
        <w:gridCol w:w="1164"/>
        <w:gridCol w:w="1500"/>
        <w:gridCol w:w="1008"/>
      </w:tblGrid>
      <w:tr>
        <w:tblPrEx>
          <w:shd w:val="clear" w:color="auto" w:fill="auto"/>
          <w:tblCellMar>
            <w:top w:w="0" w:type="dxa"/>
            <w:left w:w="0" w:type="dxa"/>
            <w:bottom w:w="0" w:type="dxa"/>
            <w:right w:w="0" w:type="dxa"/>
          </w:tblCellMar>
        </w:tblPrEx>
        <w:trPr>
          <w:trHeight w:val="1370" w:hRule="atLeast"/>
        </w:trPr>
        <w:tc>
          <w:tcPr>
            <w:tcW w:w="12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仿宋" w:hAnsi="仿宋" w:eastAsia="仿宋" w:cs="仿宋"/>
                <w:b/>
                <w:bCs/>
                <w:i w:val="0"/>
                <w:color w:val="000000"/>
                <w:sz w:val="20"/>
                <w:szCs w:val="20"/>
                <w:u w:val="none"/>
              </w:rPr>
            </w:pPr>
            <w:r>
              <w:rPr>
                <w:rFonts w:hint="eastAsia" w:ascii="仿宋" w:hAnsi="仿宋" w:eastAsia="仿宋" w:cs="仿宋"/>
                <w:b/>
                <w:bCs/>
                <w:i w:val="0"/>
                <w:color w:val="000000"/>
                <w:kern w:val="0"/>
                <w:sz w:val="20"/>
                <w:szCs w:val="20"/>
                <w:u w:val="none"/>
                <w:lang w:val="en-US" w:eastAsia="zh-CN" w:bidi="ar"/>
              </w:rPr>
              <w:t>摘要</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bCs/>
                <w:i w:val="0"/>
                <w:color w:val="000000"/>
                <w:sz w:val="20"/>
                <w:szCs w:val="20"/>
                <w:u w:val="none"/>
              </w:rPr>
            </w:pPr>
            <w:r>
              <w:rPr>
                <w:rFonts w:hint="eastAsia" w:ascii="仿宋" w:hAnsi="仿宋" w:eastAsia="仿宋" w:cs="仿宋"/>
                <w:b/>
                <w:bCs/>
                <w:i w:val="0"/>
                <w:color w:val="000000"/>
                <w:kern w:val="0"/>
                <w:sz w:val="20"/>
                <w:szCs w:val="20"/>
                <w:u w:val="none"/>
                <w:lang w:val="en-US" w:eastAsia="zh-CN" w:bidi="ar"/>
              </w:rPr>
              <w:t>收款单位</w:t>
            </w:r>
          </w:p>
        </w:tc>
        <w:tc>
          <w:tcPr>
            <w:tcW w:w="14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bCs/>
                <w:i w:val="0"/>
                <w:color w:val="000000"/>
                <w:sz w:val="20"/>
                <w:szCs w:val="20"/>
                <w:u w:val="none"/>
              </w:rPr>
            </w:pPr>
            <w:r>
              <w:rPr>
                <w:rFonts w:hint="eastAsia" w:ascii="仿宋" w:hAnsi="仿宋" w:eastAsia="仿宋" w:cs="仿宋"/>
                <w:b/>
                <w:bCs/>
                <w:i w:val="0"/>
                <w:color w:val="000000"/>
                <w:kern w:val="0"/>
                <w:sz w:val="20"/>
                <w:szCs w:val="20"/>
                <w:u w:val="none"/>
                <w:lang w:val="en-US" w:eastAsia="zh-CN" w:bidi="ar"/>
              </w:rPr>
              <w:t>工程合同价款</w:t>
            </w:r>
          </w:p>
        </w:tc>
        <w:tc>
          <w:tcPr>
            <w:tcW w:w="12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bCs/>
                <w:i w:val="0"/>
                <w:color w:val="000000"/>
                <w:sz w:val="20"/>
                <w:szCs w:val="20"/>
                <w:u w:val="none"/>
              </w:rPr>
            </w:pPr>
            <w:r>
              <w:rPr>
                <w:rFonts w:hint="eastAsia" w:ascii="仿宋" w:hAnsi="仿宋" w:eastAsia="仿宋" w:cs="仿宋"/>
                <w:b/>
                <w:bCs/>
                <w:i w:val="0"/>
                <w:color w:val="000000"/>
                <w:kern w:val="0"/>
                <w:sz w:val="20"/>
                <w:szCs w:val="20"/>
                <w:u w:val="none"/>
                <w:lang w:val="en-US" w:eastAsia="zh-CN" w:bidi="ar"/>
              </w:rPr>
              <w:t>凭证号</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bCs/>
                <w:i w:val="0"/>
                <w:color w:val="000000"/>
                <w:sz w:val="20"/>
                <w:szCs w:val="20"/>
                <w:u w:val="none"/>
              </w:rPr>
            </w:pPr>
            <w:r>
              <w:rPr>
                <w:rFonts w:hint="eastAsia" w:ascii="仿宋" w:hAnsi="仿宋" w:eastAsia="仿宋" w:cs="仿宋"/>
                <w:b/>
                <w:bCs/>
                <w:i w:val="0"/>
                <w:color w:val="000000"/>
                <w:kern w:val="0"/>
                <w:sz w:val="20"/>
                <w:szCs w:val="20"/>
                <w:u w:val="none"/>
                <w:lang w:val="en-US" w:eastAsia="zh-CN" w:bidi="ar"/>
              </w:rPr>
              <w:t>付款日期</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bCs/>
                <w:i w:val="0"/>
                <w:color w:val="000000"/>
                <w:sz w:val="20"/>
                <w:szCs w:val="20"/>
                <w:u w:val="none"/>
              </w:rPr>
            </w:pPr>
            <w:r>
              <w:rPr>
                <w:rFonts w:hint="eastAsia" w:ascii="仿宋" w:hAnsi="仿宋" w:eastAsia="仿宋" w:cs="仿宋"/>
                <w:b/>
                <w:bCs/>
                <w:i w:val="0"/>
                <w:color w:val="000000"/>
                <w:kern w:val="0"/>
                <w:sz w:val="20"/>
                <w:szCs w:val="20"/>
                <w:u w:val="none"/>
                <w:lang w:val="en-US" w:eastAsia="zh-CN" w:bidi="ar"/>
              </w:rPr>
              <w:t>付款金额</w:t>
            </w:r>
          </w:p>
        </w:tc>
        <w:tc>
          <w:tcPr>
            <w:tcW w:w="10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bCs/>
                <w:i w:val="0"/>
                <w:color w:val="000000"/>
                <w:sz w:val="20"/>
                <w:szCs w:val="20"/>
                <w:u w:val="none"/>
              </w:rPr>
            </w:pPr>
            <w:r>
              <w:rPr>
                <w:rFonts w:hint="eastAsia" w:ascii="仿宋" w:hAnsi="仿宋" w:eastAsia="仿宋" w:cs="仿宋"/>
                <w:b/>
                <w:bCs/>
                <w:i w:val="0"/>
                <w:color w:val="000000"/>
                <w:kern w:val="0"/>
                <w:sz w:val="20"/>
                <w:szCs w:val="20"/>
                <w:u w:val="none"/>
                <w:lang w:val="en-US" w:eastAsia="zh-CN" w:bidi="ar"/>
              </w:rPr>
              <w:t>2019年度付款金额占合同金额比例</w:t>
            </w:r>
          </w:p>
        </w:tc>
      </w:tr>
      <w:tr>
        <w:tblPrEx>
          <w:shd w:val="clear" w:color="auto" w:fill="auto"/>
          <w:tblCellMar>
            <w:top w:w="0" w:type="dxa"/>
            <w:left w:w="0" w:type="dxa"/>
            <w:bottom w:w="0" w:type="dxa"/>
            <w:right w:w="0" w:type="dxa"/>
          </w:tblCellMar>
        </w:tblPrEx>
        <w:trPr>
          <w:trHeight w:val="858" w:hRule="atLeast"/>
        </w:trPr>
        <w:tc>
          <w:tcPr>
            <w:tcW w:w="129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付2019年糖料蔗核心基地建设项目工程款（一标段）</w:t>
            </w:r>
          </w:p>
        </w:tc>
        <w:tc>
          <w:tcPr>
            <w:tcW w:w="90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云南正达建筑工程有限公司</w:t>
            </w:r>
          </w:p>
        </w:tc>
        <w:tc>
          <w:tcPr>
            <w:tcW w:w="140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2,189,771.93</w:t>
            </w:r>
          </w:p>
        </w:tc>
        <w:tc>
          <w:tcPr>
            <w:tcW w:w="12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2019-12-4#</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2019/12/19</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650,000.00</w:t>
            </w:r>
          </w:p>
        </w:tc>
        <w:tc>
          <w:tcPr>
            <w:tcW w:w="100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99.01%</w:t>
            </w:r>
          </w:p>
        </w:tc>
      </w:tr>
      <w:tr>
        <w:tblPrEx>
          <w:shd w:val="clear" w:color="auto" w:fill="auto"/>
          <w:tblCellMar>
            <w:top w:w="0" w:type="dxa"/>
            <w:left w:w="0" w:type="dxa"/>
            <w:bottom w:w="0" w:type="dxa"/>
            <w:right w:w="0" w:type="dxa"/>
          </w:tblCellMar>
        </w:tblPrEx>
        <w:trPr>
          <w:trHeight w:val="786" w:hRule="atLeast"/>
        </w:trPr>
        <w:tc>
          <w:tcPr>
            <w:tcW w:w="12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90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2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2019-12-16#</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2019/12/28</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1,518,000.00</w:t>
            </w:r>
          </w:p>
        </w:tc>
        <w:tc>
          <w:tcPr>
            <w:tcW w:w="10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r>
      <w:tr>
        <w:tblPrEx>
          <w:shd w:val="clear" w:color="auto" w:fill="auto"/>
          <w:tblCellMar>
            <w:top w:w="0" w:type="dxa"/>
            <w:left w:w="0" w:type="dxa"/>
            <w:bottom w:w="0" w:type="dxa"/>
            <w:right w:w="0" w:type="dxa"/>
          </w:tblCellMar>
        </w:tblPrEx>
        <w:trPr>
          <w:trHeight w:val="724" w:hRule="atLeast"/>
        </w:trPr>
        <w:tc>
          <w:tcPr>
            <w:tcW w:w="129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付2019年糖料蔗核心基地建设项目工程款（二标段）</w:t>
            </w:r>
          </w:p>
        </w:tc>
        <w:tc>
          <w:tcPr>
            <w:tcW w:w="90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云南驰骋建筑工程有限公司</w:t>
            </w:r>
          </w:p>
        </w:tc>
        <w:tc>
          <w:tcPr>
            <w:tcW w:w="140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2,326,766.52</w:t>
            </w:r>
          </w:p>
        </w:tc>
        <w:tc>
          <w:tcPr>
            <w:tcW w:w="12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2019-12-5#</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2019/12/19</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690,000.00</w:t>
            </w:r>
          </w:p>
        </w:tc>
        <w:tc>
          <w:tcPr>
            <w:tcW w:w="100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98.98%</w:t>
            </w:r>
          </w:p>
        </w:tc>
      </w:tr>
      <w:tr>
        <w:tblPrEx>
          <w:shd w:val="clear" w:color="auto" w:fill="auto"/>
          <w:tblCellMar>
            <w:top w:w="0" w:type="dxa"/>
            <w:left w:w="0" w:type="dxa"/>
            <w:bottom w:w="0" w:type="dxa"/>
            <w:right w:w="0" w:type="dxa"/>
          </w:tblCellMar>
        </w:tblPrEx>
        <w:trPr>
          <w:trHeight w:val="704" w:hRule="atLeast"/>
        </w:trPr>
        <w:tc>
          <w:tcPr>
            <w:tcW w:w="12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90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2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2019-12-15#</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2019/12/28</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1,613,000.00</w:t>
            </w:r>
          </w:p>
        </w:tc>
        <w:tc>
          <w:tcPr>
            <w:tcW w:w="10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r>
      <w:tr>
        <w:tblPrEx>
          <w:shd w:val="clear" w:color="auto" w:fill="auto"/>
          <w:tblCellMar>
            <w:top w:w="0" w:type="dxa"/>
            <w:left w:w="0" w:type="dxa"/>
            <w:bottom w:w="0" w:type="dxa"/>
            <w:right w:w="0" w:type="dxa"/>
          </w:tblCellMar>
        </w:tblPrEx>
        <w:trPr>
          <w:trHeight w:val="674" w:hRule="atLeast"/>
        </w:trPr>
        <w:tc>
          <w:tcPr>
            <w:tcW w:w="129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付2019年糖料蔗核心基地建设项目工程款（三标段）</w:t>
            </w:r>
          </w:p>
        </w:tc>
        <w:tc>
          <w:tcPr>
            <w:tcW w:w="90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云南勤竣建筑工程有限公司</w:t>
            </w:r>
          </w:p>
        </w:tc>
        <w:tc>
          <w:tcPr>
            <w:tcW w:w="140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4,004,204.69</w:t>
            </w:r>
          </w:p>
        </w:tc>
        <w:tc>
          <w:tcPr>
            <w:tcW w:w="12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2019-12-3#</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2019/12/19</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1,200,000.00</w:t>
            </w:r>
          </w:p>
        </w:tc>
        <w:tc>
          <w:tcPr>
            <w:tcW w:w="100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99.00%</w:t>
            </w:r>
          </w:p>
        </w:tc>
      </w:tr>
      <w:tr>
        <w:tblPrEx>
          <w:shd w:val="clear" w:color="auto" w:fill="auto"/>
          <w:tblCellMar>
            <w:top w:w="0" w:type="dxa"/>
            <w:left w:w="0" w:type="dxa"/>
            <w:bottom w:w="0" w:type="dxa"/>
            <w:right w:w="0" w:type="dxa"/>
          </w:tblCellMar>
        </w:tblPrEx>
        <w:trPr>
          <w:trHeight w:val="702" w:hRule="atLeast"/>
        </w:trPr>
        <w:tc>
          <w:tcPr>
            <w:tcW w:w="12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90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2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2019-12-9#</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2019/12/28</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2,764,000.00</w:t>
            </w:r>
          </w:p>
        </w:tc>
        <w:tc>
          <w:tcPr>
            <w:tcW w:w="10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r>
      <w:tr>
        <w:tblPrEx>
          <w:shd w:val="clear" w:color="auto" w:fill="auto"/>
          <w:tblCellMar>
            <w:top w:w="0" w:type="dxa"/>
            <w:left w:w="0" w:type="dxa"/>
            <w:bottom w:w="0" w:type="dxa"/>
            <w:right w:w="0" w:type="dxa"/>
          </w:tblCellMar>
        </w:tblPrEx>
        <w:trPr>
          <w:trHeight w:val="796" w:hRule="atLeast"/>
        </w:trPr>
        <w:tc>
          <w:tcPr>
            <w:tcW w:w="129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付2019年糖料蔗核心基地建设项目工程款（四标段）</w:t>
            </w:r>
          </w:p>
        </w:tc>
        <w:tc>
          <w:tcPr>
            <w:tcW w:w="90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云南盈汇建筑工程有限公司</w:t>
            </w:r>
          </w:p>
        </w:tc>
        <w:tc>
          <w:tcPr>
            <w:tcW w:w="140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4,100,821.01</w:t>
            </w:r>
          </w:p>
        </w:tc>
        <w:tc>
          <w:tcPr>
            <w:tcW w:w="12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2019-12-14#</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2019/12/19</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1,210,000.00</w:t>
            </w:r>
          </w:p>
        </w:tc>
        <w:tc>
          <w:tcPr>
            <w:tcW w:w="100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99.00%</w:t>
            </w:r>
          </w:p>
        </w:tc>
      </w:tr>
      <w:tr>
        <w:tblPrEx>
          <w:shd w:val="clear" w:color="auto" w:fill="auto"/>
          <w:tblCellMar>
            <w:top w:w="0" w:type="dxa"/>
            <w:left w:w="0" w:type="dxa"/>
            <w:bottom w:w="0" w:type="dxa"/>
            <w:right w:w="0" w:type="dxa"/>
          </w:tblCellMar>
        </w:tblPrEx>
        <w:trPr>
          <w:trHeight w:val="808" w:hRule="atLeast"/>
        </w:trPr>
        <w:tc>
          <w:tcPr>
            <w:tcW w:w="12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90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2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2019-12-10#</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2019/12/28</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2,850,000.00</w:t>
            </w:r>
          </w:p>
        </w:tc>
        <w:tc>
          <w:tcPr>
            <w:tcW w:w="10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r>
      <w:tr>
        <w:tblPrEx>
          <w:shd w:val="clear" w:color="auto" w:fill="auto"/>
          <w:tblCellMar>
            <w:top w:w="0" w:type="dxa"/>
            <w:left w:w="0" w:type="dxa"/>
            <w:bottom w:w="0" w:type="dxa"/>
            <w:right w:w="0" w:type="dxa"/>
          </w:tblCellMar>
        </w:tblPrEx>
        <w:trPr>
          <w:trHeight w:val="1112" w:hRule="atLeast"/>
        </w:trPr>
        <w:tc>
          <w:tcPr>
            <w:tcW w:w="129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付2019年糖料蔗核心基地建设项目工程款（五标段）</w:t>
            </w:r>
          </w:p>
        </w:tc>
        <w:tc>
          <w:tcPr>
            <w:tcW w:w="90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云南保山鹏程建筑工程有限责任公司盈江分公司</w:t>
            </w:r>
          </w:p>
        </w:tc>
        <w:tc>
          <w:tcPr>
            <w:tcW w:w="140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4,120,091.82</w:t>
            </w:r>
          </w:p>
        </w:tc>
        <w:tc>
          <w:tcPr>
            <w:tcW w:w="12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2019-12-2#</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2019/12/19</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1,230,000.00</w:t>
            </w:r>
          </w:p>
        </w:tc>
        <w:tc>
          <w:tcPr>
            <w:tcW w:w="100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99.00%</w:t>
            </w:r>
          </w:p>
        </w:tc>
      </w:tr>
      <w:tr>
        <w:tblPrEx>
          <w:shd w:val="clear" w:color="auto" w:fill="auto"/>
          <w:tblCellMar>
            <w:top w:w="0" w:type="dxa"/>
            <w:left w:w="0" w:type="dxa"/>
            <w:bottom w:w="0" w:type="dxa"/>
            <w:right w:w="0" w:type="dxa"/>
          </w:tblCellMar>
        </w:tblPrEx>
        <w:trPr>
          <w:trHeight w:val="904" w:hRule="atLeast"/>
        </w:trPr>
        <w:tc>
          <w:tcPr>
            <w:tcW w:w="12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90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2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2019-12-11#</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2019/12/28</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2,849,000.00</w:t>
            </w:r>
          </w:p>
        </w:tc>
        <w:tc>
          <w:tcPr>
            <w:tcW w:w="10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r>
      <w:tr>
        <w:tblPrEx>
          <w:tblCellMar>
            <w:top w:w="0" w:type="dxa"/>
            <w:left w:w="0" w:type="dxa"/>
            <w:bottom w:w="0" w:type="dxa"/>
            <w:right w:w="0" w:type="dxa"/>
          </w:tblCellMar>
        </w:tblPrEx>
        <w:trPr>
          <w:trHeight w:val="908" w:hRule="atLeast"/>
        </w:trPr>
        <w:tc>
          <w:tcPr>
            <w:tcW w:w="129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付2019年糖料蔗核心基地建设项目工程款（六标段）</w:t>
            </w:r>
          </w:p>
        </w:tc>
        <w:tc>
          <w:tcPr>
            <w:tcW w:w="90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云南泽木建筑工程有限公司</w:t>
            </w:r>
          </w:p>
        </w:tc>
        <w:tc>
          <w:tcPr>
            <w:tcW w:w="140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1,155,296.67</w:t>
            </w:r>
          </w:p>
        </w:tc>
        <w:tc>
          <w:tcPr>
            <w:tcW w:w="12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2019-12-1#</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2019/12/19</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340,000.00</w:t>
            </w:r>
          </w:p>
        </w:tc>
        <w:tc>
          <w:tcPr>
            <w:tcW w:w="100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98.94%</w:t>
            </w:r>
          </w:p>
        </w:tc>
      </w:tr>
      <w:tr>
        <w:tblPrEx>
          <w:tblCellMar>
            <w:top w:w="0" w:type="dxa"/>
            <w:left w:w="0" w:type="dxa"/>
            <w:bottom w:w="0" w:type="dxa"/>
            <w:right w:w="0" w:type="dxa"/>
          </w:tblCellMar>
        </w:tblPrEx>
        <w:trPr>
          <w:trHeight w:val="942" w:hRule="atLeast"/>
        </w:trPr>
        <w:tc>
          <w:tcPr>
            <w:tcW w:w="12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90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c>
          <w:tcPr>
            <w:tcW w:w="12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2019-12-12#</w:t>
            </w: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2019/12/28</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803,000.00</w:t>
            </w:r>
          </w:p>
        </w:tc>
        <w:tc>
          <w:tcPr>
            <w:tcW w:w="10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仿宋" w:hAnsi="仿宋" w:eastAsia="仿宋" w:cs="仿宋"/>
                <w:i w:val="0"/>
                <w:color w:val="000000"/>
                <w:sz w:val="20"/>
                <w:szCs w:val="20"/>
                <w:u w:val="none"/>
              </w:rPr>
            </w:pPr>
          </w:p>
        </w:tc>
      </w:tr>
      <w:tr>
        <w:tblPrEx>
          <w:tblCellMar>
            <w:top w:w="0" w:type="dxa"/>
            <w:left w:w="0" w:type="dxa"/>
            <w:bottom w:w="0" w:type="dxa"/>
            <w:right w:w="0" w:type="dxa"/>
          </w:tblCellMar>
        </w:tblPrEx>
        <w:trPr>
          <w:trHeight w:val="740" w:hRule="atLeast"/>
        </w:trPr>
        <w:tc>
          <w:tcPr>
            <w:tcW w:w="219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仿宋" w:hAnsi="仿宋" w:eastAsia="仿宋" w:cs="仿宋"/>
                <w:b/>
                <w:bCs/>
                <w:i w:val="0"/>
                <w:color w:val="000000"/>
                <w:kern w:val="0"/>
                <w:sz w:val="20"/>
                <w:szCs w:val="20"/>
                <w:u w:val="none"/>
                <w:lang w:val="en-US" w:eastAsia="zh-CN" w:bidi="ar"/>
              </w:rPr>
            </w:pPr>
            <w:r>
              <w:rPr>
                <w:rFonts w:hint="eastAsia" w:ascii="仿宋" w:hAnsi="仿宋" w:eastAsia="仿宋" w:cs="仿宋"/>
                <w:b/>
                <w:bCs/>
                <w:i w:val="0"/>
                <w:color w:val="000000"/>
                <w:kern w:val="0"/>
                <w:sz w:val="20"/>
                <w:szCs w:val="20"/>
                <w:u w:val="none"/>
                <w:lang w:val="en-US" w:eastAsia="zh-CN" w:bidi="ar"/>
              </w:rPr>
              <w:t>合计</w:t>
            </w:r>
          </w:p>
        </w:tc>
        <w:tc>
          <w:tcPr>
            <w:tcW w:w="14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30"/>
                <w:sz w:val="20"/>
                <w:szCs w:val="20"/>
                <w:u w:val="none"/>
                <w:lang w:val="en-US" w:eastAsia="zh-CN" w:bidi="ar-SA"/>
              </w:rPr>
            </w:pPr>
            <w:r>
              <w:rPr>
                <w:rFonts w:hint="eastAsia" w:ascii="仿宋" w:hAnsi="仿宋" w:eastAsia="仿宋" w:cs="仿宋"/>
                <w:b/>
                <w:i w:val="0"/>
                <w:color w:val="000000"/>
                <w:kern w:val="0"/>
                <w:sz w:val="20"/>
                <w:szCs w:val="20"/>
                <w:u w:val="none"/>
                <w:lang w:val="en-US" w:eastAsia="zh-CN" w:bidi="ar"/>
              </w:rPr>
              <w:t>17,896,952.64</w:t>
            </w:r>
          </w:p>
        </w:tc>
        <w:tc>
          <w:tcPr>
            <w:tcW w:w="12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bCs/>
                <w:i w:val="0"/>
                <w:color w:val="000000"/>
                <w:kern w:val="0"/>
                <w:sz w:val="20"/>
                <w:szCs w:val="20"/>
                <w:u w:val="none"/>
                <w:lang w:val="en-US" w:eastAsia="zh-CN" w:bidi="ar"/>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bCs/>
                <w:i w:val="0"/>
                <w:color w:val="000000"/>
                <w:kern w:val="0"/>
                <w:sz w:val="20"/>
                <w:szCs w:val="20"/>
                <w:u w:val="none"/>
                <w:lang w:val="en-US" w:eastAsia="zh-CN" w:bidi="ar"/>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 w:hAnsi="仿宋" w:eastAsia="仿宋" w:cs="仿宋"/>
                <w:b/>
                <w:i w:val="0"/>
                <w:color w:val="000000"/>
                <w:kern w:val="30"/>
                <w:sz w:val="20"/>
                <w:szCs w:val="20"/>
                <w:u w:val="none"/>
                <w:lang w:val="en-US" w:eastAsia="zh-CN" w:bidi="ar-SA"/>
              </w:rPr>
            </w:pPr>
            <w:r>
              <w:rPr>
                <w:rFonts w:hint="eastAsia" w:ascii="仿宋" w:hAnsi="仿宋" w:eastAsia="仿宋" w:cs="仿宋"/>
                <w:b/>
                <w:i w:val="0"/>
                <w:color w:val="000000"/>
                <w:kern w:val="0"/>
                <w:sz w:val="20"/>
                <w:szCs w:val="20"/>
                <w:u w:val="none"/>
                <w:lang w:val="en-US" w:eastAsia="zh-CN" w:bidi="ar"/>
              </w:rPr>
              <w:t>17,717,000.00</w:t>
            </w:r>
          </w:p>
        </w:tc>
        <w:tc>
          <w:tcPr>
            <w:tcW w:w="10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仿宋" w:hAnsi="仿宋" w:eastAsia="仿宋" w:cs="仿宋"/>
                <w:b/>
                <w:bCs/>
                <w:i w:val="0"/>
                <w:color w:val="000000"/>
                <w:sz w:val="20"/>
                <w:szCs w:val="20"/>
                <w:u w:val="none"/>
                <w:lang w:val="en-US" w:eastAsia="zh-CN"/>
              </w:rPr>
            </w:pPr>
            <w:r>
              <w:rPr>
                <w:rFonts w:hint="eastAsia" w:hAnsi="仿宋" w:cs="仿宋"/>
                <w:b/>
                <w:bCs/>
                <w:i w:val="0"/>
                <w:color w:val="000000"/>
                <w:sz w:val="20"/>
                <w:szCs w:val="20"/>
                <w:u w:val="none"/>
                <w:lang w:val="en-US" w:eastAsia="zh-CN"/>
              </w:rPr>
              <w:t>98.99%</w:t>
            </w:r>
          </w:p>
        </w:tc>
      </w:tr>
    </w:tbl>
    <w:p>
      <w:pPr>
        <w:keepNext w:val="0"/>
        <w:keepLines w:val="0"/>
        <w:pageBreakBefore w:val="0"/>
        <w:widowControl w:val="0"/>
        <w:kinsoku/>
        <w:wordWrap/>
        <w:overflowPunct w:val="0"/>
        <w:topLinePunct w:val="0"/>
        <w:autoSpaceDE/>
        <w:autoSpaceDN/>
        <w:bidi w:val="0"/>
        <w:adjustRightInd/>
        <w:snapToGrid/>
        <w:spacing w:line="579" w:lineRule="exact"/>
        <w:ind w:firstLine="629"/>
        <w:textAlignment w:val="auto"/>
        <w:outlineLvl w:val="0"/>
        <w:rPr>
          <w:rFonts w:ascii="黑体" w:hAnsi="黑体" w:eastAsia="黑体"/>
          <w:sz w:val="30"/>
          <w:szCs w:val="30"/>
        </w:rPr>
      </w:pPr>
      <w:bookmarkStart w:id="38" w:name="_Toc56861587"/>
      <w:r>
        <w:rPr>
          <w:rFonts w:hint="eastAsia" w:ascii="黑体" w:hAnsi="黑体" w:eastAsia="黑体"/>
          <w:sz w:val="30"/>
          <w:szCs w:val="30"/>
        </w:rPr>
        <w:t>八、建议</w:t>
      </w:r>
      <w:bookmarkEnd w:id="38"/>
    </w:p>
    <w:p>
      <w:pPr>
        <w:spacing w:line="570" w:lineRule="exact"/>
        <w:ind w:firstLine="600" w:firstLineChars="200"/>
        <w:outlineLvl w:val="1"/>
        <w:rPr>
          <w:rFonts w:ascii="楷体" w:hAnsi="楷体" w:eastAsia="楷体"/>
          <w:sz w:val="30"/>
          <w:szCs w:val="30"/>
        </w:rPr>
      </w:pPr>
      <w:bookmarkStart w:id="39" w:name="_Toc56861588"/>
      <w:bookmarkStart w:id="40" w:name="_Toc13550892"/>
      <w:bookmarkStart w:id="41" w:name="_Toc51333635"/>
      <w:r>
        <w:rPr>
          <w:rFonts w:hint="eastAsia" w:ascii="楷体" w:hAnsi="楷体" w:eastAsia="楷体"/>
          <w:sz w:val="30"/>
          <w:szCs w:val="30"/>
        </w:rPr>
        <w:t>（一）严格落实全面预算绩效管理，提升预算绩效管理水平</w:t>
      </w:r>
      <w:bookmarkEnd w:id="39"/>
      <w:bookmarkEnd w:id="40"/>
      <w:bookmarkEnd w:id="41"/>
    </w:p>
    <w:p>
      <w:pPr>
        <w:spacing w:line="579" w:lineRule="exact"/>
        <w:ind w:firstLine="600" w:firstLineChars="200"/>
        <w:rPr>
          <w:rFonts w:hint="eastAsia" w:ascii="仿宋" w:hAnsi="仿宋" w:eastAsia="仿宋"/>
          <w:sz w:val="30"/>
          <w:szCs w:val="30"/>
        </w:rPr>
      </w:pPr>
      <w:r>
        <w:rPr>
          <w:rFonts w:hint="eastAsia" w:hAnsi="仿宋"/>
          <w:sz w:val="30"/>
          <w:szCs w:val="30"/>
          <w:lang w:val="en-US" w:eastAsia="zh-CN"/>
        </w:rPr>
        <w:t>1.</w:t>
      </w:r>
      <w:r>
        <w:rPr>
          <w:rFonts w:hint="eastAsia" w:ascii="仿宋" w:hAnsi="仿宋" w:eastAsia="仿宋"/>
          <w:sz w:val="30"/>
          <w:szCs w:val="30"/>
        </w:rPr>
        <w:t>规范项目</w:t>
      </w:r>
      <w:r>
        <w:rPr>
          <w:rFonts w:hint="eastAsia" w:hAnsi="仿宋"/>
          <w:sz w:val="30"/>
          <w:szCs w:val="30"/>
          <w:lang w:val="en-US" w:eastAsia="zh-CN"/>
        </w:rPr>
        <w:t>绩效目标</w:t>
      </w:r>
      <w:r>
        <w:rPr>
          <w:rFonts w:hint="eastAsia" w:ascii="仿宋" w:hAnsi="仿宋" w:eastAsia="仿宋"/>
          <w:sz w:val="30"/>
          <w:szCs w:val="30"/>
        </w:rPr>
        <w:t>申报，加强预算</w:t>
      </w:r>
      <w:r>
        <w:rPr>
          <w:rFonts w:hint="eastAsia" w:hAnsi="仿宋"/>
          <w:sz w:val="30"/>
          <w:szCs w:val="30"/>
          <w:lang w:val="en-US" w:eastAsia="zh-CN"/>
        </w:rPr>
        <w:t>绩效</w:t>
      </w:r>
      <w:r>
        <w:rPr>
          <w:rFonts w:hint="eastAsia" w:ascii="仿宋" w:hAnsi="仿宋" w:eastAsia="仿宋"/>
          <w:sz w:val="30"/>
          <w:szCs w:val="30"/>
        </w:rPr>
        <w:t>管理</w:t>
      </w:r>
    </w:p>
    <w:p>
      <w:pPr>
        <w:spacing w:line="579" w:lineRule="exact"/>
        <w:ind w:firstLine="600" w:firstLineChars="200"/>
        <w:rPr>
          <w:rFonts w:hint="default" w:hAnsi="仿宋"/>
          <w:sz w:val="30"/>
          <w:szCs w:val="30"/>
          <w:lang w:val="en-US" w:eastAsia="zh-CN"/>
        </w:rPr>
      </w:pPr>
      <w:r>
        <w:rPr>
          <w:rFonts w:hint="eastAsia" w:ascii="仿宋" w:hAnsi="仿宋" w:eastAsia="仿宋"/>
          <w:sz w:val="30"/>
          <w:szCs w:val="30"/>
        </w:rPr>
        <w:t>建议主管部门规范项目</w:t>
      </w:r>
      <w:r>
        <w:rPr>
          <w:rFonts w:hint="eastAsia" w:hAnsi="仿宋"/>
          <w:sz w:val="30"/>
          <w:szCs w:val="30"/>
          <w:lang w:val="en-US" w:eastAsia="zh-CN"/>
        </w:rPr>
        <w:t>绩效目标</w:t>
      </w:r>
      <w:r>
        <w:rPr>
          <w:rFonts w:hint="eastAsia" w:ascii="仿宋" w:hAnsi="仿宋" w:eastAsia="仿宋"/>
          <w:sz w:val="30"/>
          <w:szCs w:val="30"/>
        </w:rPr>
        <w:t>申报，提高项目预算申报工作的完整性，进一步强化预算支出的责任和效率，提高财政资金使用绩效。严格按照《中共云南省委 云南省人民政府关于全面实施预算绩效管理的实施意见》（云发〔2019〕11号）文件的相关要求，规范项目预算绩效管理，从数量、质量、时效、成本、效益等方面，综合衡量项目预算资金使用效果，有针对性</w:t>
      </w:r>
      <w:r>
        <w:rPr>
          <w:rFonts w:hint="eastAsia" w:hAnsi="仿宋"/>
          <w:sz w:val="30"/>
          <w:szCs w:val="30"/>
          <w:lang w:val="en-US" w:eastAsia="zh-CN"/>
        </w:rPr>
        <w:t>的</w:t>
      </w:r>
      <w:r>
        <w:rPr>
          <w:rFonts w:hint="eastAsia" w:ascii="仿宋" w:hAnsi="仿宋" w:eastAsia="仿宋"/>
          <w:sz w:val="30"/>
          <w:szCs w:val="30"/>
        </w:rPr>
        <w:t>申报项目绩效目标及绩效指标，使项目、资金、绩效高度统一，确保财政资源高效配置。</w:t>
      </w:r>
    </w:p>
    <w:p>
      <w:pPr>
        <w:spacing w:line="579" w:lineRule="exact"/>
        <w:ind w:firstLine="600" w:firstLineChars="200"/>
        <w:rPr>
          <w:rFonts w:ascii="仿宋" w:hAnsi="仿宋" w:eastAsia="仿宋"/>
          <w:sz w:val="30"/>
          <w:szCs w:val="30"/>
        </w:rPr>
      </w:pPr>
      <w:r>
        <w:rPr>
          <w:rFonts w:hint="eastAsia" w:hAnsi="仿宋"/>
          <w:sz w:val="30"/>
          <w:szCs w:val="30"/>
          <w:lang w:val="en-US" w:eastAsia="zh-CN"/>
        </w:rPr>
        <w:t>2</w:t>
      </w:r>
      <w:r>
        <w:rPr>
          <w:rFonts w:ascii="仿宋" w:hAnsi="仿宋" w:eastAsia="仿宋"/>
          <w:sz w:val="30"/>
          <w:szCs w:val="30"/>
        </w:rPr>
        <w:t>.</w:t>
      </w:r>
      <w:r>
        <w:rPr>
          <w:rFonts w:hint="eastAsia" w:ascii="仿宋" w:hAnsi="仿宋" w:eastAsia="仿宋"/>
          <w:sz w:val="30"/>
          <w:szCs w:val="30"/>
        </w:rPr>
        <w:t>落实绩效管理制度，提升绩效自评质量</w:t>
      </w:r>
    </w:p>
    <w:p>
      <w:pPr>
        <w:spacing w:line="579" w:lineRule="exact"/>
        <w:ind w:firstLine="600" w:firstLineChars="200"/>
        <w:rPr>
          <w:rFonts w:hint="default" w:ascii="仿宋" w:hAnsi="仿宋" w:eastAsia="仿宋"/>
          <w:sz w:val="30"/>
          <w:szCs w:val="30"/>
          <w:lang w:val="en-US" w:eastAsia="zh-CN"/>
        </w:rPr>
      </w:pPr>
      <w:r>
        <w:rPr>
          <w:rFonts w:hint="eastAsia" w:ascii="仿宋" w:hAnsi="仿宋" w:eastAsia="仿宋"/>
          <w:sz w:val="30"/>
          <w:szCs w:val="30"/>
        </w:rPr>
        <w:t>项目实施部门应优化绩效自评方法，进一步加强完善绩效自评工作。依据项目实施方案、项目管理制度及相关工作部署设置为基础，合理细化设置绩效指标，产出指标、效果指标应全面反映项目实施的具体情况，保障项目自评工作开展的有效性。在开展绩效自评时，应及时收集、整理与绩效自评指标体系评分相匹配的过程性记录和评价数据、证明材料等，并与相应的评价指标对应，使绩效自评过程和结果可追溯。</w:t>
      </w:r>
    </w:p>
    <w:p>
      <w:pPr>
        <w:spacing w:line="570" w:lineRule="exact"/>
        <w:ind w:firstLine="600" w:firstLineChars="200"/>
        <w:outlineLvl w:val="1"/>
        <w:rPr>
          <w:rFonts w:hint="eastAsia" w:ascii="楷体" w:hAnsi="楷体" w:eastAsia="楷体" w:cs="楷体"/>
          <w:b w:val="0"/>
          <w:bCs w:val="0"/>
          <w:sz w:val="30"/>
          <w:szCs w:val="30"/>
          <w:lang w:val="en-US" w:eastAsia="zh-CN"/>
        </w:rPr>
      </w:pPr>
      <w:r>
        <w:rPr>
          <w:rFonts w:hint="eastAsia" w:ascii="楷体" w:hAnsi="楷体" w:eastAsia="楷体"/>
          <w:sz w:val="30"/>
          <w:szCs w:val="30"/>
        </w:rPr>
        <w:t>（</w:t>
      </w:r>
      <w:r>
        <w:rPr>
          <w:rFonts w:hint="eastAsia" w:ascii="楷体" w:hAnsi="楷体" w:eastAsia="楷体"/>
          <w:sz w:val="30"/>
          <w:szCs w:val="30"/>
          <w:lang w:val="en-US" w:eastAsia="zh-CN"/>
        </w:rPr>
        <w:t>二</w:t>
      </w:r>
      <w:r>
        <w:rPr>
          <w:rFonts w:hint="eastAsia" w:ascii="楷体" w:hAnsi="楷体" w:eastAsia="楷体"/>
          <w:sz w:val="30"/>
          <w:szCs w:val="30"/>
        </w:rPr>
        <w:t>）规范项目管理</w:t>
      </w:r>
      <w:r>
        <w:rPr>
          <w:rFonts w:hint="eastAsia" w:ascii="楷体" w:hAnsi="楷体" w:eastAsia="楷体"/>
          <w:sz w:val="30"/>
          <w:szCs w:val="30"/>
          <w:lang w:eastAsia="zh-CN"/>
        </w:rPr>
        <w:t>，</w:t>
      </w:r>
      <w:r>
        <w:rPr>
          <w:rFonts w:hint="eastAsia" w:ascii="楷体" w:hAnsi="楷体" w:eastAsia="楷体" w:cs="楷体"/>
          <w:b w:val="0"/>
          <w:bCs w:val="0"/>
          <w:sz w:val="30"/>
          <w:szCs w:val="30"/>
          <w:lang w:val="en-US" w:eastAsia="zh-CN"/>
        </w:rPr>
        <w:t>严格执行项目管理办法</w:t>
      </w:r>
    </w:p>
    <w:p>
      <w:pPr>
        <w:spacing w:line="579" w:lineRule="exact"/>
        <w:ind w:firstLine="600" w:firstLineChars="200"/>
        <w:rPr>
          <w:rFonts w:hint="eastAsia" w:hAnsi="仿宋"/>
          <w:sz w:val="30"/>
          <w:szCs w:val="30"/>
          <w:lang w:val="en-US" w:eastAsia="zh-CN"/>
        </w:rPr>
      </w:pPr>
      <w:r>
        <w:rPr>
          <w:rFonts w:hint="eastAsia" w:ascii="仿宋" w:hAnsi="仿宋" w:eastAsia="仿宋"/>
          <w:sz w:val="30"/>
          <w:szCs w:val="30"/>
          <w:lang w:val="en-US" w:eastAsia="zh-CN"/>
        </w:rPr>
        <w:t>1.</w:t>
      </w:r>
      <w:r>
        <w:rPr>
          <w:rFonts w:hint="eastAsia" w:hAnsi="仿宋"/>
          <w:sz w:val="30"/>
          <w:szCs w:val="30"/>
          <w:lang w:val="en-US" w:eastAsia="zh-CN"/>
        </w:rPr>
        <w:t>严格执行项目管理办法，及时公开、公示项目信息</w:t>
      </w:r>
    </w:p>
    <w:p>
      <w:pPr>
        <w:numPr>
          <w:ilvl w:val="0"/>
          <w:numId w:val="0"/>
        </w:numPr>
        <w:ind w:firstLine="600" w:firstLineChars="200"/>
        <w:jc w:val="both"/>
        <w:rPr>
          <w:rFonts w:hint="eastAsia" w:ascii="仿宋" w:hAnsi="仿宋" w:eastAsia="仿宋" w:cs="仿宋"/>
          <w:sz w:val="30"/>
          <w:szCs w:val="30"/>
          <w:lang w:val="en-US" w:eastAsia="zh-CN"/>
        </w:rPr>
      </w:pPr>
      <w:r>
        <w:rPr>
          <w:rFonts w:hint="eastAsia" w:hAnsi="仿宋" w:cs="仿宋"/>
          <w:sz w:val="30"/>
          <w:szCs w:val="30"/>
          <w:lang w:val="en-US" w:eastAsia="zh-CN"/>
        </w:rPr>
        <w:t>建议项目主管部门，严格按照</w:t>
      </w:r>
      <w:r>
        <w:rPr>
          <w:rFonts w:hint="eastAsia" w:ascii="仿宋" w:hAnsi="仿宋" w:eastAsia="仿宋" w:cs="仿宋"/>
          <w:sz w:val="30"/>
          <w:szCs w:val="30"/>
          <w:lang w:val="en-US" w:eastAsia="zh-CN"/>
        </w:rPr>
        <w:t>《盈江县人民政府办公室关于印发盈江县统筹整合使用财政涉农资金管理暂行办法的通知》（盈政办发〔2018〕92号）</w:t>
      </w:r>
      <w:r>
        <w:rPr>
          <w:rFonts w:hint="eastAsia" w:hAnsi="仿宋" w:cs="仿宋"/>
          <w:sz w:val="30"/>
          <w:szCs w:val="30"/>
          <w:lang w:val="en-US" w:eastAsia="zh-CN"/>
        </w:rPr>
        <w:t>文件的相关要求</w:t>
      </w:r>
      <w:r>
        <w:rPr>
          <w:rFonts w:hint="eastAsia" w:ascii="仿宋" w:hAnsi="仿宋" w:eastAsia="仿宋" w:cs="仿宋"/>
          <w:sz w:val="30"/>
          <w:szCs w:val="30"/>
          <w:lang w:val="en-US" w:eastAsia="zh-CN"/>
        </w:rPr>
        <w:t>，</w:t>
      </w:r>
      <w:r>
        <w:rPr>
          <w:rFonts w:hint="eastAsia" w:hAnsi="仿宋" w:cs="仿宋"/>
          <w:sz w:val="30"/>
          <w:szCs w:val="30"/>
          <w:lang w:val="en-US" w:eastAsia="zh-CN"/>
        </w:rPr>
        <w:t>对</w:t>
      </w:r>
      <w:r>
        <w:rPr>
          <w:rFonts w:hint="eastAsia" w:ascii="仿宋" w:hAnsi="仿宋" w:eastAsia="仿宋" w:cs="仿宋"/>
          <w:sz w:val="30"/>
          <w:szCs w:val="30"/>
          <w:lang w:val="en-US" w:eastAsia="zh-CN"/>
        </w:rPr>
        <w:t>统筹整合财政涉农资金使用</w:t>
      </w:r>
      <w:r>
        <w:rPr>
          <w:rFonts w:hint="eastAsia" w:hAnsi="仿宋" w:cs="仿宋"/>
          <w:sz w:val="30"/>
          <w:szCs w:val="30"/>
          <w:lang w:val="en-US" w:eastAsia="zh-CN"/>
        </w:rPr>
        <w:t>、工程实施和竣工验收情况在项目实施乡镇进行公示公告</w:t>
      </w:r>
      <w:r>
        <w:rPr>
          <w:rFonts w:hint="eastAsia" w:ascii="仿宋" w:hAnsi="仿宋" w:eastAsia="仿宋" w:cs="仿宋"/>
          <w:sz w:val="30"/>
          <w:szCs w:val="30"/>
          <w:lang w:val="en-US" w:eastAsia="zh-CN"/>
        </w:rPr>
        <w:t>，接受社会监督。</w:t>
      </w:r>
    </w:p>
    <w:p>
      <w:pPr>
        <w:numPr>
          <w:ilvl w:val="0"/>
          <w:numId w:val="0"/>
        </w:numPr>
        <w:ind w:firstLine="600" w:firstLineChars="200"/>
        <w:jc w:val="both"/>
        <w:rPr>
          <w:rFonts w:hint="eastAsia" w:hAnsi="仿宋" w:cs="仿宋"/>
          <w:sz w:val="30"/>
          <w:szCs w:val="30"/>
          <w:lang w:val="en-US" w:eastAsia="zh-CN"/>
        </w:rPr>
      </w:pPr>
      <w:r>
        <w:rPr>
          <w:rFonts w:hint="eastAsia" w:hAnsi="仿宋" w:cs="仿宋"/>
          <w:sz w:val="30"/>
          <w:szCs w:val="30"/>
          <w:lang w:val="en-US" w:eastAsia="zh-CN"/>
        </w:rPr>
        <w:t>2.规范项目验收和结算审核程序</w:t>
      </w:r>
    </w:p>
    <w:p>
      <w:pPr>
        <w:numPr>
          <w:ilvl w:val="0"/>
          <w:numId w:val="0"/>
        </w:numPr>
        <w:ind w:firstLine="600" w:firstLineChars="200"/>
        <w:jc w:val="both"/>
        <w:rPr>
          <w:rFonts w:hint="eastAsia" w:hAnsi="仿宋" w:cs="仿宋"/>
          <w:sz w:val="30"/>
          <w:szCs w:val="30"/>
          <w:lang w:val="en-US" w:eastAsia="zh-CN"/>
        </w:rPr>
      </w:pPr>
      <w:r>
        <w:rPr>
          <w:rFonts w:hint="eastAsia" w:hAnsi="仿宋" w:cs="仿宋"/>
          <w:sz w:val="30"/>
          <w:szCs w:val="30"/>
          <w:lang w:val="en-US" w:eastAsia="zh-CN"/>
        </w:rPr>
        <w:t>严格按照《农田建设项目管理办法》及《盈江县人民政府办公室关于印发盈江县统筹整合使用财政涉农资金管理暂行办法的通知》（盈政办发〔2018〕92号）的相关要求，对已完工项目及时组织验收并进行结算审核。</w:t>
      </w:r>
    </w:p>
    <w:p>
      <w:pPr>
        <w:numPr>
          <w:ilvl w:val="0"/>
          <w:numId w:val="0"/>
        </w:numPr>
        <w:spacing w:line="579" w:lineRule="exact"/>
        <w:ind w:firstLine="600" w:firstLineChars="200"/>
        <w:outlineLvl w:val="1"/>
        <w:rPr>
          <w:rFonts w:hint="eastAsia" w:ascii="楷体" w:hAnsi="楷体" w:eastAsia="楷体"/>
          <w:sz w:val="30"/>
          <w:szCs w:val="30"/>
        </w:rPr>
      </w:pPr>
      <w:r>
        <w:rPr>
          <w:rFonts w:hint="eastAsia" w:ascii="楷体" w:hAnsi="楷体" w:eastAsia="楷体"/>
          <w:sz w:val="30"/>
          <w:szCs w:val="30"/>
          <w:lang w:eastAsia="zh-CN"/>
        </w:rPr>
        <w:t>（</w:t>
      </w:r>
      <w:r>
        <w:rPr>
          <w:rFonts w:hint="eastAsia" w:ascii="楷体" w:hAnsi="楷体" w:eastAsia="楷体"/>
          <w:sz w:val="30"/>
          <w:szCs w:val="30"/>
          <w:lang w:val="en-US" w:eastAsia="zh-CN"/>
        </w:rPr>
        <w:t>三</w:t>
      </w:r>
      <w:r>
        <w:rPr>
          <w:rFonts w:hint="eastAsia" w:ascii="楷体" w:hAnsi="楷体" w:eastAsia="楷体"/>
          <w:sz w:val="30"/>
          <w:szCs w:val="30"/>
          <w:lang w:eastAsia="zh-CN"/>
        </w:rPr>
        <w:t>）</w:t>
      </w:r>
      <w:r>
        <w:rPr>
          <w:rFonts w:hint="eastAsia" w:ascii="楷体" w:hAnsi="楷体" w:eastAsia="楷体"/>
          <w:sz w:val="30"/>
          <w:szCs w:val="30"/>
        </w:rPr>
        <w:t>强化</w:t>
      </w:r>
      <w:r>
        <w:rPr>
          <w:rFonts w:hint="eastAsia" w:ascii="楷体" w:hAnsi="楷体" w:eastAsia="楷体"/>
          <w:sz w:val="30"/>
          <w:szCs w:val="30"/>
          <w:lang w:val="en-US" w:eastAsia="zh-CN"/>
        </w:rPr>
        <w:t>财务工作</w:t>
      </w:r>
      <w:r>
        <w:rPr>
          <w:rFonts w:hint="eastAsia" w:ascii="楷体" w:hAnsi="楷体" w:eastAsia="楷体"/>
          <w:sz w:val="30"/>
          <w:szCs w:val="30"/>
        </w:rPr>
        <w:t>管理，规范使用</w:t>
      </w:r>
      <w:r>
        <w:rPr>
          <w:rFonts w:hint="eastAsia" w:ascii="楷体" w:hAnsi="楷体" w:eastAsia="楷体"/>
          <w:sz w:val="30"/>
          <w:szCs w:val="30"/>
          <w:lang w:val="en-US" w:eastAsia="zh-CN"/>
        </w:rPr>
        <w:t>项目</w:t>
      </w:r>
      <w:r>
        <w:rPr>
          <w:rFonts w:hint="eastAsia" w:ascii="楷体" w:hAnsi="楷体" w:eastAsia="楷体"/>
          <w:sz w:val="30"/>
          <w:szCs w:val="30"/>
        </w:rPr>
        <w:t>资金</w:t>
      </w:r>
    </w:p>
    <w:p>
      <w:pPr>
        <w:spacing w:line="579" w:lineRule="exact"/>
        <w:ind w:firstLine="600" w:firstLineChars="200"/>
        <w:rPr>
          <w:rFonts w:ascii="仿宋" w:hAnsi="仿宋" w:eastAsia="仿宋"/>
          <w:sz w:val="30"/>
          <w:szCs w:val="30"/>
        </w:rPr>
      </w:pPr>
      <w:r>
        <w:rPr>
          <w:rFonts w:hint="eastAsia" w:ascii="仿宋" w:hAnsi="仿宋" w:eastAsia="仿宋"/>
          <w:sz w:val="30"/>
          <w:szCs w:val="30"/>
          <w:lang w:val="en-US" w:eastAsia="zh-CN"/>
        </w:rPr>
        <w:t>1.</w:t>
      </w:r>
      <w:r>
        <w:rPr>
          <w:rFonts w:hint="eastAsia" w:ascii="仿宋" w:hAnsi="仿宋" w:eastAsia="仿宋"/>
          <w:color w:val="auto"/>
          <w:sz w:val="30"/>
          <w:szCs w:val="30"/>
        </w:rPr>
        <w:t>完善</w:t>
      </w:r>
      <w:r>
        <w:rPr>
          <w:rFonts w:hint="eastAsia" w:hAnsi="仿宋"/>
          <w:color w:val="auto"/>
          <w:sz w:val="30"/>
          <w:szCs w:val="30"/>
          <w:lang w:val="en-US" w:eastAsia="zh-CN"/>
        </w:rPr>
        <w:t>项目资金分配机制</w:t>
      </w:r>
      <w:r>
        <w:rPr>
          <w:rFonts w:hint="eastAsia" w:ascii="仿宋" w:hAnsi="仿宋" w:eastAsia="仿宋"/>
          <w:color w:val="auto"/>
          <w:sz w:val="30"/>
          <w:szCs w:val="30"/>
        </w:rPr>
        <w:t>，确保</w:t>
      </w:r>
      <w:r>
        <w:rPr>
          <w:rFonts w:hint="eastAsia" w:hAnsi="仿宋"/>
          <w:color w:val="auto"/>
          <w:sz w:val="30"/>
          <w:szCs w:val="30"/>
          <w:lang w:val="en-US" w:eastAsia="zh-CN"/>
        </w:rPr>
        <w:t>地方</w:t>
      </w:r>
      <w:r>
        <w:rPr>
          <w:rFonts w:hint="eastAsia" w:ascii="仿宋" w:hAnsi="仿宋" w:eastAsia="仿宋"/>
          <w:color w:val="auto"/>
          <w:sz w:val="30"/>
          <w:szCs w:val="30"/>
        </w:rPr>
        <w:t>资金及时</w:t>
      </w:r>
      <w:r>
        <w:rPr>
          <w:rFonts w:hint="eastAsia" w:ascii="仿宋" w:hAnsi="仿宋" w:eastAsia="仿宋"/>
          <w:sz w:val="30"/>
          <w:szCs w:val="30"/>
        </w:rPr>
        <w:t>足额到位</w:t>
      </w:r>
    </w:p>
    <w:p>
      <w:pPr>
        <w:spacing w:line="579" w:lineRule="exact"/>
        <w:ind w:firstLine="600" w:firstLineChars="200"/>
        <w:rPr>
          <w:rFonts w:hint="default" w:hAnsi="仿宋" w:cs="仿宋"/>
          <w:sz w:val="30"/>
          <w:szCs w:val="30"/>
          <w:lang w:val="en-US" w:eastAsia="zh-CN"/>
        </w:rPr>
      </w:pPr>
      <w:r>
        <w:rPr>
          <w:rFonts w:hint="eastAsia" w:hAnsi="仿宋" w:cs="仿宋"/>
          <w:sz w:val="30"/>
          <w:szCs w:val="30"/>
          <w:lang w:val="en-US" w:eastAsia="zh-CN"/>
        </w:rPr>
        <w:t>严格按照《财政部 农业农村部关于印发农田建设补助资金管理办法的通知》（财农〔2019〕46号）的相关要求，</w:t>
      </w:r>
      <w:r>
        <w:rPr>
          <w:rFonts w:hint="default" w:hAnsi="仿宋" w:cs="仿宋"/>
          <w:sz w:val="30"/>
          <w:szCs w:val="30"/>
          <w:lang w:val="zh-CN" w:eastAsia="zh-CN"/>
        </w:rPr>
        <w:t>中央财政与地方财政共同承担农田建设支出责任，地方各级财政应当安排必要的资金投入农田建设，列入本级政府预算</w:t>
      </w:r>
      <w:r>
        <w:rPr>
          <w:rFonts w:hint="eastAsia" w:hAnsi="仿宋" w:cs="仿宋"/>
          <w:sz w:val="30"/>
          <w:szCs w:val="30"/>
          <w:lang w:val="zh-CN" w:eastAsia="zh-CN"/>
        </w:rPr>
        <w:t>，确保地方资金及时足额到位，避免因资金拨付</w:t>
      </w:r>
      <w:r>
        <w:rPr>
          <w:rFonts w:hint="eastAsia" w:hAnsi="仿宋" w:cs="仿宋"/>
          <w:sz w:val="30"/>
          <w:szCs w:val="30"/>
          <w:lang w:val="en-US" w:eastAsia="zh-CN"/>
        </w:rPr>
        <w:t>不到位</w:t>
      </w:r>
      <w:r>
        <w:rPr>
          <w:rFonts w:hint="eastAsia" w:hAnsi="仿宋" w:cs="仿宋"/>
          <w:sz w:val="30"/>
          <w:szCs w:val="30"/>
          <w:lang w:val="zh-CN" w:eastAsia="zh-CN"/>
        </w:rPr>
        <w:t>而影响项目实施进度。</w:t>
      </w:r>
    </w:p>
    <w:p>
      <w:pPr>
        <w:spacing w:line="579" w:lineRule="exact"/>
        <w:ind w:firstLine="600" w:firstLineChars="200"/>
        <w:rPr>
          <w:rFonts w:hint="eastAsia" w:hAnsi="仿宋"/>
          <w:sz w:val="30"/>
          <w:szCs w:val="30"/>
          <w:lang w:val="en-US" w:eastAsia="zh-CN"/>
        </w:rPr>
      </w:pPr>
      <w:r>
        <w:rPr>
          <w:rFonts w:hint="eastAsia" w:hAnsi="仿宋"/>
          <w:sz w:val="30"/>
          <w:szCs w:val="30"/>
          <w:lang w:val="en-US" w:eastAsia="zh-CN"/>
        </w:rPr>
        <w:t>2.</w:t>
      </w:r>
      <w:r>
        <w:rPr>
          <w:rFonts w:hint="default" w:hAnsi="仿宋"/>
          <w:sz w:val="30"/>
          <w:szCs w:val="30"/>
          <w:lang w:val="en-US" w:eastAsia="zh-CN"/>
        </w:rPr>
        <w:t>加强</w:t>
      </w:r>
      <w:r>
        <w:rPr>
          <w:rFonts w:hint="eastAsia" w:hAnsi="仿宋"/>
          <w:sz w:val="30"/>
          <w:szCs w:val="30"/>
          <w:lang w:val="en-US" w:eastAsia="zh-CN"/>
        </w:rPr>
        <w:t>资金拨付</w:t>
      </w:r>
      <w:r>
        <w:rPr>
          <w:rFonts w:hint="default" w:hAnsi="仿宋"/>
          <w:sz w:val="30"/>
          <w:szCs w:val="30"/>
          <w:lang w:val="en-US" w:eastAsia="zh-CN"/>
        </w:rPr>
        <w:t>审核，严格执行内部控制制度</w:t>
      </w:r>
    </w:p>
    <w:p>
      <w:pPr>
        <w:spacing w:line="579" w:lineRule="exact"/>
        <w:ind w:firstLine="600" w:firstLineChars="200"/>
        <w:rPr>
          <w:rFonts w:hint="eastAsia" w:hAnsi="仿宋" w:cs="仿宋"/>
          <w:sz w:val="30"/>
          <w:szCs w:val="30"/>
          <w:lang w:val="en-US" w:eastAsia="zh-CN"/>
        </w:rPr>
      </w:pPr>
      <w:r>
        <w:rPr>
          <w:rFonts w:hint="default" w:hAnsi="仿宋"/>
          <w:sz w:val="30"/>
          <w:szCs w:val="30"/>
          <w:lang w:val="en-US" w:eastAsia="zh-CN"/>
        </w:rPr>
        <w:t>建议主管部门开展全面的自检自查工作，及时整改发现的问题，强化</w:t>
      </w:r>
      <w:r>
        <w:rPr>
          <w:rFonts w:hint="eastAsia" w:hAnsi="仿宋"/>
          <w:sz w:val="30"/>
          <w:szCs w:val="30"/>
          <w:lang w:val="en-US" w:eastAsia="zh-CN"/>
        </w:rPr>
        <w:t>财务工作</w:t>
      </w:r>
      <w:r>
        <w:rPr>
          <w:rFonts w:hint="default" w:hAnsi="仿宋"/>
          <w:sz w:val="30"/>
          <w:szCs w:val="30"/>
          <w:lang w:val="en-US" w:eastAsia="zh-CN"/>
        </w:rPr>
        <w:t>管理；加强</w:t>
      </w:r>
      <w:r>
        <w:rPr>
          <w:rFonts w:hint="eastAsia" w:hAnsi="仿宋"/>
          <w:sz w:val="30"/>
          <w:szCs w:val="30"/>
          <w:lang w:val="en-US" w:eastAsia="zh-CN"/>
        </w:rPr>
        <w:t>资金拨付</w:t>
      </w:r>
      <w:r>
        <w:rPr>
          <w:rFonts w:hint="default" w:hAnsi="仿宋"/>
          <w:sz w:val="30"/>
          <w:szCs w:val="30"/>
          <w:lang w:val="en-US" w:eastAsia="zh-CN"/>
        </w:rPr>
        <w:t>审核力度，严格按照</w:t>
      </w:r>
      <w:r>
        <w:rPr>
          <w:rFonts w:hint="eastAsia" w:hAnsi="仿宋"/>
          <w:sz w:val="30"/>
          <w:szCs w:val="30"/>
          <w:lang w:val="en-US" w:eastAsia="zh-CN"/>
        </w:rPr>
        <w:t>工程进度和合同约定付款，对于不应拨付的款项，不予拨付，确保</w:t>
      </w:r>
      <w:r>
        <w:rPr>
          <w:rFonts w:hint="eastAsia" w:ascii="仿宋" w:hAnsi="仿宋" w:eastAsia="仿宋" w:cs="仿宋"/>
          <w:sz w:val="30"/>
          <w:szCs w:val="30"/>
          <w:lang w:val="en-US" w:eastAsia="zh-CN"/>
        </w:rPr>
        <w:t>资金安全</w:t>
      </w:r>
      <w:r>
        <w:rPr>
          <w:rFonts w:hint="eastAsia" w:hAnsi="仿宋" w:cs="仿宋"/>
          <w:sz w:val="30"/>
          <w:szCs w:val="30"/>
          <w:lang w:val="en-US" w:eastAsia="zh-CN"/>
        </w:rPr>
        <w:t>，保证项目</w:t>
      </w:r>
      <w:r>
        <w:rPr>
          <w:rFonts w:hint="eastAsia" w:ascii="仿宋" w:hAnsi="仿宋" w:eastAsia="仿宋" w:cs="仿宋"/>
          <w:sz w:val="30"/>
          <w:szCs w:val="30"/>
          <w:lang w:val="en-US" w:eastAsia="zh-CN"/>
        </w:rPr>
        <w:t>工程质量</w:t>
      </w:r>
      <w:r>
        <w:rPr>
          <w:rFonts w:hint="eastAsia" w:hAnsi="仿宋" w:cs="仿宋"/>
          <w:sz w:val="30"/>
          <w:szCs w:val="30"/>
          <w:lang w:val="en-US" w:eastAsia="zh-CN"/>
        </w:rPr>
        <w:t>。</w:t>
      </w:r>
    </w:p>
    <w:p>
      <w:pPr>
        <w:spacing w:line="579" w:lineRule="exact"/>
        <w:ind w:firstLine="600" w:firstLineChars="200"/>
        <w:rPr>
          <w:rFonts w:hint="eastAsia" w:hAnsi="仿宋" w:cs="仿宋"/>
          <w:sz w:val="30"/>
          <w:szCs w:val="30"/>
          <w:lang w:val="en-US" w:eastAsia="zh-CN"/>
        </w:rPr>
      </w:pPr>
    </w:p>
    <w:p>
      <w:pPr>
        <w:spacing w:line="570" w:lineRule="exact"/>
        <w:ind w:firstLine="600" w:firstLineChars="200"/>
        <w:rPr>
          <w:rFonts w:hint="eastAsia" w:ascii="仿宋" w:hAnsi="仿宋" w:eastAsia="仿宋"/>
          <w:sz w:val="30"/>
          <w:szCs w:val="30"/>
        </w:rPr>
      </w:pPr>
      <w:bookmarkStart w:id="42" w:name="_Hlk525314575"/>
    </w:p>
    <w:p>
      <w:pPr>
        <w:spacing w:line="570" w:lineRule="exact"/>
        <w:ind w:firstLine="600" w:firstLineChars="200"/>
        <w:rPr>
          <w:rFonts w:hint="eastAsia" w:ascii="仿宋" w:hAnsi="仿宋" w:eastAsia="仿宋"/>
          <w:sz w:val="30"/>
          <w:szCs w:val="30"/>
        </w:rPr>
      </w:pPr>
    </w:p>
    <w:p>
      <w:pPr>
        <w:spacing w:line="570" w:lineRule="exact"/>
        <w:ind w:firstLine="600" w:firstLineChars="200"/>
        <w:rPr>
          <w:rFonts w:hint="eastAsia" w:ascii="仿宋" w:hAnsi="仿宋" w:eastAsia="仿宋"/>
          <w:sz w:val="30"/>
          <w:szCs w:val="30"/>
        </w:rPr>
      </w:pPr>
    </w:p>
    <w:p>
      <w:pPr>
        <w:spacing w:line="570" w:lineRule="exact"/>
        <w:ind w:firstLine="600" w:firstLineChars="200"/>
        <w:rPr>
          <w:rFonts w:hint="eastAsia" w:ascii="仿宋" w:hAnsi="仿宋" w:eastAsia="仿宋"/>
          <w:sz w:val="30"/>
          <w:szCs w:val="30"/>
        </w:rPr>
      </w:pPr>
    </w:p>
    <w:p>
      <w:pPr>
        <w:spacing w:line="570" w:lineRule="exact"/>
        <w:ind w:firstLine="600" w:firstLineChars="200"/>
        <w:rPr>
          <w:rFonts w:ascii="仿宋" w:hAnsi="仿宋" w:eastAsia="仿宋"/>
          <w:sz w:val="30"/>
          <w:szCs w:val="30"/>
        </w:rPr>
      </w:pPr>
      <w:r>
        <w:rPr>
          <w:rFonts w:hint="eastAsia" w:ascii="仿宋" w:hAnsi="仿宋" w:eastAsia="仿宋"/>
          <w:sz w:val="30"/>
          <w:szCs w:val="30"/>
        </w:rPr>
        <w:t>附件：</w:t>
      </w:r>
      <w:r>
        <w:rPr>
          <w:rFonts w:ascii="仿宋" w:hAnsi="仿宋" w:eastAsia="仿宋"/>
          <w:sz w:val="30"/>
          <w:szCs w:val="30"/>
        </w:rPr>
        <w:t>1.绩效</w:t>
      </w:r>
      <w:r>
        <w:rPr>
          <w:rFonts w:hint="eastAsia" w:ascii="仿宋" w:hAnsi="仿宋" w:eastAsia="仿宋"/>
          <w:sz w:val="30"/>
          <w:szCs w:val="30"/>
        </w:rPr>
        <w:t>目标表</w:t>
      </w:r>
    </w:p>
    <w:p>
      <w:pPr>
        <w:spacing w:line="570" w:lineRule="exact"/>
        <w:ind w:firstLine="1500" w:firstLineChars="500"/>
        <w:rPr>
          <w:rFonts w:ascii="仿宋" w:hAnsi="仿宋" w:eastAsia="仿宋"/>
          <w:sz w:val="30"/>
          <w:szCs w:val="30"/>
        </w:rPr>
      </w:pPr>
      <w:r>
        <w:rPr>
          <w:rFonts w:ascii="仿宋" w:hAnsi="仿宋" w:eastAsia="仿宋"/>
          <w:sz w:val="30"/>
          <w:szCs w:val="30"/>
        </w:rPr>
        <w:t>2.</w:t>
      </w:r>
      <w:bookmarkStart w:id="43" w:name="_Hlk527019547"/>
      <w:r>
        <w:rPr>
          <w:rFonts w:hint="eastAsia" w:ascii="仿宋" w:hAnsi="仿宋" w:eastAsia="仿宋"/>
          <w:sz w:val="30"/>
          <w:szCs w:val="30"/>
        </w:rPr>
        <w:t>绩效评价指标体系及评分表</w:t>
      </w:r>
      <w:bookmarkEnd w:id="43"/>
    </w:p>
    <w:p>
      <w:pPr>
        <w:spacing w:line="570" w:lineRule="exact"/>
        <w:ind w:firstLine="1500" w:firstLineChars="500"/>
        <w:rPr>
          <w:rFonts w:hint="eastAsia" w:ascii="仿宋" w:hAnsi="仿宋" w:eastAsia="仿宋"/>
          <w:sz w:val="30"/>
          <w:szCs w:val="30"/>
        </w:rPr>
      </w:pPr>
      <w:r>
        <w:rPr>
          <w:rFonts w:ascii="仿宋" w:hAnsi="仿宋" w:eastAsia="仿宋"/>
          <w:sz w:val="30"/>
          <w:szCs w:val="30"/>
        </w:rPr>
        <w:t>3.</w:t>
      </w:r>
      <w:bookmarkStart w:id="44" w:name="_Hlk527019566"/>
      <w:r>
        <w:rPr>
          <w:rFonts w:hint="eastAsia" w:ascii="仿宋" w:hAnsi="仿宋" w:eastAsia="仿宋"/>
          <w:sz w:val="30"/>
          <w:szCs w:val="30"/>
        </w:rPr>
        <w:t>项目资金到位及使用情况表</w:t>
      </w:r>
      <w:bookmarkEnd w:id="44"/>
    </w:p>
    <w:p>
      <w:pPr>
        <w:spacing w:line="570" w:lineRule="exact"/>
        <w:ind w:firstLine="1500" w:firstLineChars="500"/>
        <w:rPr>
          <w:rFonts w:hint="default" w:ascii="仿宋" w:hAnsi="仿宋" w:eastAsia="仿宋"/>
          <w:sz w:val="30"/>
          <w:szCs w:val="30"/>
          <w:lang w:val="en-US" w:eastAsia="zh-CN"/>
        </w:rPr>
      </w:pPr>
      <w:r>
        <w:rPr>
          <w:rFonts w:hint="eastAsia" w:hAnsi="仿宋"/>
          <w:sz w:val="30"/>
          <w:szCs w:val="30"/>
          <w:lang w:val="en-US" w:eastAsia="zh-CN"/>
        </w:rPr>
        <w:t>4.项目实施内容及完成情况表</w:t>
      </w:r>
    </w:p>
    <w:p>
      <w:pPr>
        <w:spacing w:line="570" w:lineRule="exact"/>
        <w:ind w:firstLine="1500" w:firstLineChars="500"/>
        <w:rPr>
          <w:rFonts w:ascii="仿宋" w:hAnsi="仿宋" w:eastAsia="仿宋"/>
          <w:sz w:val="30"/>
          <w:szCs w:val="30"/>
        </w:rPr>
      </w:pPr>
      <w:r>
        <w:rPr>
          <w:rFonts w:hint="eastAsia" w:hAnsi="仿宋"/>
          <w:sz w:val="30"/>
          <w:szCs w:val="30"/>
          <w:lang w:val="en-US" w:eastAsia="zh-CN"/>
        </w:rPr>
        <w:t>5</w:t>
      </w:r>
      <w:r>
        <w:rPr>
          <w:rFonts w:ascii="仿宋" w:hAnsi="仿宋" w:eastAsia="仿宋"/>
          <w:sz w:val="30"/>
          <w:szCs w:val="30"/>
        </w:rPr>
        <w:t>.</w:t>
      </w:r>
      <w:bookmarkStart w:id="45" w:name="_Hlk527019673"/>
      <w:r>
        <w:rPr>
          <w:rFonts w:hint="eastAsia" w:ascii="仿宋" w:hAnsi="仿宋" w:eastAsia="仿宋"/>
          <w:sz w:val="30"/>
          <w:szCs w:val="30"/>
        </w:rPr>
        <w:t>调查问卷结果汇总表</w:t>
      </w:r>
      <w:bookmarkEnd w:id="45"/>
    </w:p>
    <w:p>
      <w:pPr>
        <w:spacing w:line="570" w:lineRule="exact"/>
        <w:ind w:firstLine="1500" w:firstLineChars="500"/>
        <w:rPr>
          <w:rFonts w:ascii="仿宋" w:hAnsi="仿宋" w:eastAsia="仿宋"/>
          <w:sz w:val="30"/>
          <w:szCs w:val="30"/>
        </w:rPr>
      </w:pPr>
      <w:r>
        <w:rPr>
          <w:rFonts w:hint="eastAsia" w:hAnsi="仿宋"/>
          <w:sz w:val="30"/>
          <w:szCs w:val="30"/>
          <w:lang w:val="en-US" w:eastAsia="zh-CN"/>
        </w:rPr>
        <w:t>6</w:t>
      </w:r>
      <w:r>
        <w:rPr>
          <w:rFonts w:ascii="仿宋" w:hAnsi="仿宋" w:eastAsia="仿宋"/>
          <w:sz w:val="30"/>
          <w:szCs w:val="30"/>
        </w:rPr>
        <w:t>.</w:t>
      </w:r>
      <w:bookmarkStart w:id="46" w:name="_Hlk527019729"/>
      <w:bookmarkStart w:id="47" w:name="_Hlk527020943"/>
      <w:r>
        <w:rPr>
          <w:rFonts w:hint="eastAsia" w:ascii="仿宋" w:hAnsi="仿宋" w:eastAsia="仿宋"/>
          <w:sz w:val="30"/>
          <w:szCs w:val="30"/>
        </w:rPr>
        <w:t>绩效自评报告</w:t>
      </w:r>
      <w:bookmarkEnd w:id="42"/>
      <w:bookmarkEnd w:id="46"/>
      <w:bookmarkEnd w:id="47"/>
    </w:p>
    <w:p>
      <w:pPr>
        <w:spacing w:line="579" w:lineRule="exact"/>
        <w:ind w:firstLine="600" w:firstLineChars="200"/>
        <w:outlineLvl w:val="1"/>
        <w:rPr>
          <w:rFonts w:hint="eastAsia" w:ascii="楷体" w:hAnsi="楷体" w:eastAsia="楷体"/>
          <w:color w:val="000000" w:themeColor="text1"/>
          <w:szCs w:val="30"/>
          <w14:textFill>
            <w14:solidFill>
              <w14:schemeClr w14:val="tx1"/>
            </w14:solidFill>
          </w14:textFill>
        </w:rPr>
      </w:pPr>
    </w:p>
    <w:p>
      <w:pPr>
        <w:spacing w:line="579" w:lineRule="exact"/>
        <w:rPr>
          <w:rFonts w:hint="eastAsia" w:ascii="仿宋" w:hAnsi="仿宋" w:eastAsia="仿宋"/>
          <w:color w:val="FF0000"/>
          <w:sz w:val="30"/>
          <w:szCs w:val="30"/>
        </w:rPr>
      </w:pPr>
    </w:p>
    <w:p>
      <w:pPr>
        <w:spacing w:line="579" w:lineRule="exact"/>
        <w:ind w:firstLine="600" w:firstLineChars="200"/>
        <w:rPr>
          <w:rFonts w:hAnsi="仿宋"/>
          <w:szCs w:val="30"/>
        </w:rPr>
      </w:pPr>
      <w:r>
        <w:rPr>
          <w:rFonts w:hAnsi="仿宋"/>
          <w:szCs w:val="30"/>
        </w:rPr>
        <w:t xml:space="preserve"> </w:t>
      </w:r>
    </w:p>
    <w:p>
      <w:pPr>
        <w:spacing w:line="579" w:lineRule="exact"/>
        <w:ind w:firstLine="600" w:firstLineChars="200"/>
        <w:rPr>
          <w:rFonts w:hint="default" w:hAnsi="仿宋"/>
          <w:szCs w:val="30"/>
          <w:lang w:val="en-US" w:eastAsia="zh-CN"/>
        </w:rPr>
      </w:pPr>
    </w:p>
    <w:sectPr>
      <w:footerReference r:id="rId6"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B3AB95B-A93D-4EB3-B85C-D8B2F734FF05}"/>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2" w:fontKey="{751D19D9-8979-4590-BF5C-B634490439B8}"/>
  </w:font>
  <w:font w:name="仿宋">
    <w:panose1 w:val="02010609060101010101"/>
    <w:charset w:val="86"/>
    <w:family w:val="modern"/>
    <w:pitch w:val="default"/>
    <w:sig w:usb0="800002BF" w:usb1="38CF7CFA" w:usb2="00000016" w:usb3="00000000" w:csb0="00040001" w:csb1="00000000"/>
    <w:embedRegular r:id="rId3" w:fontKey="{B3897BD5-5A4E-407B-BBFD-36446BFC8CFA}"/>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4" w:fontKey="{5CDDDC39-E54D-47D6-A6AA-1B6F6076749B}"/>
  </w:font>
  <w:font w:name="楷体">
    <w:panose1 w:val="02010609060101010101"/>
    <w:charset w:val="86"/>
    <w:family w:val="modern"/>
    <w:pitch w:val="default"/>
    <w:sig w:usb0="800002BF" w:usb1="38CF7CFA" w:usb2="00000016" w:usb3="00000000" w:csb0="00040001" w:csb1="00000000"/>
    <w:embedRegular r:id="rId5" w:fontKey="{C857BA33-833E-4435-BB3C-58C9D9959679}"/>
  </w:font>
  <w:font w:name="Arial Unicode MS">
    <w:panose1 w:val="020B0604020202020204"/>
    <w:charset w:val="86"/>
    <w:family w:val="auto"/>
    <w:pitch w:val="default"/>
    <w:sig w:usb0="FFFFFFFF" w:usb1="E9FFFFFF" w:usb2="0000003F" w:usb3="00000000" w:csb0="603F01FF" w:csb1="FFFF0000"/>
    <w:embedRegular r:id="rId6" w:fontKey="{23C45200-F4EC-4D49-BAAC-2E4FDA3E35D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wordWrap w:val="0"/>
      <w:jc w:val="right"/>
      <w:rPr>
        <w:rFonts w:ascii="仿宋" w:hAnsi="仿宋" w:eastAsia="仿宋"/>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ascii="仿宋" w:hAnsi="仿宋" w:eastAsia="仿宋"/>
        <w:sz w:val="28"/>
        <w:szCs w:val="28"/>
      </w:rPr>
    </w:pPr>
    <w:r>
      <w:rPr>
        <w:rFonts w:ascii="仿宋" w:hAnsi="仿宋" w:eastAsia="仿宋"/>
        <w:sz w:val="28"/>
        <w:szCs w:val="28"/>
      </w:rPr>
      <w:fldChar w:fldCharType="begin"/>
    </w:r>
    <w:r>
      <w:rPr>
        <w:rFonts w:ascii="仿宋" w:hAnsi="仿宋" w:eastAsia="仿宋"/>
        <w:sz w:val="28"/>
        <w:szCs w:val="28"/>
      </w:rPr>
      <w:instrText xml:space="preserve">PAGE   \* MERGEFORMAT</w:instrText>
    </w:r>
    <w:r>
      <w:rPr>
        <w:rFonts w:ascii="仿宋" w:hAnsi="仿宋" w:eastAsia="仿宋"/>
        <w:sz w:val="28"/>
        <w:szCs w:val="28"/>
      </w:rPr>
      <w:fldChar w:fldCharType="separate"/>
    </w:r>
    <w:r>
      <w:rPr>
        <w:rFonts w:ascii="仿宋" w:hAnsi="仿宋" w:eastAsia="仿宋"/>
        <w:sz w:val="28"/>
        <w:szCs w:val="28"/>
        <w:lang w:val="zh-CN"/>
      </w:rPr>
      <w:t>ii</w:t>
    </w:r>
    <w:r>
      <w:rPr>
        <w:rFonts w:ascii="仿宋" w:hAnsi="仿宋" w:eastAsia="仿宋"/>
        <w:sz w:val="28"/>
        <w:szCs w:val="2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wordWrap w:val="0"/>
      <w:jc w:val="right"/>
      <w:rPr>
        <w:rFonts w:ascii="仿宋" w:hAnsi="仿宋" w:eastAsia="仿宋"/>
        <w:sz w:val="28"/>
        <w:szCs w:val="2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wordWrap w:val="0"/>
      <w:jc w:val="right"/>
      <w:rPr>
        <w:rFonts w:ascii="仿宋" w:hAnsi="仿宋" w:eastAsia="仿宋"/>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5671C2E"/>
    <w:rsid w:val="0FDD455A"/>
    <w:rsid w:val="10DD5610"/>
    <w:rsid w:val="12517437"/>
    <w:rsid w:val="152E5D89"/>
    <w:rsid w:val="184B55AD"/>
    <w:rsid w:val="1AAF422E"/>
    <w:rsid w:val="1DFE2519"/>
    <w:rsid w:val="1F2A68E4"/>
    <w:rsid w:val="21B95B43"/>
    <w:rsid w:val="237601C1"/>
    <w:rsid w:val="26341345"/>
    <w:rsid w:val="278E0214"/>
    <w:rsid w:val="2F057924"/>
    <w:rsid w:val="37DB2E90"/>
    <w:rsid w:val="3D775E1A"/>
    <w:rsid w:val="3E953932"/>
    <w:rsid w:val="404A3959"/>
    <w:rsid w:val="44A064B4"/>
    <w:rsid w:val="464337A5"/>
    <w:rsid w:val="46FF61E7"/>
    <w:rsid w:val="4F006D98"/>
    <w:rsid w:val="510A4F1B"/>
    <w:rsid w:val="5DAB67D7"/>
    <w:rsid w:val="64B73BDE"/>
    <w:rsid w:val="65870472"/>
    <w:rsid w:val="69C22450"/>
    <w:rsid w:val="6A716C3F"/>
    <w:rsid w:val="6E4F7E0E"/>
    <w:rsid w:val="73956305"/>
    <w:rsid w:val="7B3D0189"/>
    <w:rsid w:val="7FA01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 w:hAnsi="Times New Roman" w:eastAsia="仿宋" w:cs="Times New Roman"/>
      <w:kern w:val="30"/>
      <w:sz w:val="30"/>
      <w:szCs w:val="21"/>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oc 1"/>
    <w:basedOn w:val="1"/>
    <w:next w:val="1"/>
    <w:unhideWhenUsed/>
    <w:qFormat/>
    <w:uiPriority w:val="39"/>
    <w:pPr>
      <w:spacing w:before="120" w:after="120"/>
      <w:jc w:val="left"/>
    </w:pPr>
    <w:rPr>
      <w:rFonts w:asciiTheme="minorHAnsi" w:hAnsiTheme="minorHAnsi" w:cstheme="minorHAnsi"/>
      <w:b/>
      <w:bCs/>
      <w:caps/>
      <w:sz w:val="20"/>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unhideWhenUsed/>
    <w:qFormat/>
    <w:uiPriority w:val="99"/>
    <w:rPr>
      <w:color w:val="0563C1" w:themeColor="hyperlink"/>
      <w:u w:val="single"/>
      <w14:textFill>
        <w14:solidFill>
          <w14:schemeClr w14:val="hlink"/>
        </w14:solidFill>
      </w14:textFill>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0</Words>
  <Characters>0</Characters>
  <Lines>0</Lines>
  <Paragraphs>0</Paragraphs>
  <TotalTime>1</TotalTime>
  <ScaleCrop>false</ScaleCrop>
  <LinksUpToDate>false</LinksUpToDate>
  <CharactersWithSpaces>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2020-11-23T01:38:00Z</dcterms:created>
  <dc:creator>summer。</dc:creator>
  <cp:lastModifiedBy>Administrator</cp:lastModifiedBy>
  <dcterms:modified xsi:type="dcterms:W3CDTF">2025-09-26T12:18:04Z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73D12DA2A92C45438F05465733398695</vt:lpwstr>
  </property>
</Properties>
</file>