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asciiTheme="minorEastAsia" w:hAnsiTheme="minorEastAsia" w:eastAsiaTheme="minorEastAsia"/>
          <w:b/>
          <w:sz w:val="36"/>
          <w:szCs w:val="36"/>
          <w:lang w:val="zh-CN"/>
        </w:rPr>
      </w:pPr>
      <w:r>
        <w:rPr>
          <w:rFonts w:hint="eastAsia" w:asciiTheme="minorEastAsia" w:hAnsiTheme="minorEastAsia" w:eastAsiaTheme="minorEastAsia"/>
          <w:b/>
          <w:sz w:val="36"/>
          <w:szCs w:val="36"/>
          <w:lang w:val="zh-CN"/>
        </w:rPr>
        <w:t>目</w:t>
      </w:r>
      <w:r>
        <w:rPr>
          <w:rFonts w:asciiTheme="minorEastAsia" w:hAnsiTheme="minorEastAsia" w:eastAsiaTheme="minorEastAsia"/>
          <w:b/>
          <w:sz w:val="36"/>
          <w:szCs w:val="36"/>
          <w:lang w:val="zh-CN"/>
        </w:rPr>
        <w:t xml:space="preserve">  </w:t>
      </w:r>
      <w:r>
        <w:rPr>
          <w:rFonts w:hint="eastAsia" w:asciiTheme="minorEastAsia" w:hAnsiTheme="minorEastAsia" w:eastAsiaTheme="minorEastAsia"/>
          <w:b/>
          <w:sz w:val="36"/>
          <w:szCs w:val="36"/>
          <w:lang w:val="zh-CN"/>
        </w:rPr>
        <w:t>录</w:t>
      </w:r>
    </w:p>
    <w:p>
      <w:pPr>
        <w:widowControl/>
        <w:spacing w:line="440" w:lineRule="exact"/>
        <w:jc w:val="center"/>
        <w:rPr>
          <w:rFonts w:ascii="仿宋" w:hAnsi="仿宋" w:eastAsia="仿宋"/>
          <w:b/>
          <w:sz w:val="30"/>
          <w:szCs w:val="30"/>
        </w:rPr>
      </w:pPr>
    </w:p>
    <w:p>
      <w:pPr>
        <w:pStyle w:val="5"/>
        <w:spacing w:line="400" w:lineRule="exact"/>
        <w:ind w:right="0" w:rightChars="0"/>
        <w:rPr>
          <w:rStyle w:val="8"/>
          <w:rFonts w:ascii="宋体" w:hAnsi="宋体" w:eastAsia="宋体" w:cs="宋体"/>
          <w:sz w:val="28"/>
          <w:szCs w:val="28"/>
        </w:rPr>
      </w:pP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TOC \o "1-3" \h \z \u </w:instrText>
      </w:r>
      <w:r>
        <w:rPr>
          <w:rStyle w:val="8"/>
          <w:rFonts w:ascii="宋体" w:hAnsi="宋体" w:eastAsia="宋体" w:cs="宋体"/>
          <w:sz w:val="28"/>
          <w:szCs w:val="28"/>
        </w:rPr>
        <w:fldChar w:fldCharType="separate"/>
      </w:r>
      <w:r>
        <w:fldChar w:fldCharType="begin"/>
      </w:r>
      <w:r>
        <w:instrText xml:space="preserve"> HYPERLINK \l "_Toc56861559" </w:instrText>
      </w:r>
      <w:r>
        <w:fldChar w:fldCharType="separate"/>
      </w:r>
      <w:r>
        <w:rPr>
          <w:rStyle w:val="8"/>
          <w:rFonts w:ascii="宋体" w:hAnsi="宋体" w:eastAsia="宋体" w:cs="宋体"/>
          <w:sz w:val="28"/>
          <w:szCs w:val="28"/>
        </w:rPr>
        <w:t>一、基本情况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_Toc56861559 \h </w:instrText>
      </w:r>
      <w:r>
        <w:rPr>
          <w:rStyle w:val="8"/>
          <w:rFonts w:ascii="宋体" w:hAnsi="宋体" w:eastAsia="宋体" w:cs="宋体"/>
          <w:sz w:val="28"/>
          <w:szCs w:val="28"/>
        </w:rPr>
        <w:fldChar w:fldCharType="separate"/>
      </w:r>
      <w:r>
        <w:rPr>
          <w:rStyle w:val="8"/>
          <w:rFonts w:ascii="宋体" w:hAnsi="宋体" w:eastAsia="宋体" w:cs="宋体"/>
          <w:sz w:val="28"/>
          <w:szCs w:val="28"/>
        </w:rPr>
        <w:t>1</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"_Toc56861560" </w:instrText>
      </w:r>
      <w:r>
        <w:fldChar w:fldCharType="separate"/>
      </w:r>
      <w:r>
        <w:rPr>
          <w:rStyle w:val="8"/>
          <w:rFonts w:ascii="宋体" w:hAnsi="宋体" w:eastAsia="宋体" w:cs="宋体"/>
          <w:sz w:val="28"/>
          <w:szCs w:val="28"/>
        </w:rPr>
        <w:t>（一）项目概况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_Toc56861560 \h </w:instrText>
      </w:r>
      <w:r>
        <w:rPr>
          <w:rStyle w:val="8"/>
          <w:rFonts w:ascii="宋体" w:hAnsi="宋体" w:eastAsia="宋体" w:cs="宋体"/>
          <w:sz w:val="28"/>
          <w:szCs w:val="28"/>
        </w:rPr>
        <w:fldChar w:fldCharType="separate"/>
      </w:r>
      <w:r>
        <w:rPr>
          <w:rStyle w:val="8"/>
          <w:rFonts w:ascii="宋体" w:hAnsi="宋体" w:eastAsia="宋体" w:cs="宋体"/>
          <w:sz w:val="28"/>
          <w:szCs w:val="28"/>
        </w:rPr>
        <w:t>1</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"_Toc56861561" </w:instrText>
      </w:r>
      <w:r>
        <w:fldChar w:fldCharType="separate"/>
      </w:r>
      <w:r>
        <w:rPr>
          <w:rStyle w:val="8"/>
          <w:rFonts w:ascii="宋体" w:hAnsi="宋体" w:eastAsia="宋体" w:cs="宋体"/>
          <w:sz w:val="28"/>
          <w:szCs w:val="28"/>
        </w:rPr>
        <w:t>（二）资金安排</w:t>
      </w:r>
      <w:r>
        <w:rPr>
          <w:rStyle w:val="8"/>
          <w:rFonts w:hint="eastAsia" w:ascii="宋体" w:hAnsi="宋体" w:eastAsia="宋体" w:cs="宋体"/>
          <w:sz w:val="28"/>
          <w:szCs w:val="28"/>
        </w:rPr>
        <w:t>及使用</w:t>
      </w:r>
      <w:r>
        <w:rPr>
          <w:rStyle w:val="8"/>
          <w:rFonts w:ascii="宋体" w:hAnsi="宋体" w:eastAsia="宋体" w:cs="宋体"/>
          <w:sz w:val="28"/>
          <w:szCs w:val="28"/>
        </w:rPr>
        <w:t>情况</w:t>
      </w:r>
      <w:r>
        <w:rPr>
          <w:rStyle w:val="8"/>
          <w:rFonts w:ascii="宋体" w:hAnsi="宋体" w:eastAsia="宋体" w:cs="宋体"/>
          <w:sz w:val="28"/>
          <w:szCs w:val="28"/>
        </w:rPr>
        <w:tab/>
      </w:r>
      <w:r>
        <w:rPr>
          <w:rStyle w:val="8"/>
          <w:rFonts w:ascii="宋体" w:hAnsi="宋体" w:eastAsia="宋体" w:cs="宋体"/>
          <w:sz w:val="28"/>
          <w:szCs w:val="28"/>
        </w:rPr>
        <w:fldChar w:fldCharType="begin"/>
      </w:r>
      <w:r>
        <w:rPr>
          <w:rStyle w:val="8"/>
          <w:rFonts w:ascii="宋体" w:hAnsi="宋体" w:eastAsia="宋体" w:cs="宋体"/>
          <w:sz w:val="28"/>
          <w:szCs w:val="28"/>
        </w:rPr>
        <w:instrText xml:space="preserve"> PAGEREF _Toc56861561 \h </w:instrText>
      </w:r>
      <w:r>
        <w:rPr>
          <w:rStyle w:val="8"/>
          <w:rFonts w:ascii="宋体" w:hAnsi="宋体" w:eastAsia="宋体" w:cs="宋体"/>
          <w:sz w:val="28"/>
          <w:szCs w:val="28"/>
        </w:rPr>
        <w:fldChar w:fldCharType="separate"/>
      </w:r>
      <w:r>
        <w:rPr>
          <w:rStyle w:val="8"/>
          <w:rFonts w:ascii="宋体" w:hAnsi="宋体" w:eastAsia="宋体" w:cs="宋体"/>
          <w:sz w:val="28"/>
          <w:szCs w:val="28"/>
        </w:rPr>
        <w:t>2</w:t>
      </w:r>
      <w:r>
        <w:rPr>
          <w:rStyle w:val="8"/>
          <w:rFonts w:ascii="宋体" w:hAnsi="宋体" w:eastAsia="宋体" w:cs="宋体"/>
          <w:sz w:val="28"/>
          <w:szCs w:val="28"/>
        </w:rPr>
        <w:fldChar w:fldCharType="end"/>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"_Toc56861562" </w:instrText>
      </w:r>
      <w:r>
        <w:fldChar w:fldCharType="separate"/>
      </w:r>
      <w:r>
        <w:rPr>
          <w:rStyle w:val="8"/>
          <w:rFonts w:ascii="宋体" w:hAnsi="宋体" w:eastAsia="宋体" w:cs="宋体"/>
          <w:sz w:val="28"/>
          <w:szCs w:val="28"/>
        </w:rPr>
        <w:t>（三）项目实施内容</w:t>
      </w:r>
      <w:r>
        <w:rPr>
          <w:rStyle w:val="8"/>
          <w:rFonts w:ascii="宋体" w:hAnsi="宋体" w:eastAsia="宋体" w:cs="宋体"/>
          <w:sz w:val="28"/>
          <w:szCs w:val="28"/>
        </w:rPr>
        <w:tab/>
      </w:r>
      <w:r>
        <w:rPr>
          <w:rStyle w:val="8"/>
          <w:rFonts w:hint="eastAsia" w:ascii="宋体" w:hAnsi="宋体" w:eastAsia="宋体" w:cs="宋体"/>
          <w:sz w:val="28"/>
          <w:szCs w:val="28"/>
        </w:rPr>
        <w:t>2</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rPr>
          <w:rFonts w:ascii="宋体" w:hAnsi="宋体" w:eastAsia="宋体" w:cs="宋体"/>
          <w:sz w:val="28"/>
          <w:szCs w:val="28"/>
        </w:rPr>
        <w:t>（四）项目绩效目标</w:t>
      </w:r>
      <w:r>
        <w:rPr>
          <w:rFonts w:ascii="宋体" w:hAnsi="宋体" w:eastAsia="宋体" w:cs="宋体"/>
          <w:sz w:val="28"/>
          <w:szCs w:val="28"/>
        </w:rPr>
        <w:tab/>
      </w:r>
      <w:r>
        <w:rPr>
          <w:rFonts w:hint="eastAsia" w:ascii="宋体" w:hAnsi="宋体" w:eastAsia="宋体" w:cs="宋体"/>
          <w:sz w:val="28"/>
          <w:szCs w:val="28"/>
        </w:rPr>
        <w:t>2</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"_Toc56861564" </w:instrText>
      </w:r>
      <w:r>
        <w:fldChar w:fldCharType="separate"/>
      </w:r>
      <w:r>
        <w:rPr>
          <w:rStyle w:val="8"/>
          <w:rFonts w:ascii="宋体" w:hAnsi="宋体" w:eastAsia="宋体" w:cs="宋体"/>
          <w:sz w:val="28"/>
          <w:szCs w:val="28"/>
        </w:rPr>
        <w:t>（五）</w:t>
      </w:r>
      <w:r>
        <w:rPr>
          <w:rStyle w:val="8"/>
          <w:rFonts w:hint="eastAsia" w:ascii="宋体" w:hAnsi="宋体" w:eastAsia="宋体" w:cs="宋体"/>
          <w:sz w:val="28"/>
          <w:szCs w:val="28"/>
        </w:rPr>
        <w:t>项目</w:t>
      </w:r>
      <w:r>
        <w:rPr>
          <w:rStyle w:val="8"/>
          <w:rFonts w:ascii="宋体" w:hAnsi="宋体" w:eastAsia="宋体" w:cs="宋体"/>
          <w:sz w:val="28"/>
          <w:szCs w:val="28"/>
        </w:rPr>
        <w:t>组织管理情况</w:t>
      </w:r>
      <w:r>
        <w:rPr>
          <w:rStyle w:val="8"/>
          <w:rFonts w:ascii="宋体" w:hAnsi="宋体" w:eastAsia="宋体" w:cs="宋体"/>
          <w:sz w:val="28"/>
          <w:szCs w:val="28"/>
        </w:rPr>
        <w:tab/>
      </w:r>
      <w:r>
        <w:rPr>
          <w:rStyle w:val="8"/>
          <w:rFonts w:ascii="宋体" w:hAnsi="宋体" w:eastAsia="宋体" w:cs="宋体"/>
          <w:sz w:val="28"/>
          <w:szCs w:val="28"/>
        </w:rPr>
        <w:t>7</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"_Toc56861565" </w:instrText>
      </w:r>
      <w:r>
        <w:fldChar w:fldCharType="separate"/>
      </w:r>
      <w:r>
        <w:rPr>
          <w:rStyle w:val="8"/>
          <w:rFonts w:ascii="宋体" w:hAnsi="宋体" w:eastAsia="宋体" w:cs="宋体"/>
          <w:sz w:val="28"/>
          <w:szCs w:val="28"/>
        </w:rPr>
        <w:t>二、绩效自评情况</w:t>
      </w:r>
      <w:r>
        <w:rPr>
          <w:rStyle w:val="8"/>
          <w:rFonts w:ascii="宋体" w:hAnsi="宋体" w:eastAsia="宋体" w:cs="宋体"/>
          <w:sz w:val="28"/>
          <w:szCs w:val="28"/>
        </w:rPr>
        <w:tab/>
      </w:r>
      <w:r>
        <w:rPr>
          <w:rStyle w:val="8"/>
          <w:rFonts w:hint="eastAsia" w:ascii="宋体" w:hAnsi="宋体" w:eastAsia="宋体" w:cs="宋体"/>
          <w:sz w:val="28"/>
          <w:szCs w:val="28"/>
        </w:rPr>
        <w:t>8</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"_Toc56861566" </w:instrText>
      </w:r>
      <w:r>
        <w:fldChar w:fldCharType="separate"/>
      </w:r>
      <w:r>
        <w:rPr>
          <w:rStyle w:val="8"/>
          <w:rFonts w:ascii="宋体" w:hAnsi="宋体" w:eastAsia="宋体" w:cs="宋体"/>
          <w:sz w:val="28"/>
          <w:szCs w:val="28"/>
        </w:rPr>
        <w:t>（一）绩效自评概述</w:t>
      </w:r>
      <w:r>
        <w:rPr>
          <w:rStyle w:val="8"/>
          <w:rFonts w:ascii="宋体" w:hAnsi="宋体" w:eastAsia="宋体" w:cs="宋体"/>
          <w:sz w:val="28"/>
          <w:szCs w:val="28"/>
        </w:rPr>
        <w:tab/>
      </w:r>
      <w:r>
        <w:rPr>
          <w:rStyle w:val="8"/>
          <w:rFonts w:hint="eastAsia" w:ascii="宋体" w:hAnsi="宋体" w:eastAsia="宋体" w:cs="宋体"/>
          <w:sz w:val="28"/>
          <w:szCs w:val="28"/>
        </w:rPr>
        <w:t>8</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"_Toc56861567" </w:instrText>
      </w:r>
      <w:r>
        <w:fldChar w:fldCharType="separate"/>
      </w:r>
      <w:r>
        <w:rPr>
          <w:rStyle w:val="8"/>
          <w:rFonts w:ascii="宋体" w:hAnsi="宋体" w:eastAsia="宋体" w:cs="宋体"/>
          <w:sz w:val="28"/>
          <w:szCs w:val="28"/>
        </w:rPr>
        <w:t>（二）绩效自评结论</w:t>
      </w:r>
      <w:r>
        <w:rPr>
          <w:rStyle w:val="8"/>
          <w:rFonts w:ascii="宋体" w:hAnsi="宋体" w:eastAsia="宋体" w:cs="宋体"/>
          <w:sz w:val="28"/>
          <w:szCs w:val="28"/>
        </w:rPr>
        <w:tab/>
      </w:r>
      <w:r>
        <w:rPr>
          <w:rStyle w:val="8"/>
          <w:rFonts w:hint="eastAsia" w:ascii="宋体" w:hAnsi="宋体" w:eastAsia="宋体" w:cs="宋体"/>
          <w:sz w:val="28"/>
          <w:szCs w:val="28"/>
        </w:rPr>
        <w:t>9</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"_Toc56861568" </w:instrText>
      </w:r>
      <w:r>
        <w:fldChar w:fldCharType="separate"/>
      </w:r>
      <w:r>
        <w:rPr>
          <w:rStyle w:val="8"/>
          <w:rFonts w:ascii="宋体" w:hAnsi="宋体" w:eastAsia="宋体" w:cs="宋体"/>
          <w:sz w:val="28"/>
          <w:szCs w:val="28"/>
        </w:rPr>
        <w:t>三、绩效评价组织情况</w:t>
      </w:r>
      <w:r>
        <w:rPr>
          <w:rStyle w:val="8"/>
          <w:rFonts w:ascii="宋体" w:hAnsi="宋体" w:eastAsia="宋体" w:cs="宋体"/>
          <w:sz w:val="28"/>
          <w:szCs w:val="28"/>
        </w:rPr>
        <w:tab/>
      </w:r>
      <w:r>
        <w:rPr>
          <w:rStyle w:val="8"/>
          <w:rFonts w:hint="eastAsia" w:ascii="宋体" w:hAnsi="宋体" w:eastAsia="宋体" w:cs="宋体"/>
          <w:sz w:val="28"/>
          <w:szCs w:val="28"/>
        </w:rPr>
        <w:t>9</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"_Toc56861569" </w:instrText>
      </w:r>
      <w:r>
        <w:fldChar w:fldCharType="separate"/>
      </w:r>
      <w:r>
        <w:rPr>
          <w:rStyle w:val="8"/>
          <w:rFonts w:ascii="宋体" w:hAnsi="宋体" w:eastAsia="宋体" w:cs="宋体"/>
          <w:sz w:val="28"/>
          <w:szCs w:val="28"/>
        </w:rPr>
        <w:t>（一）绩效评价依据</w:t>
      </w:r>
      <w:r>
        <w:rPr>
          <w:rStyle w:val="8"/>
          <w:rFonts w:ascii="宋体" w:hAnsi="宋体" w:eastAsia="宋体" w:cs="宋体"/>
          <w:sz w:val="28"/>
          <w:szCs w:val="28"/>
        </w:rPr>
        <w:tab/>
      </w:r>
      <w:r>
        <w:rPr>
          <w:rStyle w:val="8"/>
          <w:rFonts w:hint="eastAsia" w:ascii="宋体" w:hAnsi="宋体" w:eastAsia="宋体" w:cs="宋体"/>
          <w:sz w:val="28"/>
          <w:szCs w:val="28"/>
        </w:rPr>
        <w:t>9</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"_Toc56861570" </w:instrText>
      </w:r>
      <w:r>
        <w:fldChar w:fldCharType="separate"/>
      </w:r>
      <w:r>
        <w:rPr>
          <w:rStyle w:val="8"/>
          <w:rFonts w:ascii="宋体" w:hAnsi="宋体" w:eastAsia="宋体" w:cs="宋体"/>
          <w:sz w:val="28"/>
          <w:szCs w:val="28"/>
        </w:rPr>
        <w:t>（二）绩效评价方法</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0</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"_Toc56861571" </w:instrText>
      </w:r>
      <w:r>
        <w:fldChar w:fldCharType="separate"/>
      </w:r>
      <w:r>
        <w:rPr>
          <w:rStyle w:val="8"/>
          <w:rFonts w:ascii="宋体" w:hAnsi="宋体" w:eastAsia="宋体" w:cs="宋体"/>
          <w:sz w:val="28"/>
          <w:szCs w:val="28"/>
        </w:rPr>
        <w:t>（三）绩效评价指标体系</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1</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"_Toc56861572" </w:instrText>
      </w:r>
      <w:r>
        <w:fldChar w:fldCharType="separate"/>
      </w:r>
      <w:r>
        <w:rPr>
          <w:rStyle w:val="8"/>
          <w:rFonts w:ascii="宋体" w:hAnsi="宋体" w:eastAsia="宋体" w:cs="宋体"/>
          <w:sz w:val="28"/>
          <w:szCs w:val="28"/>
        </w:rPr>
        <w:t>（四）绩效评价检查范围</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3</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"_Toc56861573" </w:instrText>
      </w:r>
      <w:r>
        <w:fldChar w:fldCharType="separate"/>
      </w:r>
      <w:r>
        <w:rPr>
          <w:rStyle w:val="8"/>
          <w:rFonts w:ascii="宋体" w:hAnsi="宋体" w:eastAsia="宋体" w:cs="宋体"/>
          <w:sz w:val="28"/>
          <w:szCs w:val="28"/>
        </w:rPr>
        <w:t>四、</w:t>
      </w:r>
      <w:r>
        <w:rPr>
          <w:rStyle w:val="8"/>
          <w:rFonts w:hint="eastAsia" w:ascii="宋体" w:hAnsi="宋体" w:eastAsia="宋体" w:cs="宋体"/>
          <w:sz w:val="28"/>
          <w:szCs w:val="28"/>
        </w:rPr>
        <w:t>综合评价情况及评价结论</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3</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"_Toc56861574" </w:instrText>
      </w:r>
      <w:r>
        <w:fldChar w:fldCharType="separate"/>
      </w:r>
      <w:r>
        <w:rPr>
          <w:rStyle w:val="8"/>
          <w:rFonts w:ascii="宋体" w:hAnsi="宋体" w:eastAsia="宋体" w:cs="宋体"/>
          <w:sz w:val="28"/>
          <w:szCs w:val="28"/>
        </w:rPr>
        <w:t>（一）绩效评价综合结论</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3</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"_Toc56861575" </w:instrText>
      </w:r>
      <w:r>
        <w:fldChar w:fldCharType="separate"/>
      </w:r>
      <w:r>
        <w:rPr>
          <w:rStyle w:val="8"/>
          <w:rFonts w:ascii="宋体" w:hAnsi="宋体" w:eastAsia="宋体" w:cs="宋体"/>
          <w:sz w:val="28"/>
          <w:szCs w:val="28"/>
        </w:rPr>
        <w:t>（二）绩效目标实现情况</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4</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"_Toc56861576" </w:instrText>
      </w:r>
      <w:r>
        <w:fldChar w:fldCharType="separate"/>
      </w:r>
      <w:r>
        <w:rPr>
          <w:rStyle w:val="8"/>
          <w:rFonts w:ascii="宋体" w:hAnsi="宋体" w:eastAsia="宋体" w:cs="宋体"/>
          <w:sz w:val="28"/>
          <w:szCs w:val="28"/>
        </w:rPr>
        <w:t>（三）绩效自评与评价差异分析</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5</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"_Toc56861577" </w:instrText>
      </w:r>
      <w:r>
        <w:fldChar w:fldCharType="separate"/>
      </w:r>
      <w:r>
        <w:rPr>
          <w:rStyle w:val="8"/>
          <w:rFonts w:ascii="宋体" w:hAnsi="宋体" w:eastAsia="宋体" w:cs="宋体"/>
          <w:sz w:val="28"/>
          <w:szCs w:val="28"/>
        </w:rPr>
        <w:t>五、绩效评价情况分析</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6</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"_Toc56861578" </w:instrText>
      </w:r>
      <w:r>
        <w:fldChar w:fldCharType="separate"/>
      </w:r>
      <w:r>
        <w:rPr>
          <w:rStyle w:val="8"/>
          <w:rFonts w:ascii="宋体" w:hAnsi="宋体" w:eastAsia="宋体" w:cs="宋体"/>
          <w:sz w:val="28"/>
          <w:szCs w:val="28"/>
        </w:rPr>
        <w:t>（一）决策情况分析</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6</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"_Toc56861579" </w:instrText>
      </w:r>
      <w:r>
        <w:fldChar w:fldCharType="separate"/>
      </w:r>
      <w:r>
        <w:rPr>
          <w:rStyle w:val="8"/>
          <w:rFonts w:ascii="宋体" w:hAnsi="宋体" w:eastAsia="宋体" w:cs="宋体"/>
          <w:sz w:val="28"/>
          <w:szCs w:val="28"/>
        </w:rPr>
        <w:t>（二）过程情况分析</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7</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"_Toc56861580" </w:instrText>
      </w:r>
      <w:r>
        <w:fldChar w:fldCharType="separate"/>
      </w:r>
      <w:r>
        <w:rPr>
          <w:rStyle w:val="8"/>
          <w:rFonts w:ascii="宋体" w:hAnsi="宋体" w:eastAsia="宋体" w:cs="宋体"/>
          <w:sz w:val="28"/>
          <w:szCs w:val="28"/>
        </w:rPr>
        <w:t>（三）产出情况分析</w:t>
      </w:r>
      <w:r>
        <w:rPr>
          <w:rStyle w:val="8"/>
          <w:rFonts w:ascii="宋体" w:hAnsi="宋体" w:eastAsia="宋体" w:cs="宋体"/>
          <w:sz w:val="28"/>
          <w:szCs w:val="28"/>
        </w:rPr>
        <w:tab/>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r>
        <w:rPr>
          <w:rStyle w:val="8"/>
          <w:rFonts w:hint="eastAsia" w:ascii="宋体" w:hAnsi="宋体" w:eastAsia="宋体" w:cs="宋体"/>
          <w:sz w:val="28"/>
          <w:szCs w:val="28"/>
        </w:rPr>
        <w:t>8</w:t>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"_Toc56861581" </w:instrText>
      </w:r>
      <w:r>
        <w:fldChar w:fldCharType="separate"/>
      </w:r>
      <w:r>
        <w:rPr>
          <w:rStyle w:val="8"/>
          <w:rFonts w:ascii="宋体" w:hAnsi="宋体" w:eastAsia="宋体" w:cs="宋体"/>
          <w:sz w:val="28"/>
          <w:szCs w:val="28"/>
        </w:rPr>
        <w:t>（四）效果情况分析</w:t>
      </w:r>
      <w:r>
        <w:rPr>
          <w:rStyle w:val="8"/>
          <w:rFonts w:ascii="宋体" w:hAnsi="宋体" w:eastAsia="宋体" w:cs="宋体"/>
          <w:sz w:val="28"/>
          <w:szCs w:val="28"/>
        </w:rPr>
        <w:tab/>
      </w:r>
      <w:r>
        <w:rPr>
          <w:rStyle w:val="8"/>
          <w:rFonts w:ascii="宋体" w:hAnsi="宋体" w:eastAsia="宋体" w:cs="宋体"/>
          <w:sz w:val="28"/>
          <w:szCs w:val="28"/>
        </w:rPr>
        <w:t>20</w:t>
      </w:r>
      <w:r>
        <w:rPr>
          <w:rStyle w:val="8"/>
          <w:rFonts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"_Toc56861583" </w:instrText>
      </w:r>
      <w:r>
        <w:fldChar w:fldCharType="separate"/>
      </w:r>
      <w:r>
        <w:rPr>
          <w:rStyle w:val="8"/>
          <w:rFonts w:hint="eastAsia" w:ascii="宋体" w:hAnsi="宋体" w:eastAsia="宋体" w:cs="宋体"/>
          <w:sz w:val="28"/>
          <w:szCs w:val="28"/>
        </w:rPr>
        <w:t>六</w:t>
      </w:r>
      <w:r>
        <w:rPr>
          <w:rStyle w:val="8"/>
          <w:rFonts w:ascii="宋体" w:hAnsi="宋体" w:eastAsia="宋体" w:cs="宋体"/>
          <w:sz w:val="28"/>
          <w:szCs w:val="28"/>
        </w:rPr>
        <w:t>、存在问题</w:t>
      </w:r>
      <w:r>
        <w:rPr>
          <w:rStyle w:val="8"/>
          <w:rFonts w:ascii="宋体" w:hAnsi="宋体" w:eastAsia="宋体" w:cs="宋体"/>
          <w:sz w:val="28"/>
          <w:szCs w:val="28"/>
        </w:rPr>
        <w:tab/>
      </w:r>
      <w:r>
        <w:rPr>
          <w:rStyle w:val="8"/>
          <w:rFonts w:ascii="宋体" w:hAnsi="宋体" w:eastAsia="宋体" w:cs="宋体"/>
          <w:sz w:val="28"/>
          <w:szCs w:val="28"/>
        </w:rPr>
        <w:t>2</w:t>
      </w:r>
      <w:r>
        <w:rPr>
          <w:rStyle w:val="8"/>
          <w:rFonts w:hint="eastAsia" w:ascii="宋体" w:hAnsi="宋体" w:eastAsia="宋体" w:cs="宋体"/>
          <w:sz w:val="28"/>
          <w:szCs w:val="28"/>
        </w:rPr>
        <w:t>1</w:t>
      </w:r>
      <w:r>
        <w:rPr>
          <w:rStyle w:val="8"/>
          <w:rFonts w:hint="eastAsia" w:ascii="宋体" w:hAnsi="宋体" w:eastAsia="宋体" w:cs="宋体"/>
          <w:sz w:val="28"/>
          <w:szCs w:val="28"/>
        </w:rPr>
        <w:fldChar w:fldCharType="end"/>
      </w:r>
    </w:p>
    <w:p>
      <w:pPr>
        <w:pStyle w:val="5"/>
        <w:spacing w:line="400" w:lineRule="exact"/>
        <w:ind w:right="0" w:rightChars="0"/>
        <w:rPr>
          <w:rStyle w:val="8"/>
          <w:rFonts w:ascii="宋体" w:hAnsi="宋体" w:eastAsia="宋体" w:cs="宋体"/>
          <w:sz w:val="28"/>
          <w:szCs w:val="28"/>
        </w:rPr>
      </w:pPr>
      <w:r>
        <w:fldChar w:fldCharType="begin"/>
      </w:r>
      <w:r>
        <w:instrText xml:space="preserve"> HYPERLINK \l "_Toc56861587" </w:instrText>
      </w:r>
      <w:r>
        <w:fldChar w:fldCharType="separate"/>
      </w:r>
      <w:r>
        <w:rPr>
          <w:rStyle w:val="8"/>
          <w:rFonts w:hint="eastAsia" w:ascii="宋体" w:hAnsi="宋体" w:eastAsia="宋体" w:cs="宋体"/>
          <w:sz w:val="28"/>
          <w:szCs w:val="28"/>
        </w:rPr>
        <w:t>七、</w:t>
      </w:r>
      <w:r>
        <w:rPr>
          <w:rStyle w:val="8"/>
          <w:rFonts w:ascii="宋体" w:hAnsi="宋体" w:eastAsia="宋体" w:cs="宋体"/>
          <w:sz w:val="28"/>
          <w:szCs w:val="28"/>
        </w:rPr>
        <w:t>建议</w:t>
      </w:r>
      <w:r>
        <w:rPr>
          <w:rStyle w:val="8"/>
          <w:rFonts w:ascii="宋体" w:hAnsi="宋体" w:eastAsia="宋体" w:cs="宋体"/>
          <w:sz w:val="28"/>
          <w:szCs w:val="28"/>
        </w:rPr>
        <w:tab/>
      </w:r>
      <w:r>
        <w:rPr>
          <w:rStyle w:val="8"/>
          <w:rFonts w:ascii="宋体" w:hAnsi="宋体" w:eastAsia="宋体" w:cs="宋体"/>
          <w:sz w:val="28"/>
          <w:szCs w:val="28"/>
        </w:rPr>
        <w:t>2</w:t>
      </w:r>
      <w:r>
        <w:rPr>
          <w:rStyle w:val="8"/>
          <w:rFonts w:hint="eastAsia" w:ascii="宋体" w:hAnsi="宋体" w:eastAsia="宋体" w:cs="宋体"/>
          <w:sz w:val="28"/>
          <w:szCs w:val="28"/>
        </w:rPr>
        <w:t>4</w:t>
      </w:r>
      <w:r>
        <w:rPr>
          <w:rStyle w:val="8"/>
          <w:rFonts w:hint="eastAsia" w:ascii="宋体" w:hAnsi="宋体" w:eastAsia="宋体" w:cs="宋体"/>
          <w:sz w:val="28"/>
          <w:szCs w:val="28"/>
        </w:rPr>
        <w:fldChar w:fldCharType="end"/>
      </w:r>
    </w:p>
    <w:p>
      <w:pPr>
        <w:pStyle w:val="5"/>
        <w:spacing w:line="400" w:lineRule="exact"/>
        <w:ind w:right="0" w:rightChars="0"/>
        <w:rPr>
          <w:rFonts w:ascii="宋体" w:hAnsi="宋体" w:cs="宋体"/>
          <w:b/>
          <w:bCs/>
          <w:sz w:val="44"/>
          <w:szCs w:val="44"/>
          <w:lang w:bidi="ar"/>
        </w:rPr>
      </w:pPr>
      <w:r>
        <w:rPr>
          <w:rStyle w:val="8"/>
          <w:rFonts w:ascii="宋体" w:hAnsi="宋体" w:eastAsia="宋体" w:cs="宋体"/>
          <w:sz w:val="28"/>
          <w:szCs w:val="28"/>
        </w:rPr>
        <w:fldChar w:fldCharType="end"/>
      </w:r>
    </w:p>
    <w:p>
      <w:pPr>
        <w:spacing w:line="500" w:lineRule="exact"/>
        <w:jc w:val="center"/>
        <w:rPr>
          <w:rFonts w:ascii="宋体" w:hAnsi="宋体" w:cs="宋体"/>
          <w:b/>
          <w:bCs/>
          <w:sz w:val="44"/>
          <w:szCs w:val="44"/>
          <w:lang w:bidi="ar"/>
        </w:rPr>
      </w:pPr>
    </w:p>
    <w:p>
      <w:pPr>
        <w:spacing w:line="500" w:lineRule="exact"/>
        <w:jc w:val="center"/>
        <w:rPr>
          <w:rFonts w:ascii="宋体" w:hAnsi="宋体" w:cs="宋体"/>
          <w:b/>
          <w:bCs/>
          <w:sz w:val="44"/>
          <w:szCs w:val="44"/>
          <w:lang w:bidi="ar"/>
        </w:rPr>
      </w:pPr>
    </w:p>
    <w:p>
      <w:pPr>
        <w:spacing w:line="500" w:lineRule="exact"/>
        <w:jc w:val="center"/>
        <w:rPr>
          <w:rFonts w:ascii="宋体" w:hAnsi="宋体" w:cs="宋体"/>
          <w:b/>
          <w:bCs/>
          <w:sz w:val="44"/>
          <w:szCs w:val="44"/>
          <w:lang w:bidi="ar"/>
        </w:rPr>
      </w:pPr>
    </w:p>
    <w:p>
      <w:pPr>
        <w:spacing w:line="500" w:lineRule="exact"/>
        <w:rPr>
          <w:rFonts w:ascii="宋体" w:hAnsi="宋体" w:cs="宋体"/>
          <w:b/>
          <w:bCs/>
          <w:sz w:val="44"/>
          <w:szCs w:val="44"/>
          <w:lang w:bidi="ar"/>
        </w:rPr>
      </w:pPr>
    </w:p>
    <w:p>
      <w:pPr>
        <w:spacing w:line="579" w:lineRule="exact"/>
        <w:jc w:val="center"/>
        <w:rPr>
          <w:rFonts w:ascii="方正小标宋简体" w:hAnsi="方正小标宋简体" w:eastAsia="方正小标宋简体" w:cs="方正小标宋简体"/>
          <w:sz w:val="44"/>
          <w:szCs w:val="44"/>
          <w:lang w:bidi="ar"/>
        </w:rPr>
      </w:pPr>
    </w:p>
    <w:p>
      <w:pPr>
        <w:spacing w:line="579" w:lineRule="exact"/>
        <w:jc w:val="center"/>
        <w:rPr>
          <w:rFonts w:ascii="方正小标宋简体" w:hAnsi="方正小标宋简体" w:eastAsia="方正小标宋简体" w:cs="方正小标宋简体"/>
          <w:sz w:val="44"/>
          <w:szCs w:val="44"/>
          <w:lang w:bidi="ar"/>
        </w:rPr>
      </w:pPr>
      <w:r>
        <w:rPr>
          <w:rFonts w:hint="eastAsia" w:ascii="方正小标宋简体" w:hAnsi="方正小标宋简体" w:eastAsia="方正小标宋简体" w:cs="方正小标宋简体"/>
          <w:sz w:val="44"/>
          <w:szCs w:val="44"/>
          <w:lang w:bidi="ar"/>
        </w:rPr>
        <w:t>盈江县</w:t>
      </w:r>
      <w:r>
        <w:rPr>
          <w:rFonts w:ascii="方正小标宋简体" w:hAnsi="方正小标宋简体" w:eastAsia="方正小标宋简体" w:cs="方正小标宋简体"/>
          <w:sz w:val="44"/>
          <w:szCs w:val="44"/>
          <w:lang w:bidi="ar"/>
        </w:rPr>
        <w:t>2019年高标准农田建设项目</w:t>
      </w:r>
    </w:p>
    <w:p>
      <w:pPr>
        <w:spacing w:line="579" w:lineRule="exact"/>
        <w:jc w:val="center"/>
        <w:rPr>
          <w:rFonts w:ascii="方正小标宋简体" w:hAnsi="方正小标宋简体" w:eastAsia="方正小标宋简体" w:cs="方正小标宋简体"/>
          <w:sz w:val="44"/>
          <w:szCs w:val="44"/>
          <w:lang w:bidi="ar"/>
        </w:rPr>
      </w:pPr>
      <w:r>
        <w:rPr>
          <w:rFonts w:hint="eastAsia" w:ascii="方正小标宋简体" w:hAnsi="方正小标宋简体" w:eastAsia="方正小标宋简体" w:cs="方正小标宋简体"/>
          <w:sz w:val="44"/>
          <w:szCs w:val="44"/>
          <w:lang w:bidi="ar"/>
        </w:rPr>
        <w:t>绩效评价报告</w:t>
      </w:r>
    </w:p>
    <w:p>
      <w:pPr>
        <w:spacing w:line="579" w:lineRule="exact"/>
        <w:jc w:val="center"/>
        <w:rPr>
          <w:rFonts w:ascii="方正小标宋简体" w:hAnsi="方正小标宋简体" w:eastAsia="方正小标宋简体" w:cs="方正小标宋简体"/>
          <w:sz w:val="44"/>
          <w:szCs w:val="44"/>
          <w:lang w:bidi="ar"/>
        </w:rPr>
      </w:pP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为贯彻落实《</w:t>
      </w:r>
      <w:r>
        <w:rPr>
          <w:rFonts w:hint="eastAsia" w:ascii="仿宋" w:hAnsi="仿宋" w:eastAsia="仿宋" w:cs="仿宋"/>
          <w:kern w:val="30"/>
          <w:sz w:val="30"/>
          <w:szCs w:val="30"/>
          <w:lang w:val="en-US" w:eastAsia="zh-CN"/>
        </w:rPr>
        <w:t>中华人民共和国</w:t>
      </w:r>
      <w:r>
        <w:rPr>
          <w:rFonts w:hint="eastAsia" w:ascii="仿宋" w:hAnsi="仿宋" w:eastAsia="仿宋" w:cs="仿宋"/>
          <w:kern w:val="30"/>
          <w:sz w:val="30"/>
          <w:szCs w:val="30"/>
        </w:rPr>
        <w:t>预算法》、《中共云南省委云南省人民政府关于全面实施预算绩效管理的实施意见》(云发〔2019〕11号)、《德宏州财政局 德宏州委宣传部 德宏州审计局关于印发德宏州全面实施预算绩效管</w:t>
      </w:r>
      <w:bookmarkStart w:id="38" w:name="_GoBack"/>
      <w:bookmarkEnd w:id="38"/>
      <w:r>
        <w:rPr>
          <w:rFonts w:hint="eastAsia" w:ascii="仿宋" w:hAnsi="仿宋" w:eastAsia="仿宋" w:cs="仿宋"/>
          <w:kern w:val="30"/>
          <w:sz w:val="30"/>
          <w:szCs w:val="30"/>
        </w:rPr>
        <w:t>理工作推进预算方案的通知》(德财〔2020〕81号)、《中共盈江县委盈江县人民政府关于全面实施预算绩效管理的实施方案》(盈发〔2020〕17号)，云南永盛会计师事务所接受盈江县财政局委托，于2020年10月至2020年11月对盈江县农业农村局2019年高标准农田建设项目进行绩效评价。现将评价情况报告如下：</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一、基本情况</w:t>
      </w:r>
    </w:p>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（一）项目概况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为深入贯彻落实党的十九大精神和十九届二中、三中全会精神，全面贯彻中央农村工作会议、中央1号等有关文件会议精神，对标“三农”工作必须完成的任务目标，打造德宏“绿色食品牌”，提高土地产出率、资源利用率，不断提高农业综合生产能力，加强耕地质量管理和开展永久基本农田保护工作，夯实全州农业生产能力基础，更好保障粮食安全和主要农产品有效供给。盈江县农业农村局根据《德宏州农业农村局关于下达2019年农田建设任务的通知》（德农发〔2019〕60号）文件的相关要求，组织实施了盈江县2</w:t>
      </w:r>
      <w:r>
        <w:rPr>
          <w:rFonts w:ascii="仿宋" w:hAnsi="仿宋" w:eastAsia="仿宋" w:cs="仿宋"/>
          <w:kern w:val="30"/>
          <w:sz w:val="30"/>
          <w:szCs w:val="30"/>
        </w:rPr>
        <w:t>019</w:t>
      </w:r>
      <w:r>
        <w:rPr>
          <w:rFonts w:hint="eastAsia" w:ascii="仿宋" w:hAnsi="仿宋" w:eastAsia="仿宋" w:cs="仿宋"/>
          <w:kern w:val="30"/>
          <w:sz w:val="30"/>
          <w:szCs w:val="30"/>
        </w:rPr>
        <w:t>年高标准农田建设项目，项目建设</w:t>
      </w:r>
      <w:r>
        <w:rPr>
          <w:rFonts w:ascii="仿宋" w:hAnsi="仿宋" w:eastAsia="仿宋" w:cs="仿宋"/>
          <w:kern w:val="30"/>
          <w:sz w:val="30"/>
          <w:szCs w:val="30"/>
        </w:rPr>
        <w:t>共涉及3个乡镇3个村</w:t>
      </w:r>
      <w:r>
        <w:rPr>
          <w:rFonts w:hint="eastAsia" w:ascii="仿宋" w:hAnsi="仿宋" w:eastAsia="仿宋" w:cs="仿宋"/>
          <w:kern w:val="30"/>
          <w:sz w:val="30"/>
          <w:szCs w:val="30"/>
        </w:rPr>
        <w:t>：</w:t>
      </w:r>
      <w:r>
        <w:rPr>
          <w:rFonts w:ascii="仿宋" w:hAnsi="仿宋" w:eastAsia="仿宋" w:cs="仿宋"/>
          <w:kern w:val="30"/>
          <w:sz w:val="30"/>
          <w:szCs w:val="30"/>
        </w:rPr>
        <w:t>盈江县平原镇拱腊村、旧城镇喊撒村、油松岭乡椿头塘村</w:t>
      </w:r>
      <w:r>
        <w:rPr>
          <w:rFonts w:hint="eastAsia" w:ascii="仿宋" w:hAnsi="仿宋" w:eastAsia="仿宋" w:cs="仿宋"/>
          <w:kern w:val="30"/>
          <w:sz w:val="30"/>
          <w:szCs w:val="30"/>
        </w:rPr>
        <w:t>。</w:t>
      </w:r>
    </w:p>
    <w:p>
      <w:pPr>
        <w:spacing w:line="579" w:lineRule="exact"/>
        <w:ind w:firstLine="600" w:firstLineChars="200"/>
        <w:outlineLvl w:val="1"/>
        <w:rPr>
          <w:rFonts w:ascii="楷体" w:hAnsi="楷体" w:eastAsia="楷体"/>
          <w:kern w:val="30"/>
          <w:sz w:val="30"/>
          <w:szCs w:val="30"/>
        </w:rPr>
      </w:pPr>
      <w:bookmarkStart w:id="0" w:name="_Toc528070242"/>
      <w:bookmarkStart w:id="1" w:name="_Toc529348766"/>
      <w:r>
        <w:rPr>
          <w:rFonts w:hint="eastAsia" w:ascii="楷体" w:hAnsi="楷体" w:eastAsia="楷体"/>
          <w:kern w:val="30"/>
          <w:sz w:val="30"/>
          <w:szCs w:val="30"/>
        </w:rPr>
        <w:t>（二）项目资金安排及使用情况</w:t>
      </w:r>
      <w:bookmarkEnd w:id="0"/>
      <w:bookmarkEnd w:id="1"/>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1.预算安排情况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扶贫开发领导小组关于同意2019年度第6批统筹整合资金下达计划及项目实施计划的批复》（盈开组复〔2019〕8号）和《盈江县财政局关于下达2019年统筹整合第六批脱贫攻坚项目资金的通知》（盈财整合〔2019〕78号），批复和下达盈江县农业农村局2019年高标准农田建设项目资金7</w:t>
      </w:r>
      <w:r>
        <w:rPr>
          <w:rFonts w:ascii="仿宋" w:hAnsi="仿宋" w:eastAsia="仿宋" w:cs="仿宋"/>
          <w:kern w:val="30"/>
          <w:sz w:val="30"/>
          <w:szCs w:val="30"/>
        </w:rPr>
        <w:t>15</w:t>
      </w:r>
      <w:r>
        <w:rPr>
          <w:rFonts w:hint="eastAsia" w:ascii="仿宋" w:hAnsi="仿宋" w:eastAsia="仿宋" w:cs="仿宋"/>
          <w:kern w:val="30"/>
          <w:sz w:val="30"/>
          <w:szCs w:val="30"/>
        </w:rPr>
        <w:t>万元。</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2.资金到位使用情况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盈江县农业农村局2019年高标准农田建设项目到位统筹整合财政涉农资金715万元，实际使用资金660.38万元（支付工程款653.23万元，支付项目造价咨询费和监理费7.15万元），结余资金5</w:t>
      </w:r>
      <w:r>
        <w:rPr>
          <w:rFonts w:ascii="仿宋" w:hAnsi="仿宋" w:eastAsia="仿宋" w:cs="仿宋"/>
          <w:kern w:val="30"/>
          <w:sz w:val="30"/>
          <w:szCs w:val="30"/>
        </w:rPr>
        <w:t>4.62</w:t>
      </w:r>
      <w:r>
        <w:rPr>
          <w:rFonts w:hint="eastAsia" w:ascii="仿宋" w:hAnsi="仿宋" w:eastAsia="仿宋" w:cs="仿宋"/>
          <w:kern w:val="30"/>
          <w:sz w:val="30"/>
          <w:szCs w:val="30"/>
        </w:rPr>
        <w:t>万元，于2</w:t>
      </w:r>
      <w:r>
        <w:rPr>
          <w:rFonts w:ascii="仿宋" w:hAnsi="仿宋" w:eastAsia="仿宋" w:cs="仿宋"/>
          <w:kern w:val="30"/>
          <w:sz w:val="30"/>
          <w:szCs w:val="30"/>
        </w:rPr>
        <w:t>020</w:t>
      </w:r>
      <w:r>
        <w:rPr>
          <w:rFonts w:hint="eastAsia" w:ascii="仿宋" w:hAnsi="仿宋" w:eastAsia="仿宋" w:cs="仿宋"/>
          <w:kern w:val="30"/>
          <w:sz w:val="30"/>
          <w:szCs w:val="30"/>
        </w:rPr>
        <w:t>年4月上缴盈江县财政局。</w:t>
      </w:r>
      <w:bookmarkStart w:id="2" w:name="_Toc51333610"/>
    </w:p>
    <w:p>
      <w:pPr>
        <w:spacing w:line="579" w:lineRule="exact"/>
        <w:ind w:firstLine="600" w:firstLineChars="200"/>
        <w:rPr>
          <w:rFonts w:ascii="楷体" w:hAnsi="楷体" w:eastAsia="楷体"/>
          <w:kern w:val="30"/>
          <w:sz w:val="30"/>
          <w:szCs w:val="30"/>
        </w:rPr>
      </w:pPr>
      <w:r>
        <w:rPr>
          <w:rFonts w:hint="eastAsia" w:ascii="楷体" w:hAnsi="楷体" w:eastAsia="楷体"/>
          <w:kern w:val="30"/>
          <w:sz w:val="30"/>
          <w:szCs w:val="30"/>
        </w:rPr>
        <w:t>（三）项目实施内容</w:t>
      </w:r>
      <w:bookmarkEnd w:id="2"/>
      <w:r>
        <w:rPr>
          <w:rFonts w:ascii="楷体" w:hAnsi="楷体" w:eastAsia="楷体"/>
          <w:kern w:val="30"/>
          <w:sz w:val="30"/>
          <w:szCs w:val="30"/>
        </w:rPr>
        <w:tab/>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德宏州农业农村局关于下达2019年农田建设任务的通知》（德农发〔2019〕60号）、《盈江县2019年高标准农田建设项目实施方案》和《盈江县扶贫开发领导小组关于同意2019年度第6批统筹整合资金下达计划及项目实施计划的批复》（盈开组复〔2019〕8号）等文件，盈江县2019年高标准农田建设项目主要建设内容：建设高标准农田5500亩；修建机耕路4条，长981m；渠道防渗衬砌33条，长12047m；</w:t>
      </w:r>
      <w:r>
        <w:rPr>
          <w:rFonts w:ascii="仿宋" w:hAnsi="仿宋" w:eastAsia="仿宋" w:cs="仿宋"/>
          <w:kern w:val="30"/>
          <w:sz w:val="30"/>
          <w:szCs w:val="30"/>
        </w:rPr>
        <w:t>新建挡士墙40m</w:t>
      </w:r>
      <w:r>
        <w:rPr>
          <w:rFonts w:hint="eastAsia" w:ascii="仿宋" w:hAnsi="仿宋" w:eastAsia="仿宋" w:cs="仿宋"/>
          <w:kern w:val="30"/>
          <w:sz w:val="30"/>
          <w:szCs w:val="30"/>
        </w:rPr>
        <w:t>、</w:t>
      </w:r>
      <w:r>
        <w:rPr>
          <w:rFonts w:ascii="仿宋" w:hAnsi="仿宋" w:eastAsia="仿宋" w:cs="仿宋"/>
          <w:kern w:val="30"/>
          <w:sz w:val="30"/>
          <w:szCs w:val="30"/>
        </w:rPr>
        <w:t>农桥3座</w:t>
      </w:r>
      <w:r>
        <w:rPr>
          <w:rFonts w:hint="eastAsia" w:ascii="仿宋" w:hAnsi="仿宋" w:eastAsia="仿宋" w:cs="仿宋"/>
          <w:kern w:val="30"/>
          <w:sz w:val="30"/>
          <w:szCs w:val="30"/>
        </w:rPr>
        <w:t>、</w:t>
      </w:r>
      <w:r>
        <w:rPr>
          <w:rFonts w:ascii="仿宋" w:hAnsi="仿宋" w:eastAsia="仿宋" w:cs="仿宋"/>
          <w:kern w:val="30"/>
          <w:sz w:val="30"/>
          <w:szCs w:val="30"/>
        </w:rPr>
        <w:t>农机涵洞13座</w:t>
      </w:r>
      <w:r>
        <w:rPr>
          <w:rFonts w:hint="eastAsia" w:ascii="仿宋" w:hAnsi="仿宋" w:eastAsia="仿宋" w:cs="仿宋"/>
          <w:kern w:val="30"/>
          <w:sz w:val="30"/>
          <w:szCs w:val="30"/>
        </w:rPr>
        <w:t>、</w:t>
      </w:r>
      <w:r>
        <w:rPr>
          <w:rFonts w:ascii="仿宋" w:hAnsi="仿宋" w:eastAsia="仿宋" w:cs="仿宋"/>
          <w:kern w:val="30"/>
          <w:sz w:val="30"/>
          <w:szCs w:val="30"/>
        </w:rPr>
        <w:t>下田道27座</w:t>
      </w:r>
      <w:r>
        <w:rPr>
          <w:rFonts w:hint="eastAsia" w:ascii="仿宋" w:hAnsi="仿宋" w:eastAsia="仿宋" w:cs="仿宋"/>
          <w:kern w:val="30"/>
          <w:sz w:val="30"/>
          <w:szCs w:val="30"/>
        </w:rPr>
        <w:t>。</w:t>
      </w:r>
    </w:p>
    <w:p>
      <w:pPr>
        <w:tabs>
          <w:tab w:val="left" w:pos="5090"/>
        </w:tabs>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（四）项目绩效目标</w:t>
      </w:r>
    </w:p>
    <w:p>
      <w:pPr>
        <w:pStyle w:val="10"/>
        <w:numPr>
          <w:ilvl w:val="0"/>
          <w:numId w:val="1"/>
        </w:numPr>
        <w:spacing w:line="579" w:lineRule="exact"/>
        <w:ind w:firstLineChars="0"/>
        <w:rPr>
          <w:rFonts w:ascii="仿宋" w:hAnsi="仿宋" w:eastAsia="仿宋" w:cs="仿宋"/>
          <w:kern w:val="30"/>
          <w:sz w:val="30"/>
          <w:szCs w:val="30"/>
        </w:rPr>
      </w:pPr>
      <w:bookmarkStart w:id="3" w:name="_Toc13060414"/>
      <w:r>
        <w:rPr>
          <w:rFonts w:ascii="仿宋" w:hAnsi="仿宋" w:eastAsia="仿宋" w:cs="仿宋"/>
          <w:kern w:val="30"/>
          <w:sz w:val="30"/>
          <w:szCs w:val="30"/>
        </w:rPr>
        <w:t>预算申报绩效目标和绩效指标情况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根据《盈江县财政局关于下达2019年统筹整合第六批脱贫攻坚项目资金的通知》（盈财整合〔2019〕78号）文件，盈江县财政局针对</w:t>
      </w:r>
      <w:bookmarkStart w:id="4" w:name="_Hlk57928663"/>
      <w:r>
        <w:rPr>
          <w:rFonts w:hint="eastAsia" w:ascii="仿宋" w:hAnsi="仿宋" w:eastAsia="仿宋" w:cs="仿宋"/>
          <w:kern w:val="30"/>
          <w:sz w:val="30"/>
          <w:szCs w:val="30"/>
        </w:rPr>
        <w:t>盈江县2019年高标准农田建设项目</w:t>
      </w:r>
      <w:bookmarkEnd w:id="4"/>
      <w:r>
        <w:rPr>
          <w:rFonts w:hint="eastAsia" w:ascii="仿宋" w:hAnsi="仿宋" w:eastAsia="仿宋" w:cs="仿宋"/>
          <w:kern w:val="30"/>
          <w:sz w:val="30"/>
          <w:szCs w:val="30"/>
        </w:rPr>
        <w:t>下达的绩效目标为：完成高标准农田建设5500亩,平原区生产道路通达100%， 丘陵区生产道路通达90%，新增粮食和其他作物产能达27.5万公斤，耕地质量提高1级，水资源利用率达30%，受益群众满意度达90%以上。</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农业农村局绩效目标申报表，盈江县农业农村局针对盈江县2019年高标准农田建设项目申报的绩效目标为：建设高标准农田5500亩，工程内容：渠道防渗衬砌33条全长11.387km，修建机耕路4条全长0.981km，配套交叉建筑物46座。具体绩效指标详见下表：</w:t>
      </w:r>
    </w:p>
    <w:p>
      <w:pPr>
        <w:ind w:firstLine="480" w:firstLineChars="200"/>
        <w:jc w:val="center"/>
        <w:rPr>
          <w:rFonts w:ascii="仿宋" w:hAnsi="仿宋" w:eastAsia="仿宋" w:cs="仿宋"/>
          <w:kern w:val="30"/>
          <w:sz w:val="24"/>
        </w:rPr>
      </w:pPr>
      <w:r>
        <w:rPr>
          <w:rFonts w:hint="eastAsia" w:ascii="黑体" w:hAnsi="黑体" w:eastAsia="黑体"/>
          <w:sz w:val="24"/>
        </w:rPr>
        <w:t>表</w:t>
      </w:r>
      <w:r>
        <w:rPr>
          <w:rFonts w:ascii="黑体" w:hAnsi="黑体" w:eastAsia="黑体"/>
          <w:sz w:val="24"/>
        </w:rPr>
        <w:t>1</w:t>
      </w:r>
      <w:r>
        <w:rPr>
          <w:rFonts w:hint="eastAsia" w:ascii="黑体" w:hAnsi="黑体" w:eastAsia="黑体"/>
          <w:sz w:val="24"/>
        </w:rPr>
        <w:t>：预算绩效目标表</w:t>
      </w:r>
    </w:p>
    <w:tbl>
      <w:tblPr>
        <w:tblStyle w:val="6"/>
        <w:tblW w:w="80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400"/>
        <w:gridCol w:w="379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blHeader/>
        </w:trPr>
        <w:tc>
          <w:tcPr>
            <w:tcW w:w="1040" w:type="dxa"/>
            <w:shd w:val="clear" w:color="000000" w:fill="FFFFFF"/>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一级指标</w:t>
            </w:r>
          </w:p>
        </w:tc>
        <w:tc>
          <w:tcPr>
            <w:tcW w:w="1400" w:type="dxa"/>
            <w:shd w:val="clear" w:color="000000" w:fill="FFFFFF"/>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二级指标</w:t>
            </w:r>
          </w:p>
        </w:tc>
        <w:tc>
          <w:tcPr>
            <w:tcW w:w="3797" w:type="dxa"/>
            <w:shd w:val="clear" w:color="000000" w:fill="FFFFFF"/>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三级指标</w:t>
            </w:r>
          </w:p>
        </w:tc>
        <w:tc>
          <w:tcPr>
            <w:tcW w:w="1843" w:type="dxa"/>
            <w:shd w:val="clear" w:color="000000" w:fill="FFFFFF"/>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产出指标</w:t>
            </w: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数量指标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高标准农田建设面积</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≥5500亩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发展高效节水灌溉面积</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≥3100亩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质量指标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平原区生产道路通达度</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丘陵区生产道路通达度</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项目验收合格率</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时效指标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任务完成及时率</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成本指标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高标准农田建设项目亩均补助标准</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1300元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高效节水灌溉项目亩均补助标准</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1382元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效益指标</w:t>
            </w: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经济效益</w:t>
            </w:r>
            <w:r>
              <w:rPr>
                <w:rFonts w:hint="eastAsia" w:ascii="仿宋" w:hAnsi="仿宋" w:eastAsia="仿宋" w:cs="宋体"/>
                <w:kern w:val="0"/>
                <w:sz w:val="20"/>
                <w:szCs w:val="20"/>
              </w:rPr>
              <w:br w:type="textWrapping"/>
            </w:r>
            <w:r>
              <w:rPr>
                <w:rFonts w:hint="eastAsia" w:ascii="仿宋" w:hAnsi="仿宋" w:eastAsia="仿宋" w:cs="宋体"/>
                <w:kern w:val="0"/>
                <w:sz w:val="20"/>
                <w:szCs w:val="20"/>
              </w:rPr>
              <w:t>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新增粮食和其他作物产能</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≥27.5万公斤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新增作物产能</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≥240元/亩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社会效益</w:t>
            </w:r>
            <w:r>
              <w:rPr>
                <w:rFonts w:hint="eastAsia" w:ascii="仿宋" w:hAnsi="仿宋" w:eastAsia="仿宋" w:cs="宋体"/>
                <w:kern w:val="0"/>
                <w:sz w:val="20"/>
                <w:szCs w:val="20"/>
              </w:rPr>
              <w:br w:type="textWrapping"/>
            </w:r>
            <w:r>
              <w:rPr>
                <w:rFonts w:hint="eastAsia" w:ascii="仿宋" w:hAnsi="仿宋" w:eastAsia="仿宋" w:cs="宋体"/>
                <w:kern w:val="0"/>
                <w:sz w:val="20"/>
                <w:szCs w:val="20"/>
              </w:rPr>
              <w:t>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受益建档立卡贫困人口数</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≥188人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带动建档立卡贫困人口脱贫数</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≥188人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生态效益</w:t>
            </w:r>
            <w:r>
              <w:rPr>
                <w:rFonts w:hint="eastAsia" w:ascii="仿宋" w:hAnsi="仿宋" w:eastAsia="仿宋" w:cs="宋体"/>
                <w:kern w:val="0"/>
                <w:sz w:val="20"/>
                <w:szCs w:val="20"/>
              </w:rPr>
              <w:br w:type="textWrapping"/>
            </w:r>
            <w:r>
              <w:rPr>
                <w:rFonts w:hint="eastAsia" w:ascii="仿宋" w:hAnsi="仿宋" w:eastAsia="仿宋" w:cs="宋体"/>
                <w:kern w:val="0"/>
                <w:sz w:val="20"/>
                <w:szCs w:val="20"/>
              </w:rPr>
              <w:t>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耕地质量</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比上年提高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水资源利用率</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比上年提高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可持续影响</w:t>
            </w:r>
            <w:r>
              <w:rPr>
                <w:rFonts w:hint="eastAsia" w:ascii="仿宋" w:hAnsi="仿宋" w:eastAsia="仿宋" w:cs="宋体"/>
                <w:kern w:val="0"/>
                <w:sz w:val="20"/>
                <w:szCs w:val="20"/>
              </w:rPr>
              <w:br w:type="textWrapping"/>
            </w:r>
            <w:r>
              <w:rPr>
                <w:rFonts w:hint="eastAsia" w:ascii="仿宋" w:hAnsi="仿宋" w:eastAsia="仿宋" w:cs="宋体"/>
                <w:kern w:val="0"/>
                <w:sz w:val="20"/>
                <w:szCs w:val="20"/>
              </w:rPr>
              <w:t>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工程质量寿命</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满意度指标</w:t>
            </w:r>
          </w:p>
        </w:tc>
        <w:tc>
          <w:tcPr>
            <w:tcW w:w="1400" w:type="dxa"/>
            <w:vMerge w:val="restart"/>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服务对象</w:t>
            </w:r>
            <w:r>
              <w:rPr>
                <w:rFonts w:hint="eastAsia" w:ascii="仿宋" w:hAnsi="仿宋" w:eastAsia="仿宋" w:cs="宋体"/>
                <w:kern w:val="0"/>
                <w:sz w:val="20"/>
                <w:szCs w:val="20"/>
              </w:rPr>
              <w:br w:type="textWrapping"/>
            </w:r>
            <w:r>
              <w:rPr>
                <w:rFonts w:hint="eastAsia" w:ascii="仿宋" w:hAnsi="仿宋" w:eastAsia="仿宋" w:cs="宋体"/>
                <w:kern w:val="0"/>
                <w:sz w:val="20"/>
                <w:szCs w:val="20"/>
              </w:rPr>
              <w:t>满意度指标</w:t>
            </w: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受益群众满意度</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040" w:type="dxa"/>
            <w:vMerge w:val="continue"/>
            <w:vAlign w:val="center"/>
          </w:tcPr>
          <w:p>
            <w:pPr>
              <w:widowControl/>
              <w:jc w:val="left"/>
              <w:rPr>
                <w:rFonts w:ascii="仿宋" w:hAnsi="仿宋" w:eastAsia="仿宋" w:cs="宋体"/>
                <w:kern w:val="0"/>
                <w:sz w:val="20"/>
                <w:szCs w:val="20"/>
              </w:rPr>
            </w:pPr>
          </w:p>
        </w:tc>
        <w:tc>
          <w:tcPr>
            <w:tcW w:w="1400" w:type="dxa"/>
            <w:vMerge w:val="continue"/>
            <w:vAlign w:val="center"/>
          </w:tcPr>
          <w:p>
            <w:pPr>
              <w:widowControl/>
              <w:jc w:val="left"/>
              <w:rPr>
                <w:rFonts w:ascii="仿宋" w:hAnsi="仿宋" w:eastAsia="仿宋" w:cs="宋体"/>
                <w:kern w:val="0"/>
                <w:sz w:val="20"/>
                <w:szCs w:val="20"/>
              </w:rPr>
            </w:pPr>
          </w:p>
        </w:tc>
        <w:tc>
          <w:tcPr>
            <w:tcW w:w="3797" w:type="dxa"/>
            <w:shd w:val="clear" w:color="000000" w:fill="FFFFFF"/>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受益乡镇、村满意度</w:t>
            </w:r>
          </w:p>
        </w:tc>
        <w:tc>
          <w:tcPr>
            <w:tcW w:w="1843" w:type="dxa"/>
            <w:shd w:val="clear" w:color="000000" w:fill="FFFFFF"/>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≥90%</w:t>
            </w:r>
          </w:p>
        </w:tc>
      </w:tr>
    </w:tbl>
    <w:p>
      <w:pPr>
        <w:pStyle w:val="10"/>
        <w:numPr>
          <w:ilvl w:val="0"/>
          <w:numId w:val="1"/>
        </w:numPr>
        <w:spacing w:line="579" w:lineRule="exact"/>
        <w:ind w:firstLineChars="0"/>
        <w:rPr>
          <w:rFonts w:ascii="仿宋" w:hAnsi="仿宋" w:eastAsia="仿宋" w:cs="仿宋"/>
          <w:kern w:val="30"/>
          <w:sz w:val="30"/>
          <w:szCs w:val="30"/>
        </w:rPr>
      </w:pPr>
      <w:r>
        <w:rPr>
          <w:rFonts w:hint="eastAsia" w:ascii="仿宋" w:hAnsi="仿宋" w:eastAsia="仿宋" w:cs="仿宋"/>
          <w:kern w:val="30"/>
          <w:sz w:val="30"/>
          <w:szCs w:val="30"/>
        </w:rPr>
        <w:t>绩效评价调整后的绩效目标和绩效指标情况</w:t>
      </w:r>
    </w:p>
    <w:p>
      <w:pPr>
        <w:spacing w:line="579" w:lineRule="exact"/>
        <w:ind w:firstLine="600" w:firstLineChars="200"/>
        <w:rPr>
          <w:rFonts w:ascii="仿宋" w:hAnsi="仿宋" w:eastAsia="仿宋"/>
          <w:sz w:val="30"/>
          <w:szCs w:val="30"/>
        </w:rPr>
      </w:pPr>
      <w:r>
        <w:rPr>
          <w:rFonts w:hint="eastAsia" w:ascii="仿宋" w:hAnsi="仿宋" w:eastAsia="仿宋" w:cs="仿宋"/>
          <w:kern w:val="30"/>
          <w:sz w:val="30"/>
          <w:szCs w:val="30"/>
        </w:rPr>
        <w:t>由于盈江县农业农村局在2019年申报预算绩效目标时，绩效目标细化分解的绩效指标缺乏考核项目产出关键性指标、部分绩效指标与项目关联度不高、指标值无法衡量，且将盈江县2019年高标准农田建设项目和盈江县2019年高效节水灌溉项目绩效目标合并申报，本次绩效评价根据项目申报表、工作总结、实施方案等相关资料，并结合项目具体情况，在与盈江县农业农村局沟通一致的基础上，重新梳理盈江县2019年高标准农田建设项目绩效目标。</w:t>
      </w:r>
      <w:r>
        <w:rPr>
          <w:rFonts w:hint="eastAsia" w:ascii="仿宋" w:hAnsi="仿宋" w:eastAsia="仿宋"/>
          <w:sz w:val="30"/>
          <w:szCs w:val="30"/>
        </w:rPr>
        <w:t>具体情况如下：</w:t>
      </w:r>
    </w:p>
    <w:p>
      <w:pPr>
        <w:widowControl/>
        <w:ind w:firstLine="600" w:firstLineChars="200"/>
        <w:rPr>
          <w:rFonts w:ascii="仿宋" w:hAnsi="仿宋" w:eastAsia="仿宋" w:cs="宋体"/>
          <w:b/>
          <w:bCs/>
          <w:color w:val="000000"/>
          <w:kern w:val="0"/>
          <w:sz w:val="20"/>
          <w:szCs w:val="20"/>
        </w:rPr>
      </w:pPr>
      <w:r>
        <w:rPr>
          <w:rFonts w:hint="eastAsia" w:ascii="仿宋" w:hAnsi="仿宋" w:eastAsia="仿宋" w:cs="仿宋"/>
          <w:kern w:val="30"/>
          <w:sz w:val="30"/>
          <w:szCs w:val="30"/>
        </w:rPr>
        <w:t>通过盈江县2019年高标准农田建设项目灌溉与排水工程、田间道路工程、交叉建筑物工程内容的实施，完成高标准农田建设面积5</w:t>
      </w:r>
      <w:r>
        <w:rPr>
          <w:rFonts w:ascii="仿宋" w:hAnsi="仿宋" w:eastAsia="仿宋" w:cs="仿宋"/>
          <w:kern w:val="30"/>
          <w:sz w:val="30"/>
          <w:szCs w:val="30"/>
        </w:rPr>
        <w:t>500</w:t>
      </w:r>
      <w:r>
        <w:rPr>
          <w:rFonts w:hint="eastAsia" w:ascii="仿宋" w:hAnsi="仿宋" w:eastAsia="仿宋" w:cs="仿宋"/>
          <w:kern w:val="30"/>
          <w:sz w:val="30"/>
          <w:szCs w:val="30"/>
        </w:rPr>
        <w:t>亩，改善田间基础设施及群众生产生活条件，新增粮食和其他作物产能达27.5万公斤，并有效调节土壤生态和田间小气候，改善生态环境，美化生态景观。服务对象实施效果满意度达到90%以上。确定后的绩效指标详见下表：</w:t>
      </w:r>
    </w:p>
    <w:p>
      <w:pPr>
        <w:spacing w:line="579" w:lineRule="exact"/>
        <w:ind w:firstLine="480" w:firstLineChars="200"/>
        <w:jc w:val="center"/>
        <w:rPr>
          <w:rFonts w:ascii="黑体" w:hAnsi="黑体" w:eastAsia="黑体"/>
          <w:sz w:val="24"/>
        </w:rPr>
      </w:pPr>
      <w:r>
        <w:rPr>
          <w:rFonts w:hint="eastAsia" w:ascii="黑体" w:hAnsi="黑体" w:eastAsia="黑体"/>
          <w:sz w:val="24"/>
        </w:rPr>
        <w:t>表</w:t>
      </w:r>
      <w:r>
        <w:rPr>
          <w:rFonts w:ascii="黑体" w:hAnsi="黑体" w:eastAsia="黑体"/>
          <w:sz w:val="24"/>
        </w:rPr>
        <w:t>2</w:t>
      </w:r>
      <w:r>
        <w:rPr>
          <w:rFonts w:hint="eastAsia" w:ascii="黑体" w:hAnsi="黑体" w:eastAsia="黑体"/>
          <w:sz w:val="24"/>
        </w:rPr>
        <w:t>：绩效评价绩效目标表</w:t>
      </w:r>
    </w:p>
    <w:tbl>
      <w:tblPr>
        <w:tblStyle w:val="6"/>
        <w:tblW w:w="821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1134"/>
        <w:gridCol w:w="1276"/>
        <w:gridCol w:w="283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704"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一级指标</w:t>
            </w:r>
          </w:p>
        </w:tc>
        <w:tc>
          <w:tcPr>
            <w:tcW w:w="709"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二级指标</w:t>
            </w:r>
          </w:p>
        </w:tc>
        <w:tc>
          <w:tcPr>
            <w:tcW w:w="1134"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三级指标</w:t>
            </w:r>
          </w:p>
        </w:tc>
        <w:tc>
          <w:tcPr>
            <w:tcW w:w="1276" w:type="dxa"/>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指标值</w:t>
            </w:r>
          </w:p>
        </w:tc>
        <w:tc>
          <w:tcPr>
            <w:tcW w:w="2835" w:type="dxa"/>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指标说明</w:t>
            </w:r>
          </w:p>
        </w:tc>
        <w:tc>
          <w:tcPr>
            <w:tcW w:w="1559" w:type="dxa"/>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指标设定依据及来源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04"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 产出</w:t>
            </w:r>
          </w:p>
        </w:tc>
        <w:tc>
          <w:tcPr>
            <w:tcW w:w="709"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产出数量</w:t>
            </w: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灌溉与排水工程完工情况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评价要点：                                     </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完工率=实际完工数/计划完工数*100%；</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新建灌溉与排水工程总长度完工率≥100%。</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田间道路工程完工情况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完工率=实际完工数/计划完工数*100%；</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田间道路工程总长度完工率≥100%。</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704" w:type="dxa"/>
            <w:vMerge w:val="restart"/>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产出</w:t>
            </w:r>
          </w:p>
        </w:tc>
        <w:tc>
          <w:tcPr>
            <w:tcW w:w="709" w:type="dxa"/>
            <w:vMerge w:val="restart"/>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产出数量</w:t>
            </w: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交叉建筑物工程完工情况</w:t>
            </w:r>
          </w:p>
        </w:tc>
        <w:tc>
          <w:tcPr>
            <w:tcW w:w="1276" w:type="dxa"/>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按计划完成</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①新建挡土墙≥40m；</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②新建农桥≥3座；</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③新建农机涵洞≥13座；</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④新建下田道≥27座。</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高标准农田面积</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≥5500亩</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高标准农田完成面积≥5500亩。</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产出时效</w:t>
            </w: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完成及时率</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评价要点：                                      </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完成及时率=1-（实际完成时间-计划完成时间）/计划完成时间*100%                                                                         实际完成时间：项目实施单位完成该项目实际所耗用的时间。</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计划完成时间：按照项目实施计划或相关规定完成该项目所需的时间。</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产出成本</w:t>
            </w: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成本节约率</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w:t>
            </w:r>
            <w:r>
              <w:rPr>
                <w:rFonts w:ascii="仿宋" w:hAnsi="仿宋" w:eastAsia="仿宋" w:cs="宋体"/>
                <w:color w:val="000000"/>
                <w:kern w:val="0"/>
                <w:sz w:val="20"/>
                <w:szCs w:val="20"/>
              </w:rPr>
              <w:t>0</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评价要点：                                    </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 xml:space="preserve"> 成本节约率=［（计划成本-实际成本）/计划成本］×100%。 </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实际成本：项目实施单位如期、保质、保量完成既定工作目标实际所耗费的支出。</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计划成本：项目实施单位为完成工作目标计划安排的支出，一般以项目预算为参考。</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产出质量</w:t>
            </w:r>
          </w:p>
        </w:tc>
        <w:tc>
          <w:tcPr>
            <w:tcW w:w="1134"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质量达标率</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 xml:space="preserve">质量达标率=（质量达标产出数/实际产出数）×100%。 </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质量达标产出数：一定时期（本年度或项目期）内实际达到既定质量标准的产品或服务数量。</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既定质量标准是指项目实施单位设立绩效目标时依据计划标准、行业标准、历史标准或其他标准而设定的绩效指标值。</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704" w:type="dxa"/>
            <w:vMerge w:val="restart"/>
            <w:shd w:val="clear" w:color="auto" w:fill="FFFFFF"/>
            <w:vAlign w:val="center"/>
          </w:tcPr>
          <w:p>
            <w:pPr>
              <w:widowControl/>
              <w:rPr>
                <w:rFonts w:ascii="仿宋" w:hAnsi="仿宋" w:eastAsia="仿宋" w:cs="宋体"/>
                <w:color w:val="000000"/>
                <w:kern w:val="0"/>
                <w:sz w:val="20"/>
                <w:szCs w:val="20"/>
              </w:rPr>
            </w:pPr>
            <w:r>
              <w:rPr>
                <w:rFonts w:hint="eastAsia" w:ascii="仿宋" w:hAnsi="仿宋" w:eastAsia="仿宋" w:cs="宋体"/>
                <w:color w:val="000000"/>
                <w:kern w:val="0"/>
                <w:sz w:val="20"/>
                <w:szCs w:val="20"/>
              </w:rPr>
              <w:t>效果</w:t>
            </w:r>
          </w:p>
        </w:tc>
        <w:tc>
          <w:tcPr>
            <w:tcW w:w="709"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经济效益</w:t>
            </w: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粮食及其他农作物的增收情况</w:t>
            </w:r>
          </w:p>
        </w:tc>
        <w:tc>
          <w:tcPr>
            <w:tcW w:w="1276" w:type="dxa"/>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①≥27.5万公斤；②增收明显</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①新增粮食及其他作物产量≥27.5万公斤；</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②通过问卷调查设置相应问题，对项目区社会群众进行访谈调查反映项目对项目区粮食及其他农作物的增收情况。</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continue"/>
            <w:vAlign w:val="center"/>
          </w:tcPr>
          <w:p>
            <w:pPr>
              <w:widowControl/>
              <w:jc w:val="left"/>
              <w:rPr>
                <w:rFonts w:ascii="仿宋" w:hAnsi="仿宋" w:eastAsia="仿宋" w:cs="宋体"/>
                <w:color w:val="000000"/>
                <w:kern w:val="0"/>
                <w:sz w:val="20"/>
                <w:szCs w:val="20"/>
              </w:rPr>
            </w:pP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种植粮食及其他农作物成本节约情况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有效节约</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主要通过问卷调查设置相应问题，对项目区社会群众进行访谈调查，结合统计数据等资料反映项目农户种植粮食及农作物成本节约情况。</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社会效益</w:t>
            </w: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田间基础设施改善情况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改善明显</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主要通过问卷调查设置相应问题，对项目区社会群众进行访谈调查，结合统计数据等资料反映项目实施对项目区水利设施、田间道路设施等基础设施的改善情况。</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continue"/>
            <w:vAlign w:val="center"/>
          </w:tcPr>
          <w:p>
            <w:pPr>
              <w:widowControl/>
              <w:jc w:val="left"/>
              <w:rPr>
                <w:rFonts w:ascii="仿宋" w:hAnsi="仿宋" w:eastAsia="仿宋" w:cs="宋体"/>
                <w:color w:val="000000"/>
                <w:kern w:val="0"/>
                <w:sz w:val="20"/>
                <w:szCs w:val="20"/>
              </w:rPr>
            </w:pP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生产生活条件改善情况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有效改善</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主要通过问卷调查设置相应问题，对项目区社会群众进行访谈调查，结合统计数据等资料反映是否有效改善群众的生产生活条件。</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生态效益</w:t>
            </w: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生态环境改善情况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改善明显</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主要通过问卷调查设置相应问题，对项目区社会群众进行访谈调查，结合统计数据等资料反映项目区是否有效调节土壤生态和田间小气候，改善生态环境。</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vMerge w:val="continue"/>
            <w:vAlign w:val="center"/>
          </w:tcPr>
          <w:p>
            <w:pPr>
              <w:widowControl/>
              <w:jc w:val="left"/>
              <w:rPr>
                <w:rFonts w:ascii="仿宋" w:hAnsi="仿宋" w:eastAsia="仿宋" w:cs="宋体"/>
                <w:color w:val="000000"/>
                <w:kern w:val="0"/>
                <w:sz w:val="20"/>
                <w:szCs w:val="20"/>
              </w:rPr>
            </w:pP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生态景观美化情况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显著</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主要通过查阅项目实施现场图片资料，问卷调查设置相应问题，对项目区社会群众进行访谈调查，结合统计数据等反映是否有效美化生态环境，改善生态景观。</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704" w:type="dxa"/>
            <w:vMerge w:val="restart"/>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效果</w:t>
            </w:r>
          </w:p>
        </w:tc>
        <w:tc>
          <w:tcPr>
            <w:tcW w:w="7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可持续影响</w:t>
            </w: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项目后续管护情况</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安排专人管理且办理移交手续</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评价要点：</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项目完工后是否安排相关人员进行日常检查维护且办理移交手续。</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4"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7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满意度</w:t>
            </w:r>
          </w:p>
        </w:tc>
        <w:tc>
          <w:tcPr>
            <w:tcW w:w="1134"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受益对象满意度</w:t>
            </w:r>
          </w:p>
        </w:tc>
        <w:tc>
          <w:tcPr>
            <w:tcW w:w="12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满意</w:t>
            </w:r>
          </w:p>
        </w:tc>
        <w:tc>
          <w:tcPr>
            <w:tcW w:w="2835" w:type="dxa"/>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通过问卷调查的方式，反映受益群众对盈江县2019年高标准农田建设项目实施的满意程度。</w:t>
            </w:r>
          </w:p>
        </w:tc>
        <w:tc>
          <w:tcPr>
            <w:tcW w:w="155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项目实施方案、管理制度，相关政策文件</w:t>
            </w:r>
          </w:p>
        </w:tc>
      </w:tr>
    </w:tbl>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（三）项目组织管理情况</w:t>
      </w:r>
      <w:bookmarkEnd w:id="3"/>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1</w:t>
      </w:r>
      <w:r>
        <w:rPr>
          <w:rFonts w:ascii="仿宋" w:hAnsi="仿宋" w:eastAsia="仿宋" w:cs="仿宋"/>
          <w:kern w:val="30"/>
          <w:sz w:val="30"/>
          <w:szCs w:val="30"/>
        </w:rPr>
        <w:t>.</w:t>
      </w:r>
      <w:r>
        <w:rPr>
          <w:rFonts w:hint="eastAsia" w:ascii="仿宋" w:hAnsi="仿宋" w:eastAsia="仿宋" w:cs="仿宋"/>
          <w:kern w:val="30"/>
          <w:sz w:val="30"/>
          <w:szCs w:val="30"/>
        </w:rPr>
        <w:t>业务组织情况</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为确保项目顺利实施，盈江县农业农村局成立了盈江县2019年高标准农田建设项目实施领导小组。主要职责：审核、上报项目规划设计和概算文件；审核、上报年度投资计划并落实年度资金；提出项目开工报告；研究解决建设过程中出现的重大问题；对投资计划和项目执行、资金使用情况进行检查、监督，负责组织项目初验；负责提出项目竣工验收申请报告，并对竣工项目进行验收或预验收；组织编制项目规划设计文件，并提交项目主管部门审查；按批复的规划设计文件和概算，组织项目施工图设计；办理各种工程建设前期手续；组织工程设计、施工监理、施工队伍采购等招标工作；编制并组织实施项目年度投资计划、用款计划、建设进度计划；编制项目财务预算、决算；组织工程建设实施，负责控制工程投资、工期和质量；及时收集和整理建立档案；组织项目评价，编制项目建设总结。</w:t>
      </w:r>
    </w:p>
    <w:p>
      <w:pPr>
        <w:spacing w:line="579" w:lineRule="exact"/>
        <w:ind w:firstLine="600" w:firstLineChars="200"/>
        <w:rPr>
          <w:rFonts w:ascii="仿宋" w:hAnsi="仿宋" w:eastAsia="仿宋" w:cs="仿宋"/>
          <w:kern w:val="30"/>
          <w:sz w:val="30"/>
          <w:szCs w:val="30"/>
        </w:rPr>
      </w:pPr>
      <w:r>
        <w:rPr>
          <w:rFonts w:hint="eastAsia" w:ascii="仿宋" w:hAnsi="仿宋" w:eastAsia="仿宋" w:cs="仿宋"/>
          <w:kern w:val="30"/>
          <w:sz w:val="30"/>
          <w:szCs w:val="30"/>
        </w:rPr>
        <w:t>2</w:t>
      </w:r>
      <w:r>
        <w:rPr>
          <w:rFonts w:ascii="仿宋" w:hAnsi="仿宋" w:eastAsia="仿宋" w:cs="仿宋"/>
          <w:kern w:val="30"/>
          <w:sz w:val="30"/>
          <w:szCs w:val="30"/>
        </w:rPr>
        <w:t>.</w:t>
      </w:r>
      <w:r>
        <w:rPr>
          <w:rFonts w:hint="eastAsia" w:ascii="仿宋" w:hAnsi="仿宋" w:eastAsia="仿宋" w:cs="仿宋"/>
          <w:kern w:val="30"/>
          <w:sz w:val="30"/>
          <w:szCs w:val="30"/>
        </w:rPr>
        <w:t>项目管理情况</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严格项目管理，执行单位法人负责制、招投标制、工程监理制和合同制。在项目计划得到批复后，根据项目要求明确项目法人为盈江县农业农村局局长；按照</w:t>
      </w:r>
      <w:r>
        <w:rPr>
          <w:rFonts w:hint="eastAsia" w:ascii="仿宋" w:hAnsi="仿宋" w:eastAsia="仿宋" w:cs="仿宋"/>
          <w:kern w:val="30"/>
          <w:sz w:val="30"/>
          <w:szCs w:val="30"/>
          <w:lang w:eastAsia="zh-CN"/>
        </w:rPr>
        <w:t>《中华人民共和国招标投标法》</w:t>
      </w:r>
      <w:r>
        <w:rPr>
          <w:rFonts w:hint="eastAsia" w:ascii="仿宋" w:hAnsi="仿宋" w:eastAsia="仿宋" w:cs="仿宋"/>
          <w:kern w:val="30"/>
          <w:sz w:val="30"/>
          <w:szCs w:val="30"/>
        </w:rPr>
        <w:t>及国家有关招投标规定，委托招标代理公司开展招投标工作，将该项目划分为</w:t>
      </w:r>
      <w:r>
        <w:rPr>
          <w:rFonts w:ascii="仿宋" w:hAnsi="仿宋" w:eastAsia="仿宋" w:cs="仿宋"/>
          <w:kern w:val="30"/>
          <w:sz w:val="30"/>
          <w:szCs w:val="30"/>
        </w:rPr>
        <w:t>3</w:t>
      </w:r>
      <w:r>
        <w:rPr>
          <w:rFonts w:hint="eastAsia" w:ascii="仿宋" w:hAnsi="仿宋" w:eastAsia="仿宋" w:cs="仿宋"/>
          <w:kern w:val="30"/>
          <w:sz w:val="30"/>
          <w:szCs w:val="30"/>
        </w:rPr>
        <w:t>个标段，确定施工单位为云南东辰建设有限公司、云南鸿硕建筑工程有限公司、云南盈汇建筑工程有限公司；项目严格实行工程监理制，通过中介超市抽选监理公司，确定监理单位为河南海纳建设管理有限公司；施工及监理单位确定后，盈江县农业农村局分别与中标单位和监理单位签订了相关合同。项目实施过程中盈江县农业农村局相关人员采取定期或不定期听取汇报、现场勘验等方式，对项目实施的具体情况、完成进度、资金使用等内容进行监督检查。</w:t>
      </w:r>
    </w:p>
    <w:p>
      <w:pPr>
        <w:pStyle w:val="10"/>
        <w:numPr>
          <w:ilvl w:val="0"/>
          <w:numId w:val="1"/>
        </w:numPr>
        <w:ind w:firstLineChars="0"/>
        <w:rPr>
          <w:rFonts w:ascii="仿宋" w:hAnsi="仿宋" w:eastAsia="仿宋" w:cs="仿宋"/>
          <w:kern w:val="30"/>
          <w:sz w:val="30"/>
          <w:szCs w:val="30"/>
        </w:rPr>
      </w:pPr>
      <w:r>
        <w:rPr>
          <w:rFonts w:hint="eastAsia" w:ascii="仿宋" w:hAnsi="仿宋" w:eastAsia="仿宋" w:cs="仿宋"/>
          <w:kern w:val="30"/>
          <w:sz w:val="30"/>
          <w:szCs w:val="30"/>
        </w:rPr>
        <w:t>资金管理情况</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在项目资金管理使用中，严格按照项目资金使用管理要求，做到专款专用，按照方案进行资金兑付。</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二、绩效自评情况</w:t>
      </w:r>
    </w:p>
    <w:p>
      <w:pPr>
        <w:spacing w:line="570" w:lineRule="exact"/>
        <w:ind w:firstLine="600" w:firstLineChars="200"/>
        <w:outlineLvl w:val="1"/>
        <w:rPr>
          <w:rFonts w:ascii="楷体" w:hAnsi="楷体" w:eastAsia="楷体"/>
          <w:sz w:val="30"/>
          <w:szCs w:val="30"/>
        </w:rPr>
      </w:pPr>
      <w:bookmarkStart w:id="5" w:name="_Toc51333614"/>
      <w:bookmarkStart w:id="6" w:name="_Toc9439740"/>
      <w:r>
        <w:rPr>
          <w:rFonts w:hint="eastAsia" w:ascii="楷体" w:hAnsi="楷体" w:eastAsia="楷体"/>
          <w:sz w:val="30"/>
          <w:szCs w:val="30"/>
        </w:rPr>
        <w:t>（一）绩效自评概述</w:t>
      </w:r>
      <w:bookmarkEnd w:id="5"/>
      <w:bookmarkEnd w:id="6"/>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w:t>
      </w:r>
      <w:r>
        <w:rPr>
          <w:rFonts w:hint="eastAsia" w:ascii="仿宋" w:hAnsi="仿宋" w:eastAsia="仿宋" w:cs="仿宋"/>
          <w:sz w:val="30"/>
          <w:szCs w:val="30"/>
        </w:rPr>
        <w:t>《盈江县财政局关于对2019年度部分项目开展绩效自评的通知》（盈财发〔2020〕180号）文件</w:t>
      </w:r>
      <w:r>
        <w:rPr>
          <w:rFonts w:hint="eastAsia" w:ascii="仿宋" w:hAnsi="仿宋" w:eastAsia="仿宋" w:cs="仿宋"/>
          <w:kern w:val="30"/>
          <w:sz w:val="30"/>
          <w:szCs w:val="30"/>
        </w:rPr>
        <w:t>，盈江县农业农村局于2020年1</w:t>
      </w:r>
      <w:r>
        <w:rPr>
          <w:rFonts w:ascii="仿宋" w:hAnsi="仿宋" w:eastAsia="仿宋" w:cs="仿宋"/>
          <w:kern w:val="30"/>
          <w:sz w:val="30"/>
          <w:szCs w:val="30"/>
        </w:rPr>
        <w:t>1</w:t>
      </w:r>
      <w:r>
        <w:rPr>
          <w:rFonts w:hint="eastAsia" w:ascii="仿宋" w:hAnsi="仿宋" w:eastAsia="仿宋" w:cs="仿宋"/>
          <w:kern w:val="30"/>
          <w:sz w:val="30"/>
          <w:szCs w:val="30"/>
        </w:rPr>
        <w:t>月组织开展盈江县2019年高标准农田建设项目绩效自评工作。依据项目情况及绩效目标设置绩效自评指标体系进行评价，绩效自评指标体系设立了资金执行（10分）、产出（4</w:t>
      </w:r>
      <w:r>
        <w:rPr>
          <w:rFonts w:ascii="仿宋" w:hAnsi="仿宋" w:eastAsia="仿宋" w:cs="仿宋"/>
          <w:kern w:val="30"/>
          <w:sz w:val="30"/>
          <w:szCs w:val="30"/>
        </w:rPr>
        <w:t>5</w:t>
      </w:r>
      <w:r>
        <w:rPr>
          <w:rFonts w:hint="eastAsia" w:ascii="仿宋" w:hAnsi="仿宋" w:eastAsia="仿宋" w:cs="仿宋"/>
          <w:kern w:val="30"/>
          <w:sz w:val="30"/>
          <w:szCs w:val="30"/>
        </w:rPr>
        <w:t>分）、效益（3</w:t>
      </w:r>
      <w:r>
        <w:rPr>
          <w:rFonts w:ascii="仿宋" w:hAnsi="仿宋" w:eastAsia="仿宋" w:cs="仿宋"/>
          <w:kern w:val="30"/>
          <w:sz w:val="30"/>
          <w:szCs w:val="30"/>
        </w:rPr>
        <w:t>5</w:t>
      </w:r>
      <w:r>
        <w:rPr>
          <w:rFonts w:hint="eastAsia" w:ascii="仿宋" w:hAnsi="仿宋" w:eastAsia="仿宋" w:cs="仿宋"/>
          <w:kern w:val="30"/>
          <w:sz w:val="30"/>
          <w:szCs w:val="30"/>
        </w:rPr>
        <w:t>分）和满意度（10分）4个一级指标、9个二级指标，1</w:t>
      </w:r>
      <w:r>
        <w:rPr>
          <w:rFonts w:ascii="仿宋" w:hAnsi="仿宋" w:eastAsia="仿宋" w:cs="仿宋"/>
          <w:kern w:val="30"/>
          <w:sz w:val="30"/>
          <w:szCs w:val="30"/>
        </w:rPr>
        <w:t>4</w:t>
      </w:r>
      <w:r>
        <w:rPr>
          <w:rFonts w:hint="eastAsia" w:ascii="仿宋" w:hAnsi="仿宋" w:eastAsia="仿宋" w:cs="仿宋"/>
          <w:kern w:val="30"/>
          <w:sz w:val="30"/>
          <w:szCs w:val="30"/>
        </w:rPr>
        <w:t>个三级指标，通过对项目情况进行分析评价，形成了盈江县2019年高标准农田建设项目绩效自评报告。</w:t>
      </w:r>
    </w:p>
    <w:p>
      <w:pPr>
        <w:spacing w:line="570" w:lineRule="exact"/>
        <w:ind w:firstLine="600" w:firstLineChars="200"/>
        <w:outlineLvl w:val="1"/>
        <w:rPr>
          <w:rFonts w:ascii="楷体" w:hAnsi="楷体" w:eastAsia="楷体"/>
          <w:sz w:val="30"/>
          <w:szCs w:val="30"/>
        </w:rPr>
      </w:pPr>
      <w:bookmarkStart w:id="7" w:name="_Toc529348772"/>
      <w:bookmarkStart w:id="8" w:name="_Toc528070248"/>
      <w:r>
        <w:rPr>
          <w:rFonts w:hint="eastAsia" w:ascii="楷体" w:hAnsi="楷体" w:eastAsia="楷体"/>
          <w:sz w:val="30"/>
          <w:szCs w:val="30"/>
        </w:rPr>
        <w:t>（二）绩效自评结论</w:t>
      </w:r>
      <w:bookmarkEnd w:id="7"/>
      <w:bookmarkEnd w:id="8"/>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根据提交的自评报告，盈江县农业农村局2019年高标准农田建设项目自评得分95分，自评等级为“优”。</w:t>
      </w:r>
      <w:r>
        <w:rPr>
          <w:rFonts w:hint="eastAsia" w:ascii="仿宋" w:hAnsi="仿宋" w:eastAsia="仿宋"/>
          <w:sz w:val="30"/>
          <w:szCs w:val="30"/>
        </w:rPr>
        <w:t>因项目</w:t>
      </w:r>
      <w:r>
        <w:rPr>
          <w:rFonts w:ascii="仿宋" w:hAnsi="仿宋" w:eastAsia="仿宋"/>
          <w:sz w:val="30"/>
          <w:szCs w:val="30"/>
        </w:rPr>
        <w:t>自评</w:t>
      </w:r>
      <w:r>
        <w:rPr>
          <w:rFonts w:hint="eastAsia" w:ascii="仿宋" w:hAnsi="仿宋" w:eastAsia="仿宋"/>
          <w:sz w:val="30"/>
          <w:szCs w:val="30"/>
        </w:rPr>
        <w:t>报告（表）无自评</w:t>
      </w:r>
      <w:r>
        <w:rPr>
          <w:rFonts w:ascii="仿宋" w:hAnsi="仿宋" w:eastAsia="仿宋"/>
          <w:sz w:val="30"/>
          <w:szCs w:val="30"/>
        </w:rPr>
        <w:t>结论</w:t>
      </w:r>
      <w:r>
        <w:rPr>
          <w:rFonts w:hint="eastAsia" w:ascii="仿宋" w:hAnsi="仿宋" w:eastAsia="仿宋"/>
          <w:sz w:val="30"/>
          <w:szCs w:val="30"/>
        </w:rPr>
        <w:t>，经查阅绩效自评报告及项目工作总结，整理后自评结论为</w:t>
      </w:r>
      <w:r>
        <w:rPr>
          <w:rFonts w:ascii="仿宋" w:hAnsi="仿宋" w:eastAsia="仿宋"/>
          <w:sz w:val="30"/>
          <w:szCs w:val="30"/>
        </w:rPr>
        <w:t>：</w:t>
      </w:r>
      <w:r>
        <w:rPr>
          <w:rFonts w:hint="eastAsia" w:ascii="仿宋" w:hAnsi="仿宋" w:eastAsia="仿宋"/>
          <w:sz w:val="30"/>
          <w:szCs w:val="30"/>
        </w:rPr>
        <w:t>通过该项目的实施，完成高标准农田建设面积5500亩，有效改善项目区农田基础设施条件，实现“渠相通、路相连、旱能灌、涝能排”，提升了耕地质量，提高了农业综合生产能力，作物单位面积产量及粮食生产能力将得到较大的提高，增粮稳粮效果显著，综合效益明显。</w:t>
      </w:r>
    </w:p>
    <w:p>
      <w:pPr>
        <w:overflowPunct w:val="0"/>
        <w:spacing w:line="570" w:lineRule="exact"/>
        <w:ind w:firstLine="629"/>
        <w:outlineLvl w:val="0"/>
        <w:rPr>
          <w:rFonts w:ascii="黑体" w:hAnsi="黑体" w:eastAsia="黑体"/>
          <w:sz w:val="30"/>
          <w:szCs w:val="30"/>
        </w:rPr>
      </w:pPr>
      <w:bookmarkStart w:id="9" w:name="_Toc51333616"/>
      <w:r>
        <w:rPr>
          <w:rFonts w:hint="eastAsia" w:ascii="黑体" w:hAnsi="黑体" w:eastAsia="黑体"/>
          <w:sz w:val="30"/>
          <w:szCs w:val="30"/>
        </w:rPr>
        <w:t>三、绩效评价组织情况</w:t>
      </w:r>
      <w:bookmarkEnd w:id="9"/>
    </w:p>
    <w:p>
      <w:pPr>
        <w:spacing w:line="570" w:lineRule="exact"/>
        <w:ind w:firstLine="600" w:firstLineChars="200"/>
        <w:outlineLvl w:val="1"/>
        <w:rPr>
          <w:rFonts w:ascii="楷体" w:hAnsi="楷体" w:eastAsia="楷体"/>
          <w:sz w:val="30"/>
          <w:szCs w:val="30"/>
        </w:rPr>
      </w:pPr>
      <w:bookmarkStart w:id="10" w:name="_Toc9439743"/>
      <w:bookmarkStart w:id="11" w:name="_Toc51333617"/>
      <w:r>
        <w:rPr>
          <w:rFonts w:hint="eastAsia" w:ascii="楷体" w:hAnsi="楷体" w:eastAsia="楷体"/>
          <w:sz w:val="30"/>
          <w:szCs w:val="30"/>
        </w:rPr>
        <w:t>（一）绩效评价依据</w:t>
      </w:r>
      <w:bookmarkEnd w:id="10"/>
      <w:bookmarkEnd w:id="11"/>
    </w:p>
    <w:p>
      <w:pPr>
        <w:spacing w:line="579" w:lineRule="exact"/>
        <w:ind w:firstLine="600" w:firstLineChars="200"/>
        <w:rPr>
          <w:rFonts w:ascii="仿宋" w:hAnsi="仿宋" w:eastAsia="仿宋"/>
          <w:sz w:val="30"/>
          <w:szCs w:val="30"/>
        </w:rPr>
      </w:pPr>
      <w:r>
        <w:rPr>
          <w:rFonts w:ascii="仿宋" w:hAnsi="仿宋" w:eastAsia="仿宋"/>
          <w:sz w:val="30"/>
          <w:szCs w:val="30"/>
        </w:rPr>
        <w:t>1.《中华人民共和国预算法》</w:t>
      </w:r>
      <w:r>
        <w:rPr>
          <w:rFonts w:hint="eastAsia" w:ascii="仿宋" w:hAnsi="仿宋" w:eastAsia="仿宋"/>
          <w:sz w:val="30"/>
          <w:szCs w:val="30"/>
        </w:rPr>
        <w:t>（2014年修订）</w:t>
      </w:r>
    </w:p>
    <w:p>
      <w:pPr>
        <w:spacing w:line="579"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cs="仿宋"/>
          <w:kern w:val="30"/>
          <w:sz w:val="30"/>
          <w:szCs w:val="30"/>
        </w:rPr>
        <w:t>中共云南省委云南省人民政府关于全面实施预算绩效管理的实施意见》(云发〔2019〕11号)</w:t>
      </w:r>
    </w:p>
    <w:p>
      <w:pPr>
        <w:spacing w:line="579"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cs="仿宋"/>
          <w:kern w:val="30"/>
          <w:sz w:val="30"/>
          <w:szCs w:val="30"/>
        </w:rPr>
        <w:t>德宏州财政局 德宏州委宣传部 德宏州审计局关于印发德宏州全面实施预算绩效管理工作推进预算方案的通知》(德财〔2020〕81号)</w:t>
      </w:r>
    </w:p>
    <w:p>
      <w:pPr>
        <w:spacing w:line="579" w:lineRule="exact"/>
        <w:ind w:firstLine="600" w:firstLineChars="200"/>
        <w:rPr>
          <w:rFonts w:ascii="仿宋" w:hAnsi="仿宋" w:eastAsia="仿宋" w:cs="仿宋"/>
          <w:kern w:val="30"/>
          <w:sz w:val="30"/>
          <w:szCs w:val="30"/>
        </w:rPr>
      </w:pPr>
      <w:r>
        <w:rPr>
          <w:rFonts w:ascii="仿宋" w:hAnsi="仿宋" w:eastAsia="仿宋" w:cs="仿宋"/>
          <w:kern w:val="30"/>
          <w:sz w:val="30"/>
          <w:szCs w:val="30"/>
        </w:rPr>
        <w:t>4.</w:t>
      </w:r>
      <w:r>
        <w:rPr>
          <w:rFonts w:hint="eastAsia" w:ascii="仿宋" w:hAnsi="仿宋" w:eastAsia="仿宋" w:cs="仿宋"/>
          <w:kern w:val="30"/>
          <w:sz w:val="30"/>
          <w:szCs w:val="30"/>
        </w:rPr>
        <w:t>《中共盈江县委盈江县人民政府关于全面实施预算绩效管理的实施方案》(盈发〔2020〕17号)</w:t>
      </w:r>
    </w:p>
    <w:p>
      <w:pPr>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《盈江县人民政府办公室关于印发盈江县统筹整合使用财政涉农资金管理暂行办法的通知》（盈政办发〔2018〕92号）</w:t>
      </w:r>
    </w:p>
    <w:p>
      <w:pPr>
        <w:ind w:firstLine="600" w:firstLineChars="200"/>
        <w:rPr>
          <w:rFonts w:ascii="仿宋" w:hAnsi="仿宋" w:eastAsia="仿宋" w:cs="仿宋"/>
          <w:kern w:val="30"/>
          <w:sz w:val="30"/>
          <w:szCs w:val="30"/>
        </w:rPr>
      </w:pPr>
      <w:r>
        <w:rPr>
          <w:rFonts w:ascii="仿宋" w:hAnsi="仿宋" w:eastAsia="仿宋" w:cs="仿宋"/>
          <w:kern w:val="30"/>
          <w:sz w:val="30"/>
          <w:szCs w:val="30"/>
        </w:rPr>
        <w:t>6.</w:t>
      </w:r>
      <w:r>
        <w:rPr>
          <w:rFonts w:hint="eastAsia" w:ascii="仿宋" w:hAnsi="仿宋" w:eastAsia="仿宋" w:cs="仿宋"/>
          <w:kern w:val="30"/>
          <w:sz w:val="30"/>
          <w:szCs w:val="30"/>
        </w:rPr>
        <w:t>《农田建设项目管理办法》</w:t>
      </w:r>
    </w:p>
    <w:p>
      <w:pPr>
        <w:ind w:firstLine="600" w:firstLineChars="200"/>
        <w:rPr>
          <w:rFonts w:ascii="仿宋" w:hAnsi="仿宋" w:eastAsia="仿宋" w:cs="仿宋"/>
          <w:kern w:val="30"/>
          <w:sz w:val="30"/>
          <w:szCs w:val="30"/>
        </w:rPr>
      </w:pPr>
      <w:r>
        <w:rPr>
          <w:rFonts w:ascii="仿宋" w:hAnsi="仿宋" w:eastAsia="仿宋" w:cs="仿宋"/>
          <w:kern w:val="30"/>
          <w:sz w:val="30"/>
          <w:szCs w:val="30"/>
        </w:rPr>
        <w:t>7</w:t>
      </w:r>
      <w:r>
        <w:rPr>
          <w:rFonts w:hint="eastAsia" w:ascii="仿宋" w:hAnsi="仿宋" w:eastAsia="仿宋" w:cs="仿宋"/>
          <w:kern w:val="30"/>
          <w:sz w:val="30"/>
          <w:szCs w:val="30"/>
        </w:rPr>
        <w:t>．</w:t>
      </w:r>
      <w:r>
        <w:rPr>
          <w:rFonts w:ascii="仿宋" w:hAnsi="仿宋" w:eastAsia="仿宋"/>
          <w:sz w:val="30"/>
          <w:szCs w:val="30"/>
        </w:rPr>
        <w:t>其它相关依据文件</w:t>
      </w:r>
    </w:p>
    <w:p>
      <w:pPr>
        <w:spacing w:line="570" w:lineRule="exact"/>
        <w:ind w:firstLine="600" w:firstLineChars="200"/>
        <w:outlineLvl w:val="1"/>
        <w:rPr>
          <w:rFonts w:ascii="楷体" w:hAnsi="楷体" w:eastAsia="楷体"/>
          <w:sz w:val="30"/>
          <w:szCs w:val="30"/>
        </w:rPr>
      </w:pPr>
      <w:bookmarkStart w:id="12" w:name="_Toc51333618"/>
      <w:r>
        <w:rPr>
          <w:rFonts w:hint="eastAsia" w:ascii="楷体" w:hAnsi="楷体" w:eastAsia="楷体"/>
          <w:sz w:val="30"/>
          <w:szCs w:val="30"/>
        </w:rPr>
        <w:t>（二）绩效评价方法</w:t>
      </w:r>
      <w:bookmarkEnd w:id="12"/>
    </w:p>
    <w:p>
      <w:pPr>
        <w:ind w:firstLine="600" w:firstLineChars="200"/>
        <w:rPr>
          <w:rFonts w:ascii="仿宋" w:hAnsi="仿宋" w:eastAsia="仿宋"/>
          <w:sz w:val="30"/>
          <w:szCs w:val="30"/>
        </w:rPr>
      </w:pPr>
      <w:r>
        <w:rPr>
          <w:rFonts w:ascii="仿宋" w:hAnsi="仿宋" w:eastAsia="仿宋"/>
          <w:sz w:val="30"/>
          <w:szCs w:val="30"/>
        </w:rPr>
        <w:t>本次绩效</w:t>
      </w:r>
      <w:r>
        <w:rPr>
          <w:rFonts w:hint="eastAsia" w:ascii="仿宋" w:hAnsi="仿宋" w:eastAsia="仿宋"/>
          <w:sz w:val="30"/>
          <w:szCs w:val="30"/>
        </w:rPr>
        <w:t>评价遵循共性与个性相结合、</w:t>
      </w:r>
      <w:r>
        <w:rPr>
          <w:rFonts w:ascii="仿宋" w:hAnsi="仿宋" w:eastAsia="仿宋"/>
          <w:sz w:val="30"/>
          <w:szCs w:val="30"/>
        </w:rPr>
        <w:t>定量与定性相结合、审阅自评和数据</w:t>
      </w:r>
      <w:r>
        <w:rPr>
          <w:rFonts w:hint="eastAsia" w:ascii="仿宋" w:hAnsi="仿宋" w:eastAsia="仿宋"/>
          <w:sz w:val="30"/>
          <w:szCs w:val="30"/>
        </w:rPr>
        <w:t>分析</w:t>
      </w:r>
      <w:r>
        <w:rPr>
          <w:rFonts w:ascii="仿宋" w:hAnsi="仿宋" w:eastAsia="仿宋"/>
          <w:sz w:val="30"/>
          <w:szCs w:val="30"/>
        </w:rPr>
        <w:t>相结合，对收集的相关基础资料、各种技术经济数据，在归集、整理、分析的基础上，运用资料审阅法、</w:t>
      </w:r>
      <w:r>
        <w:rPr>
          <w:rFonts w:hint="eastAsia" w:ascii="仿宋" w:hAnsi="仿宋" w:eastAsia="仿宋"/>
          <w:sz w:val="30"/>
          <w:szCs w:val="30"/>
        </w:rPr>
        <w:t>实地考察法、数据</w:t>
      </w:r>
      <w:r>
        <w:rPr>
          <w:rFonts w:ascii="仿宋" w:hAnsi="仿宋" w:eastAsia="仿宋"/>
          <w:sz w:val="30"/>
          <w:szCs w:val="30"/>
        </w:rPr>
        <w:t>分析法</w:t>
      </w:r>
      <w:r>
        <w:rPr>
          <w:rFonts w:hint="eastAsia" w:ascii="仿宋" w:hAnsi="仿宋" w:eastAsia="仿宋"/>
          <w:sz w:val="30"/>
          <w:szCs w:val="30"/>
        </w:rPr>
        <w:t>和问卷调查</w:t>
      </w:r>
      <w:r>
        <w:rPr>
          <w:rFonts w:ascii="仿宋" w:hAnsi="仿宋" w:eastAsia="仿宋"/>
          <w:sz w:val="30"/>
          <w:szCs w:val="30"/>
        </w:rPr>
        <w:t>等方法，系统、科学的反映评价项目综合绩效情况。</w:t>
      </w:r>
    </w:p>
    <w:p>
      <w:pPr>
        <w:ind w:firstLine="600" w:firstLineChars="200"/>
        <w:rPr>
          <w:rFonts w:ascii="仿宋" w:hAnsi="仿宋" w:eastAsia="仿宋"/>
          <w:sz w:val="30"/>
          <w:szCs w:val="30"/>
        </w:rPr>
      </w:pPr>
      <w:r>
        <w:rPr>
          <w:rFonts w:hint="eastAsia" w:ascii="仿宋" w:hAnsi="仿宋" w:eastAsia="仿宋"/>
          <w:sz w:val="30"/>
          <w:szCs w:val="30"/>
        </w:rPr>
        <w:t>1.审阅资料</w:t>
      </w:r>
    </w:p>
    <w:p>
      <w:pPr>
        <w:ind w:firstLine="600" w:firstLineChars="200"/>
        <w:rPr>
          <w:rFonts w:ascii="仿宋" w:hAnsi="仿宋" w:eastAsia="仿宋"/>
          <w:sz w:val="30"/>
          <w:szCs w:val="30"/>
        </w:rPr>
      </w:pPr>
      <w:r>
        <w:rPr>
          <w:rFonts w:hint="eastAsia" w:ascii="仿宋" w:hAnsi="仿宋" w:eastAsia="仿宋"/>
          <w:sz w:val="30"/>
          <w:szCs w:val="30"/>
        </w:rPr>
        <w:t>收集与项目预算、管理、绩效相关的评价资料，形成绩效评价的基础资料，并对基础资料的真实性、可靠性进行审阅。包括查阅项目立项申报文件、实施方案、项目管理情况、资金管理情况、自评报告，对需要现场调查的问题做好记录。具体为：（1）对实施单位上报的自评报告进行认真审阅，核实项目单位自评工作是否按要求完成；评价完成的效果和质量；收集绩效评价的基础数据；（2）对项目实施单位填报的项目进展情况表、资金使用情况表、受益情况统计表进行审阅，通过实地调查、资料查阅等进行核实；（3）收集项目绩效的相关资料并结合问卷调查对项目绩效进行客观评价。</w:t>
      </w:r>
    </w:p>
    <w:p>
      <w:pPr>
        <w:ind w:firstLine="600" w:firstLineChars="200"/>
        <w:rPr>
          <w:rFonts w:ascii="仿宋" w:hAnsi="仿宋" w:eastAsia="仿宋"/>
          <w:sz w:val="30"/>
          <w:szCs w:val="30"/>
        </w:rPr>
      </w:pPr>
      <w:r>
        <w:rPr>
          <w:rFonts w:hint="eastAsia" w:ascii="仿宋" w:hAnsi="仿宋" w:eastAsia="仿宋"/>
          <w:sz w:val="30"/>
          <w:szCs w:val="30"/>
        </w:rPr>
        <w:t>2.实地考察</w:t>
      </w:r>
    </w:p>
    <w:p>
      <w:pPr>
        <w:ind w:firstLine="600" w:firstLineChars="200"/>
        <w:rPr>
          <w:rFonts w:ascii="仿宋" w:hAnsi="仿宋" w:eastAsia="仿宋"/>
          <w:sz w:val="30"/>
          <w:szCs w:val="30"/>
        </w:rPr>
      </w:pPr>
      <w:r>
        <w:rPr>
          <w:rFonts w:hint="eastAsia" w:ascii="仿宋" w:hAnsi="仿宋" w:eastAsia="仿宋"/>
          <w:sz w:val="30"/>
          <w:szCs w:val="30"/>
        </w:rPr>
        <w:t>通过实地考察，了解项目实施情况，对照项目、资金管理等相关文件要求，发现项目管理及实施过程中存在的问题，着重对项目产出和效果情况进行调查了解，为项目实施效果提供定性与定量评价的依据。</w:t>
      </w:r>
    </w:p>
    <w:p>
      <w:pPr>
        <w:ind w:firstLine="600" w:firstLineChars="200"/>
        <w:rPr>
          <w:rFonts w:ascii="仿宋" w:hAnsi="仿宋" w:eastAsia="仿宋"/>
          <w:sz w:val="30"/>
          <w:szCs w:val="30"/>
        </w:rPr>
      </w:pPr>
      <w:r>
        <w:rPr>
          <w:rFonts w:hint="eastAsia" w:ascii="仿宋" w:hAnsi="仿宋" w:eastAsia="仿宋"/>
          <w:sz w:val="30"/>
          <w:szCs w:val="30"/>
        </w:rPr>
        <w:t>3.数据分析</w:t>
      </w:r>
    </w:p>
    <w:p>
      <w:pPr>
        <w:ind w:firstLine="600" w:firstLineChars="200"/>
        <w:rPr>
          <w:rFonts w:ascii="仿宋" w:hAnsi="仿宋" w:eastAsia="仿宋"/>
          <w:sz w:val="30"/>
          <w:szCs w:val="30"/>
        </w:rPr>
      </w:pPr>
      <w:r>
        <w:rPr>
          <w:rFonts w:hint="eastAsia" w:ascii="仿宋" w:hAnsi="仿宋" w:eastAsia="仿宋"/>
          <w:sz w:val="30"/>
          <w:szCs w:val="30"/>
        </w:rPr>
        <w:t>依据项目申报时的实施方案、计划，对照项目实际完成内容，评价项目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w:t>
      </w:r>
    </w:p>
    <w:p>
      <w:pPr>
        <w:ind w:firstLine="600" w:firstLineChars="200"/>
        <w:rPr>
          <w:rFonts w:ascii="仿宋" w:hAnsi="仿宋" w:eastAsia="仿宋"/>
          <w:sz w:val="30"/>
          <w:szCs w:val="30"/>
        </w:rPr>
      </w:pPr>
      <w:r>
        <w:rPr>
          <w:rFonts w:hint="eastAsia" w:ascii="仿宋" w:hAnsi="仿宋" w:eastAsia="仿宋"/>
          <w:sz w:val="30"/>
          <w:szCs w:val="30"/>
        </w:rPr>
        <w:t>4.问卷调查</w:t>
      </w:r>
    </w:p>
    <w:p>
      <w:pPr>
        <w:ind w:firstLine="600" w:firstLineChars="200"/>
        <w:rPr>
          <w:rFonts w:ascii="仿宋" w:hAnsi="仿宋" w:eastAsia="仿宋"/>
          <w:sz w:val="30"/>
          <w:szCs w:val="30"/>
        </w:rPr>
      </w:pPr>
      <w:r>
        <w:rPr>
          <w:rFonts w:hint="eastAsia" w:ascii="仿宋" w:hAnsi="仿宋" w:eastAsia="仿宋"/>
          <w:sz w:val="30"/>
          <w:szCs w:val="30"/>
        </w:rPr>
        <w:t>通过现场调查与座谈、发放调查问卷等方式，了解项目实施情况，发现项目管理及实施过程中存在的问题，寻求完善相关政策和项目实施的建议，着重对项目产出和效果情况进行调查了解，为项目实施效果提供定性与定量评价的依据。</w:t>
      </w:r>
    </w:p>
    <w:p>
      <w:pPr>
        <w:spacing w:line="570" w:lineRule="exact"/>
        <w:ind w:firstLine="600" w:firstLineChars="200"/>
        <w:outlineLvl w:val="1"/>
        <w:rPr>
          <w:rFonts w:ascii="楷体" w:hAnsi="楷体" w:eastAsia="楷体"/>
          <w:sz w:val="30"/>
          <w:szCs w:val="30"/>
        </w:rPr>
      </w:pPr>
      <w:bookmarkStart w:id="13" w:name="_Toc51333619"/>
      <w:r>
        <w:rPr>
          <w:rFonts w:hint="eastAsia" w:ascii="楷体" w:hAnsi="楷体" w:eastAsia="楷体"/>
          <w:sz w:val="30"/>
          <w:szCs w:val="30"/>
        </w:rPr>
        <w:t>（三）绩效评价指标体系</w:t>
      </w:r>
      <w:bookmarkEnd w:id="13"/>
    </w:p>
    <w:p>
      <w:pPr>
        <w:ind w:firstLine="600" w:firstLineChars="200"/>
        <w:rPr>
          <w:rFonts w:ascii="仿宋" w:hAnsi="仿宋" w:eastAsia="仿宋"/>
          <w:sz w:val="30"/>
          <w:szCs w:val="30"/>
        </w:rPr>
      </w:pPr>
      <w:r>
        <w:rPr>
          <w:rFonts w:hint="eastAsia" w:ascii="仿宋" w:hAnsi="仿宋" w:eastAsia="仿宋"/>
          <w:sz w:val="30"/>
          <w:szCs w:val="30"/>
        </w:rPr>
        <w:t>1.</w:t>
      </w:r>
      <w:bookmarkStart w:id="14" w:name="_Toc493888878"/>
      <w:r>
        <w:rPr>
          <w:rFonts w:hint="eastAsia" w:ascii="仿宋" w:hAnsi="仿宋" w:eastAsia="仿宋"/>
          <w:sz w:val="30"/>
          <w:szCs w:val="30"/>
        </w:rPr>
        <w:t>绩效评价指标</w:t>
      </w:r>
      <w:bookmarkEnd w:id="14"/>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根据《云南省项目支出绩效评价管理办法》（云财绩〔2020〕11 号</w:t>
      </w:r>
      <w:r>
        <w:rPr>
          <w:rFonts w:ascii="仿宋" w:hAnsi="仿宋" w:eastAsia="仿宋"/>
          <w:sz w:val="30"/>
          <w:szCs w:val="30"/>
        </w:rPr>
        <w:t>）</w:t>
      </w:r>
      <w:r>
        <w:rPr>
          <w:rFonts w:hint="eastAsia" w:ascii="仿宋" w:hAnsi="仿宋" w:eastAsia="仿宋"/>
          <w:sz w:val="30"/>
          <w:szCs w:val="30"/>
        </w:rPr>
        <w:t>及</w:t>
      </w:r>
      <w:r>
        <w:rPr>
          <w:rFonts w:hint="eastAsia" w:ascii="仿宋" w:hAnsi="仿宋" w:eastAsia="仿宋" w:cs="仿宋"/>
          <w:kern w:val="30"/>
          <w:sz w:val="30"/>
          <w:szCs w:val="30"/>
        </w:rPr>
        <w:t>《中共盈江县委盈江县人民政府关于全面实施预算绩效管理的实施方案》(盈发〔2020〕17号)</w:t>
      </w:r>
      <w:r>
        <w:rPr>
          <w:rFonts w:hint="eastAsia" w:ascii="仿宋" w:hAnsi="仿宋" w:eastAsia="仿宋"/>
          <w:sz w:val="30"/>
          <w:szCs w:val="30"/>
        </w:rPr>
        <w:t>的相关要求，</w:t>
      </w:r>
      <w:r>
        <w:rPr>
          <w:rFonts w:ascii="仿宋" w:hAnsi="仿宋" w:eastAsia="仿宋"/>
          <w:sz w:val="30"/>
          <w:szCs w:val="30"/>
        </w:rPr>
        <w:t>综合考虑项目绩效目标、项目管理特点、项目实施内容制定了绩效评价指标体系。</w:t>
      </w:r>
      <w:r>
        <w:rPr>
          <w:rFonts w:hint="eastAsia" w:ascii="仿宋" w:hAnsi="仿宋" w:eastAsia="仿宋"/>
          <w:sz w:val="30"/>
          <w:szCs w:val="30"/>
        </w:rPr>
        <w:t>设置决策、过程、产出、效果</w:t>
      </w:r>
      <w:r>
        <w:rPr>
          <w:rFonts w:ascii="仿宋" w:hAnsi="仿宋" w:eastAsia="仿宋"/>
          <w:sz w:val="30"/>
          <w:szCs w:val="30"/>
        </w:rPr>
        <w:t>4个</w:t>
      </w:r>
      <w:r>
        <w:rPr>
          <w:rFonts w:hint="eastAsia" w:ascii="仿宋" w:hAnsi="仿宋" w:eastAsia="仿宋"/>
          <w:sz w:val="30"/>
          <w:szCs w:val="30"/>
        </w:rPr>
        <w:t>一级指标，并按照15%、20%、3</w:t>
      </w:r>
      <w:r>
        <w:rPr>
          <w:rFonts w:ascii="仿宋" w:hAnsi="仿宋" w:eastAsia="仿宋"/>
          <w:sz w:val="30"/>
          <w:szCs w:val="30"/>
        </w:rPr>
        <w:t>5</w:t>
      </w:r>
      <w:r>
        <w:rPr>
          <w:rFonts w:hint="eastAsia" w:ascii="仿宋" w:hAnsi="仿宋" w:eastAsia="仿宋"/>
          <w:sz w:val="30"/>
          <w:szCs w:val="30"/>
        </w:rPr>
        <w:t>%和3</w:t>
      </w:r>
      <w:r>
        <w:rPr>
          <w:rFonts w:ascii="仿宋" w:hAnsi="仿宋" w:eastAsia="仿宋"/>
          <w:sz w:val="30"/>
          <w:szCs w:val="30"/>
        </w:rPr>
        <w:t>0</w:t>
      </w:r>
      <w:r>
        <w:rPr>
          <w:rFonts w:hint="eastAsia" w:ascii="仿宋" w:hAnsi="仿宋" w:eastAsia="仿宋"/>
          <w:sz w:val="30"/>
          <w:szCs w:val="30"/>
        </w:rPr>
        <w:t>%的权重进行评分。具体评分标准根据评价指标体系各项指标对应的考核内容和范围进行确定。</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“决策”指标由“项目立项、绩效目标、资金投入”</w:t>
      </w:r>
      <w:r>
        <w:rPr>
          <w:rFonts w:ascii="仿宋" w:hAnsi="仿宋" w:eastAsia="仿宋"/>
          <w:sz w:val="30"/>
          <w:szCs w:val="30"/>
        </w:rPr>
        <w:t>3</w:t>
      </w:r>
      <w:r>
        <w:rPr>
          <w:rFonts w:hint="eastAsia" w:ascii="仿宋" w:hAnsi="仿宋" w:eastAsia="仿宋"/>
          <w:sz w:val="30"/>
          <w:szCs w:val="30"/>
        </w:rPr>
        <w:t>个二级指标构成，同时将</w:t>
      </w:r>
      <w:r>
        <w:rPr>
          <w:rFonts w:ascii="仿宋" w:hAnsi="仿宋" w:eastAsia="仿宋"/>
          <w:sz w:val="30"/>
          <w:szCs w:val="30"/>
        </w:rPr>
        <w:t>3</w:t>
      </w:r>
      <w:r>
        <w:rPr>
          <w:rFonts w:hint="eastAsia" w:ascii="仿宋" w:hAnsi="仿宋" w:eastAsia="仿宋"/>
          <w:sz w:val="30"/>
          <w:szCs w:val="30"/>
        </w:rPr>
        <w:t>个二级指标细化为</w:t>
      </w:r>
      <w:r>
        <w:rPr>
          <w:rFonts w:ascii="仿宋" w:hAnsi="仿宋" w:eastAsia="仿宋"/>
          <w:sz w:val="30"/>
          <w:szCs w:val="30"/>
        </w:rPr>
        <w:t>6</w:t>
      </w:r>
      <w:r>
        <w:rPr>
          <w:rFonts w:hint="eastAsia" w:ascii="仿宋" w:hAnsi="仿宋" w:eastAsia="仿宋"/>
          <w:sz w:val="30"/>
          <w:szCs w:val="30"/>
        </w:rPr>
        <w:t>个三级指标，2</w:t>
      </w:r>
      <w:r>
        <w:rPr>
          <w:rFonts w:ascii="仿宋" w:hAnsi="仿宋" w:eastAsia="仿宋"/>
          <w:sz w:val="30"/>
          <w:szCs w:val="30"/>
        </w:rPr>
        <w:t>1</w:t>
      </w:r>
      <w:r>
        <w:rPr>
          <w:rFonts w:hint="eastAsia" w:ascii="仿宋" w:hAnsi="仿宋" w:eastAsia="仿宋"/>
          <w:sz w:val="30"/>
          <w:szCs w:val="30"/>
        </w:rPr>
        <w:t>个评分项，均为定性评分项。主要考核项目立项规范性、绩效目标合理性、绩效指标明确性、预算编制科学性、资金分配合理性等情况。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过程”指标由“项目管理、资金管理”2个二级指标构成，同时将2个二级指标分解为9个三级指标，23个评分项，其中包含3个定量评分项和20个定性评分项。主要考核绩效自评、项目管理制度健全性、制度执行有效性、项目验收规范性、监督检查、资金使用合规性、资金到位率、预算执行率等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“产出”指标由 “产出数量、产出质量、产出时效、产出成本”</w:t>
      </w:r>
      <w:r>
        <w:rPr>
          <w:rFonts w:ascii="仿宋" w:hAnsi="仿宋" w:eastAsia="仿宋"/>
          <w:sz w:val="30"/>
          <w:szCs w:val="30"/>
        </w:rPr>
        <w:t>4</w:t>
      </w:r>
      <w:r>
        <w:rPr>
          <w:rFonts w:hint="eastAsia" w:ascii="仿宋" w:hAnsi="仿宋" w:eastAsia="仿宋"/>
          <w:sz w:val="30"/>
          <w:szCs w:val="30"/>
        </w:rPr>
        <w:t>个二级指标构成，同时将</w:t>
      </w:r>
      <w:r>
        <w:rPr>
          <w:rFonts w:ascii="仿宋" w:hAnsi="仿宋" w:eastAsia="仿宋"/>
          <w:sz w:val="30"/>
          <w:szCs w:val="30"/>
        </w:rPr>
        <w:t>4</w:t>
      </w:r>
      <w:r>
        <w:rPr>
          <w:rFonts w:hint="eastAsia" w:ascii="仿宋" w:hAnsi="仿宋" w:eastAsia="仿宋"/>
          <w:sz w:val="30"/>
          <w:szCs w:val="30"/>
        </w:rPr>
        <w:t>个二级指标分解为</w:t>
      </w:r>
      <w:r>
        <w:rPr>
          <w:rFonts w:ascii="仿宋" w:hAnsi="仿宋" w:eastAsia="仿宋"/>
          <w:sz w:val="30"/>
          <w:szCs w:val="30"/>
        </w:rPr>
        <w:t>7</w:t>
      </w:r>
      <w:r>
        <w:rPr>
          <w:rFonts w:hint="eastAsia" w:ascii="仿宋" w:hAnsi="仿宋" w:eastAsia="仿宋"/>
          <w:sz w:val="30"/>
          <w:szCs w:val="30"/>
        </w:rPr>
        <w:t>个三级指标，2</w:t>
      </w:r>
      <w:r>
        <w:rPr>
          <w:rFonts w:ascii="仿宋" w:hAnsi="仿宋" w:eastAsia="仿宋"/>
          <w:sz w:val="30"/>
          <w:szCs w:val="30"/>
        </w:rPr>
        <w:t>3</w:t>
      </w:r>
      <w:r>
        <w:rPr>
          <w:rFonts w:hint="eastAsia" w:ascii="仿宋" w:hAnsi="仿宋" w:eastAsia="仿宋"/>
          <w:sz w:val="30"/>
          <w:szCs w:val="30"/>
        </w:rPr>
        <w:t>个评分项，其中包含</w:t>
      </w:r>
      <w:r>
        <w:rPr>
          <w:rFonts w:ascii="仿宋" w:hAnsi="仿宋" w:eastAsia="仿宋"/>
          <w:sz w:val="30"/>
          <w:szCs w:val="30"/>
        </w:rPr>
        <w:t>22</w:t>
      </w:r>
      <w:r>
        <w:rPr>
          <w:rFonts w:hint="eastAsia" w:ascii="仿宋" w:hAnsi="仿宋" w:eastAsia="仿宋"/>
          <w:sz w:val="30"/>
          <w:szCs w:val="30"/>
        </w:rPr>
        <w:t>个定量评分项和1个定性评分项。主要综合考核灌溉与排水工程、田间道路工程、交叉建筑物工程、高标准农田面积、完成及时、成本节约、质量达标等方面的情况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“效果”指标由“经济效益、生态效益、社会效益、可持续性影响、满意度”</w:t>
      </w:r>
      <w:r>
        <w:rPr>
          <w:rFonts w:ascii="仿宋" w:hAnsi="仿宋" w:eastAsia="仿宋"/>
          <w:sz w:val="30"/>
          <w:szCs w:val="30"/>
        </w:rPr>
        <w:t>5</w:t>
      </w:r>
      <w:r>
        <w:rPr>
          <w:rFonts w:hint="eastAsia" w:ascii="仿宋" w:hAnsi="仿宋" w:eastAsia="仿宋"/>
          <w:sz w:val="30"/>
          <w:szCs w:val="30"/>
        </w:rPr>
        <w:t>个二级指标构成，同时将</w:t>
      </w:r>
      <w:r>
        <w:rPr>
          <w:rFonts w:ascii="仿宋" w:hAnsi="仿宋" w:eastAsia="仿宋"/>
          <w:sz w:val="30"/>
          <w:szCs w:val="30"/>
        </w:rPr>
        <w:t>5</w:t>
      </w:r>
      <w:r>
        <w:rPr>
          <w:rFonts w:hint="eastAsia" w:ascii="仿宋" w:hAnsi="仿宋" w:eastAsia="仿宋"/>
          <w:sz w:val="30"/>
          <w:szCs w:val="30"/>
        </w:rPr>
        <w:t>个二级指标细化为</w:t>
      </w:r>
      <w:r>
        <w:rPr>
          <w:rFonts w:ascii="仿宋" w:hAnsi="仿宋" w:eastAsia="仿宋"/>
          <w:sz w:val="30"/>
          <w:szCs w:val="30"/>
        </w:rPr>
        <w:t>8</w:t>
      </w:r>
      <w:r>
        <w:rPr>
          <w:rFonts w:hint="eastAsia" w:ascii="仿宋" w:hAnsi="仿宋" w:eastAsia="仿宋"/>
          <w:sz w:val="30"/>
          <w:szCs w:val="30"/>
        </w:rPr>
        <w:t>个三级指标，</w:t>
      </w:r>
      <w:r>
        <w:rPr>
          <w:rFonts w:ascii="仿宋" w:hAnsi="仿宋" w:eastAsia="仿宋"/>
          <w:sz w:val="30"/>
          <w:szCs w:val="30"/>
        </w:rPr>
        <w:t>1</w:t>
      </w:r>
      <w:r>
        <w:rPr>
          <w:rFonts w:hint="eastAsia" w:ascii="仿宋" w:hAnsi="仿宋" w:eastAsia="仿宋"/>
          <w:sz w:val="30"/>
          <w:szCs w:val="30"/>
        </w:rPr>
        <w:t>4个评分项，其中包含</w:t>
      </w:r>
      <w:r>
        <w:rPr>
          <w:rFonts w:ascii="仿宋" w:hAnsi="仿宋" w:eastAsia="仿宋"/>
          <w:sz w:val="30"/>
          <w:szCs w:val="30"/>
        </w:rPr>
        <w:t>5</w:t>
      </w:r>
      <w:r>
        <w:rPr>
          <w:rFonts w:hint="eastAsia" w:ascii="仿宋" w:hAnsi="仿宋" w:eastAsia="仿宋"/>
          <w:sz w:val="30"/>
          <w:szCs w:val="30"/>
        </w:rPr>
        <w:t>个定量评分项和9个定性评分项。主要综合考核种植粮食及其他农作物成本节约、粮食及其他农作物的增收、田间基础设施改善、生产生活条件改善、生态环境改善、生态景观改善、项目后续管护、受益对象满意度等情况。</w:t>
      </w:r>
    </w:p>
    <w:p>
      <w:pPr>
        <w:ind w:firstLine="600" w:firstLineChars="200"/>
        <w:rPr>
          <w:rFonts w:ascii="仿宋" w:hAnsi="仿宋" w:eastAsia="仿宋"/>
          <w:sz w:val="30"/>
          <w:szCs w:val="30"/>
        </w:rPr>
      </w:pPr>
      <w:r>
        <w:rPr>
          <w:rFonts w:hint="eastAsia" w:ascii="仿宋" w:hAnsi="仿宋" w:eastAsia="仿宋"/>
          <w:sz w:val="30"/>
          <w:szCs w:val="30"/>
        </w:rPr>
        <w:t>2.评价标准</w:t>
      </w:r>
    </w:p>
    <w:p>
      <w:pPr>
        <w:spacing w:line="579" w:lineRule="exact"/>
        <w:ind w:firstLine="648"/>
        <w:rPr>
          <w:rFonts w:ascii="仿宋" w:hAnsi="仿宋" w:eastAsia="仿宋"/>
          <w:sz w:val="30"/>
          <w:szCs w:val="30"/>
        </w:rPr>
      </w:pPr>
      <w:r>
        <w:rPr>
          <w:rFonts w:hint="eastAsia" w:ascii="仿宋" w:hAnsi="仿宋" w:eastAsia="仿宋"/>
          <w:sz w:val="30"/>
          <w:szCs w:val="30"/>
        </w:rPr>
        <w:t>主要采取定性与定量相结合的评分标准，共设置81个评分项，其中30个定量标准、51个定性标准。定性标准采用两段评分法和分段评分法，定量标准采用百分比计算得分法和分段评分法等进行评分。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评价采用百分制，各级指标依据其指标权重确定分值，评价人员根据评价情况对各级指标进行评分，最终得分由各级评价指标得分加总。根据最终得分情况将评价标准分为四个等级：优（得分≥90分）；良（80分≤得分＜90分）；中（60≤得分＜80分）；差（得分＜60分）。</w:t>
      </w:r>
    </w:p>
    <w:p>
      <w:pPr>
        <w:spacing w:line="570" w:lineRule="exact"/>
        <w:ind w:firstLine="600" w:firstLineChars="200"/>
        <w:outlineLvl w:val="1"/>
        <w:rPr>
          <w:rFonts w:ascii="楷体" w:hAnsi="楷体" w:eastAsia="楷体"/>
          <w:sz w:val="30"/>
          <w:szCs w:val="30"/>
        </w:rPr>
      </w:pPr>
      <w:bookmarkStart w:id="15" w:name="_Toc51333620"/>
      <w:r>
        <w:rPr>
          <w:rFonts w:hint="eastAsia" w:ascii="楷体" w:hAnsi="楷体" w:eastAsia="楷体"/>
          <w:sz w:val="30"/>
          <w:szCs w:val="30"/>
        </w:rPr>
        <w:t>（四）绩效评价检查范围</w:t>
      </w:r>
      <w:bookmarkEnd w:id="15"/>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本次绩效评价拟对盈江县2019年高标准农田建设项目涉及的7</w:t>
      </w:r>
      <w:r>
        <w:rPr>
          <w:rFonts w:ascii="仿宋" w:hAnsi="仿宋" w:eastAsia="仿宋"/>
          <w:sz w:val="30"/>
          <w:szCs w:val="30"/>
        </w:rPr>
        <w:t>15</w:t>
      </w:r>
      <w:r>
        <w:rPr>
          <w:rFonts w:hint="eastAsia" w:ascii="仿宋" w:hAnsi="仿宋" w:eastAsia="仿宋"/>
          <w:sz w:val="30"/>
          <w:szCs w:val="30"/>
        </w:rPr>
        <w:t>万元资金进行检查评价。</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四、综合评价情况及评价结论</w:t>
      </w:r>
    </w:p>
    <w:p>
      <w:pPr>
        <w:spacing w:line="570" w:lineRule="exact"/>
        <w:ind w:firstLine="600" w:firstLineChars="200"/>
        <w:outlineLvl w:val="1"/>
        <w:rPr>
          <w:rFonts w:ascii="仿宋" w:hAnsi="仿宋" w:eastAsia="仿宋"/>
          <w:sz w:val="30"/>
          <w:szCs w:val="30"/>
        </w:rPr>
      </w:pPr>
      <w:bookmarkStart w:id="16" w:name="_Toc51333622"/>
      <w:bookmarkStart w:id="17" w:name="_Toc9439748"/>
      <w:r>
        <w:rPr>
          <w:rFonts w:hint="eastAsia" w:ascii="楷体" w:hAnsi="楷体" w:eastAsia="楷体"/>
          <w:sz w:val="30"/>
          <w:szCs w:val="30"/>
        </w:rPr>
        <w:t>（一）绩效评价综合结论</w:t>
      </w:r>
      <w:bookmarkEnd w:id="16"/>
      <w:bookmarkEnd w:id="17"/>
    </w:p>
    <w:p>
      <w:pPr>
        <w:spacing w:line="579" w:lineRule="exact"/>
        <w:ind w:firstLine="600" w:firstLineChars="200"/>
        <w:rPr>
          <w:rFonts w:ascii="仿宋" w:hAnsi="仿宋" w:eastAsia="仿宋"/>
          <w:sz w:val="30"/>
          <w:szCs w:val="30"/>
        </w:rPr>
      </w:pPr>
      <w:bookmarkStart w:id="18" w:name="_Hlk525314439"/>
      <w:r>
        <w:rPr>
          <w:rFonts w:hint="eastAsia" w:ascii="仿宋" w:hAnsi="仿宋" w:eastAsia="仿宋"/>
          <w:sz w:val="30"/>
          <w:szCs w:val="30"/>
        </w:rPr>
        <w:t>盈江县2019年高标准农田建设项目绩效评价得分</w:t>
      </w:r>
      <w:r>
        <w:rPr>
          <w:rFonts w:ascii="仿宋" w:hAnsi="仿宋" w:eastAsia="仿宋"/>
          <w:sz w:val="30"/>
          <w:szCs w:val="30"/>
        </w:rPr>
        <w:t>81.65</w:t>
      </w:r>
      <w:r>
        <w:rPr>
          <w:rFonts w:hint="eastAsia" w:ascii="仿宋" w:hAnsi="仿宋" w:eastAsia="仿宋"/>
          <w:sz w:val="30"/>
          <w:szCs w:val="30"/>
        </w:rPr>
        <w:t>分，评价等级为“良”。一级指标具体得分情况详见下表：</w:t>
      </w:r>
    </w:p>
    <w:p>
      <w:pPr>
        <w:jc w:val="center"/>
        <w:rPr>
          <w:rFonts w:ascii="黑体" w:hAnsi="黑体" w:eastAsia="黑体" w:cs="宋体"/>
          <w:bCs/>
          <w:sz w:val="24"/>
        </w:rPr>
      </w:pPr>
      <w:r>
        <w:rPr>
          <w:rFonts w:hint="eastAsia" w:ascii="黑体" w:hAnsi="黑体" w:eastAsia="黑体" w:cs="宋体"/>
          <w:bCs/>
          <w:sz w:val="24"/>
        </w:rPr>
        <w:t>表3：绩效评价得分情况表</w:t>
      </w:r>
    </w:p>
    <w:tbl>
      <w:tblPr>
        <w:tblStyle w:val="6"/>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210"/>
        <w:gridCol w:w="2134"/>
        <w:gridCol w:w="2128"/>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blHeader/>
          <w:jc w:val="center"/>
        </w:trPr>
        <w:tc>
          <w:tcPr>
            <w:tcW w:w="2210" w:type="dxa"/>
            <w:tcBorders>
              <w:top w:val="single" w:color="auto" w:sz="4" w:space="0"/>
            </w:tcBorders>
            <w:vAlign w:val="center"/>
          </w:tcPr>
          <w:p>
            <w:pPr>
              <w:snapToGrid w:val="0"/>
              <w:jc w:val="center"/>
              <w:rPr>
                <w:rFonts w:ascii="仿宋" w:hAnsi="仿宋" w:eastAsia="仿宋" w:cs="宋体"/>
                <w:b/>
                <w:bCs/>
                <w:spacing w:val="6"/>
                <w:sz w:val="20"/>
                <w:szCs w:val="20"/>
              </w:rPr>
            </w:pPr>
            <w:r>
              <w:rPr>
                <w:rFonts w:hint="eastAsia" w:ascii="仿宋" w:hAnsi="仿宋" w:eastAsia="仿宋" w:cs="宋体"/>
                <w:b/>
                <w:bCs/>
                <w:spacing w:val="6"/>
                <w:sz w:val="20"/>
                <w:szCs w:val="20"/>
              </w:rPr>
              <w:t>一级指标</w:t>
            </w:r>
          </w:p>
        </w:tc>
        <w:tc>
          <w:tcPr>
            <w:tcW w:w="2134" w:type="dxa"/>
            <w:tcBorders>
              <w:top w:val="single" w:color="auto" w:sz="4" w:space="0"/>
            </w:tcBorders>
            <w:vAlign w:val="center"/>
          </w:tcPr>
          <w:p>
            <w:pPr>
              <w:snapToGrid w:val="0"/>
              <w:jc w:val="center"/>
              <w:rPr>
                <w:rFonts w:ascii="仿宋" w:hAnsi="仿宋" w:eastAsia="仿宋" w:cs="宋体"/>
                <w:b/>
                <w:bCs/>
                <w:spacing w:val="6"/>
                <w:sz w:val="20"/>
                <w:szCs w:val="20"/>
              </w:rPr>
            </w:pPr>
            <w:r>
              <w:rPr>
                <w:rFonts w:hint="eastAsia" w:ascii="仿宋" w:hAnsi="仿宋" w:eastAsia="仿宋" w:cs="宋体"/>
                <w:b/>
                <w:bCs/>
                <w:spacing w:val="6"/>
                <w:sz w:val="20"/>
                <w:szCs w:val="20"/>
              </w:rPr>
              <w:t>指标分值</w:t>
            </w:r>
          </w:p>
        </w:tc>
        <w:tc>
          <w:tcPr>
            <w:tcW w:w="2128" w:type="dxa"/>
            <w:tcBorders>
              <w:top w:val="single" w:color="auto" w:sz="4" w:space="0"/>
            </w:tcBorders>
            <w:vAlign w:val="center"/>
          </w:tcPr>
          <w:p>
            <w:pPr>
              <w:snapToGrid w:val="0"/>
              <w:jc w:val="center"/>
              <w:rPr>
                <w:rFonts w:ascii="仿宋" w:hAnsi="仿宋" w:eastAsia="仿宋" w:cs="宋体"/>
                <w:b/>
                <w:bCs/>
                <w:spacing w:val="6"/>
                <w:sz w:val="20"/>
                <w:szCs w:val="20"/>
              </w:rPr>
            </w:pPr>
            <w:r>
              <w:rPr>
                <w:rFonts w:hint="eastAsia" w:ascii="仿宋" w:hAnsi="仿宋" w:eastAsia="仿宋" w:cs="宋体"/>
                <w:b/>
                <w:bCs/>
                <w:spacing w:val="6"/>
                <w:sz w:val="20"/>
                <w:szCs w:val="20"/>
              </w:rPr>
              <w:t>评价得分</w:t>
            </w:r>
          </w:p>
        </w:tc>
        <w:tc>
          <w:tcPr>
            <w:tcW w:w="1826" w:type="dxa"/>
            <w:tcBorders>
              <w:top w:val="single" w:color="auto" w:sz="4" w:space="0"/>
            </w:tcBorders>
            <w:vAlign w:val="center"/>
          </w:tcPr>
          <w:p>
            <w:pPr>
              <w:snapToGrid w:val="0"/>
              <w:jc w:val="center"/>
              <w:rPr>
                <w:rFonts w:ascii="仿宋" w:hAnsi="仿宋" w:eastAsia="仿宋" w:cs="宋体"/>
                <w:b/>
                <w:bCs/>
                <w:spacing w:val="6"/>
                <w:sz w:val="20"/>
                <w:szCs w:val="20"/>
              </w:rPr>
            </w:pPr>
            <w:r>
              <w:rPr>
                <w:rFonts w:hint="eastAsia" w:ascii="仿宋" w:hAnsi="仿宋" w:eastAsia="仿宋" w:cs="宋体"/>
                <w:b/>
                <w:bCs/>
                <w:spacing w:val="6"/>
                <w:sz w:val="20"/>
                <w:szCs w:val="20"/>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2210" w:type="dxa"/>
            <w:vAlign w:val="center"/>
          </w:tcPr>
          <w:p>
            <w:pPr>
              <w:snapToGrid w:val="0"/>
              <w:jc w:val="center"/>
              <w:rPr>
                <w:rFonts w:ascii="仿宋" w:hAnsi="仿宋" w:eastAsia="仿宋" w:cs="宋体"/>
                <w:bCs/>
                <w:spacing w:val="6"/>
                <w:sz w:val="20"/>
                <w:szCs w:val="20"/>
              </w:rPr>
            </w:pPr>
            <w:r>
              <w:rPr>
                <w:rFonts w:hint="eastAsia" w:ascii="仿宋" w:hAnsi="仿宋" w:eastAsia="仿宋" w:cs="宋体"/>
                <w:bCs/>
                <w:spacing w:val="6"/>
                <w:sz w:val="20"/>
                <w:szCs w:val="20"/>
              </w:rPr>
              <w:t>决策</w:t>
            </w:r>
          </w:p>
        </w:tc>
        <w:tc>
          <w:tcPr>
            <w:tcW w:w="2134"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15</w:t>
            </w:r>
          </w:p>
        </w:tc>
        <w:tc>
          <w:tcPr>
            <w:tcW w:w="2128"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11.50</w:t>
            </w:r>
          </w:p>
        </w:tc>
        <w:tc>
          <w:tcPr>
            <w:tcW w:w="1826"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76.67%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2210"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过程</w:t>
            </w:r>
          </w:p>
        </w:tc>
        <w:tc>
          <w:tcPr>
            <w:tcW w:w="2134"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20</w:t>
            </w:r>
          </w:p>
        </w:tc>
        <w:tc>
          <w:tcPr>
            <w:tcW w:w="2128" w:type="dxa"/>
            <w:vAlign w:val="center"/>
          </w:tcPr>
          <w:p>
            <w:pPr>
              <w:snapToGrid w:val="0"/>
              <w:jc w:val="center"/>
              <w:rPr>
                <w:rFonts w:ascii="仿宋" w:hAnsi="仿宋" w:eastAsia="仿宋" w:cs="宋体"/>
                <w:bCs/>
                <w:spacing w:val="6"/>
                <w:sz w:val="20"/>
                <w:szCs w:val="20"/>
              </w:rPr>
            </w:pPr>
            <w:r>
              <w:rPr>
                <w:rFonts w:hint="eastAsia" w:ascii="仿宋" w:hAnsi="仿宋" w:eastAsia="仿宋" w:cs="宋体"/>
                <w:bCs/>
                <w:spacing w:val="6"/>
                <w:sz w:val="20"/>
                <w:szCs w:val="20"/>
              </w:rPr>
              <w:t>1</w:t>
            </w:r>
            <w:r>
              <w:rPr>
                <w:rFonts w:ascii="仿宋" w:hAnsi="仿宋" w:eastAsia="仿宋" w:cs="宋体"/>
                <w:bCs/>
                <w:spacing w:val="6"/>
                <w:sz w:val="20"/>
                <w:szCs w:val="20"/>
              </w:rPr>
              <w:t>3.45</w:t>
            </w:r>
          </w:p>
        </w:tc>
        <w:tc>
          <w:tcPr>
            <w:tcW w:w="1826"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67.25%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10"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产出</w:t>
            </w:r>
          </w:p>
        </w:tc>
        <w:tc>
          <w:tcPr>
            <w:tcW w:w="2134"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35</w:t>
            </w:r>
          </w:p>
        </w:tc>
        <w:tc>
          <w:tcPr>
            <w:tcW w:w="2128" w:type="dxa"/>
            <w:vAlign w:val="center"/>
          </w:tcPr>
          <w:p>
            <w:pPr>
              <w:snapToGrid w:val="0"/>
              <w:jc w:val="center"/>
              <w:rPr>
                <w:rFonts w:ascii="仿宋" w:hAnsi="仿宋" w:eastAsia="仿宋" w:cs="宋体"/>
                <w:bCs/>
                <w:spacing w:val="6"/>
                <w:sz w:val="20"/>
                <w:szCs w:val="20"/>
              </w:rPr>
            </w:pPr>
            <w:r>
              <w:rPr>
                <w:rFonts w:hint="eastAsia" w:ascii="仿宋" w:hAnsi="仿宋" w:eastAsia="仿宋" w:cs="宋体"/>
                <w:bCs/>
                <w:spacing w:val="6"/>
                <w:sz w:val="20"/>
                <w:szCs w:val="20"/>
              </w:rPr>
              <w:t>3</w:t>
            </w:r>
            <w:r>
              <w:rPr>
                <w:rFonts w:ascii="仿宋" w:hAnsi="仿宋" w:eastAsia="仿宋" w:cs="宋体"/>
                <w:bCs/>
                <w:spacing w:val="6"/>
                <w:sz w:val="20"/>
                <w:szCs w:val="20"/>
              </w:rPr>
              <w:t>1.28</w:t>
            </w:r>
          </w:p>
        </w:tc>
        <w:tc>
          <w:tcPr>
            <w:tcW w:w="1826"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89.37</w:t>
            </w:r>
            <w:r>
              <w:rPr>
                <w:rFonts w:hint="eastAsia" w:ascii="仿宋" w:hAnsi="仿宋" w:eastAsia="仿宋" w:cs="宋体"/>
                <w:bCs/>
                <w:spacing w:val="6"/>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2210" w:type="dxa"/>
            <w:vAlign w:val="center"/>
          </w:tcPr>
          <w:p>
            <w:pPr>
              <w:snapToGrid w:val="0"/>
              <w:jc w:val="center"/>
              <w:rPr>
                <w:rFonts w:ascii="仿宋" w:hAnsi="仿宋" w:eastAsia="仿宋" w:cs="宋体"/>
                <w:bCs/>
                <w:spacing w:val="6"/>
                <w:sz w:val="20"/>
                <w:szCs w:val="20"/>
              </w:rPr>
            </w:pPr>
            <w:r>
              <w:rPr>
                <w:rFonts w:hint="eastAsia" w:ascii="仿宋" w:hAnsi="仿宋" w:eastAsia="仿宋" w:cs="宋体"/>
                <w:bCs/>
                <w:spacing w:val="6"/>
                <w:sz w:val="20"/>
                <w:szCs w:val="20"/>
              </w:rPr>
              <w:t>效果</w:t>
            </w:r>
          </w:p>
        </w:tc>
        <w:tc>
          <w:tcPr>
            <w:tcW w:w="2134"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30</w:t>
            </w:r>
          </w:p>
        </w:tc>
        <w:tc>
          <w:tcPr>
            <w:tcW w:w="2128" w:type="dxa"/>
            <w:vAlign w:val="center"/>
          </w:tcPr>
          <w:p>
            <w:pPr>
              <w:snapToGrid w:val="0"/>
              <w:jc w:val="center"/>
              <w:rPr>
                <w:rFonts w:ascii="仿宋" w:hAnsi="仿宋" w:eastAsia="仿宋" w:cs="宋体"/>
                <w:bCs/>
                <w:spacing w:val="6"/>
                <w:sz w:val="20"/>
                <w:szCs w:val="20"/>
              </w:rPr>
            </w:pPr>
            <w:r>
              <w:rPr>
                <w:rFonts w:hint="eastAsia" w:ascii="仿宋" w:hAnsi="仿宋" w:eastAsia="仿宋" w:cs="宋体"/>
                <w:bCs/>
                <w:spacing w:val="6"/>
                <w:sz w:val="20"/>
                <w:szCs w:val="20"/>
              </w:rPr>
              <w:t>2</w:t>
            </w:r>
            <w:r>
              <w:rPr>
                <w:rFonts w:ascii="仿宋" w:hAnsi="仿宋" w:eastAsia="仿宋" w:cs="宋体"/>
                <w:bCs/>
                <w:spacing w:val="6"/>
                <w:sz w:val="20"/>
                <w:szCs w:val="20"/>
              </w:rPr>
              <w:t>5.42</w:t>
            </w:r>
          </w:p>
        </w:tc>
        <w:tc>
          <w:tcPr>
            <w:tcW w:w="1826" w:type="dxa"/>
            <w:vAlign w:val="center"/>
          </w:tcPr>
          <w:p>
            <w:pPr>
              <w:snapToGrid w:val="0"/>
              <w:jc w:val="center"/>
              <w:rPr>
                <w:rFonts w:ascii="仿宋" w:hAnsi="仿宋" w:eastAsia="仿宋" w:cs="宋体"/>
                <w:bCs/>
                <w:spacing w:val="6"/>
                <w:sz w:val="20"/>
                <w:szCs w:val="20"/>
              </w:rPr>
            </w:pPr>
            <w:r>
              <w:rPr>
                <w:rFonts w:ascii="仿宋" w:hAnsi="仿宋" w:eastAsia="仿宋" w:cs="宋体"/>
                <w:bCs/>
                <w:spacing w:val="6"/>
                <w:sz w:val="20"/>
                <w:szCs w:val="20"/>
              </w:rPr>
              <w:t>84.73</w:t>
            </w:r>
            <w:r>
              <w:rPr>
                <w:rFonts w:hint="eastAsia" w:ascii="仿宋" w:hAnsi="仿宋" w:eastAsia="仿宋" w:cs="宋体"/>
                <w:bCs/>
                <w:spacing w:val="6"/>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2210" w:type="dxa"/>
            <w:vAlign w:val="center"/>
          </w:tcPr>
          <w:p>
            <w:pPr>
              <w:snapToGrid w:val="0"/>
              <w:jc w:val="center"/>
              <w:rPr>
                <w:rFonts w:ascii="仿宋" w:hAnsi="仿宋" w:eastAsia="仿宋" w:cs="宋体"/>
                <w:b/>
                <w:bCs/>
                <w:spacing w:val="6"/>
                <w:sz w:val="20"/>
                <w:szCs w:val="20"/>
              </w:rPr>
            </w:pPr>
            <w:r>
              <w:rPr>
                <w:rFonts w:ascii="仿宋" w:hAnsi="仿宋" w:eastAsia="仿宋" w:cs="宋体"/>
                <w:b/>
                <w:bCs/>
                <w:spacing w:val="6"/>
                <w:sz w:val="20"/>
                <w:szCs w:val="20"/>
              </w:rPr>
              <w:t>合 计</w:t>
            </w:r>
          </w:p>
        </w:tc>
        <w:tc>
          <w:tcPr>
            <w:tcW w:w="2134" w:type="dxa"/>
            <w:vAlign w:val="center"/>
          </w:tcPr>
          <w:p>
            <w:pPr>
              <w:snapToGrid w:val="0"/>
              <w:jc w:val="center"/>
              <w:rPr>
                <w:rFonts w:ascii="仿宋" w:hAnsi="仿宋" w:eastAsia="仿宋" w:cs="宋体"/>
                <w:b/>
                <w:bCs/>
                <w:spacing w:val="6"/>
                <w:sz w:val="20"/>
                <w:szCs w:val="20"/>
              </w:rPr>
            </w:pPr>
            <w:r>
              <w:rPr>
                <w:rFonts w:ascii="仿宋" w:hAnsi="仿宋" w:eastAsia="仿宋" w:cs="宋体"/>
                <w:b/>
                <w:bCs/>
                <w:spacing w:val="6"/>
                <w:sz w:val="20"/>
                <w:szCs w:val="20"/>
              </w:rPr>
              <w:t>100</w:t>
            </w:r>
          </w:p>
        </w:tc>
        <w:tc>
          <w:tcPr>
            <w:tcW w:w="2128" w:type="dxa"/>
            <w:vAlign w:val="center"/>
          </w:tcPr>
          <w:p>
            <w:pPr>
              <w:snapToGrid w:val="0"/>
              <w:jc w:val="center"/>
              <w:rPr>
                <w:rFonts w:ascii="仿宋" w:hAnsi="仿宋" w:eastAsia="仿宋" w:cs="宋体"/>
                <w:b/>
                <w:bCs/>
                <w:spacing w:val="6"/>
                <w:sz w:val="20"/>
                <w:szCs w:val="20"/>
              </w:rPr>
            </w:pPr>
            <w:r>
              <w:rPr>
                <w:rFonts w:hint="eastAsia" w:ascii="仿宋" w:hAnsi="仿宋" w:eastAsia="仿宋" w:cs="宋体"/>
                <w:b/>
                <w:bCs/>
                <w:spacing w:val="6"/>
                <w:sz w:val="20"/>
                <w:szCs w:val="20"/>
              </w:rPr>
              <w:t>8</w:t>
            </w:r>
            <w:r>
              <w:rPr>
                <w:rFonts w:ascii="仿宋" w:hAnsi="仿宋" w:eastAsia="仿宋" w:cs="宋体"/>
                <w:b/>
                <w:bCs/>
                <w:spacing w:val="6"/>
                <w:sz w:val="20"/>
                <w:szCs w:val="20"/>
              </w:rPr>
              <w:t>1.65</w:t>
            </w:r>
          </w:p>
        </w:tc>
        <w:tc>
          <w:tcPr>
            <w:tcW w:w="1826" w:type="dxa"/>
            <w:vAlign w:val="center"/>
          </w:tcPr>
          <w:p>
            <w:pPr>
              <w:snapToGrid w:val="0"/>
              <w:jc w:val="center"/>
              <w:rPr>
                <w:rFonts w:ascii="仿宋" w:hAnsi="仿宋" w:eastAsia="仿宋" w:cs="宋体"/>
                <w:b/>
                <w:bCs/>
                <w:spacing w:val="6"/>
                <w:sz w:val="20"/>
                <w:szCs w:val="20"/>
              </w:rPr>
            </w:pPr>
            <w:r>
              <w:rPr>
                <w:rFonts w:ascii="仿宋" w:hAnsi="仿宋" w:eastAsia="仿宋" w:cs="宋体"/>
                <w:b/>
                <w:bCs/>
                <w:spacing w:val="6"/>
                <w:sz w:val="20"/>
                <w:szCs w:val="20"/>
              </w:rPr>
              <w:t>81.65%</w:t>
            </w:r>
          </w:p>
        </w:tc>
      </w:tr>
    </w:tbl>
    <w:p>
      <w:pPr>
        <w:spacing w:line="579" w:lineRule="exact"/>
        <w:ind w:firstLine="600" w:firstLineChars="200"/>
        <w:rPr>
          <w:rFonts w:ascii="仿宋" w:hAnsi="仿宋" w:eastAsia="仿宋"/>
          <w:sz w:val="30"/>
          <w:szCs w:val="30"/>
        </w:rPr>
      </w:pPr>
      <w:r>
        <w:rPr>
          <w:rFonts w:hint="eastAsia" w:ascii="仿宋" w:hAnsi="仿宋" w:eastAsia="仿宋"/>
          <w:sz w:val="30"/>
          <w:szCs w:val="30"/>
        </w:rPr>
        <w:t>盈江县2019年高标准农田建设项目立项符合国民经济发展、行业发展规划及省农业农村厅建设任务要求。盈江县农业农村局作为项目实施责任主体，制定了项目实施方案，并严格按照实施方案执行相关工作。通过项目的实施，完成高标准农田建设面积5</w:t>
      </w:r>
      <w:r>
        <w:rPr>
          <w:rFonts w:ascii="仿宋" w:hAnsi="仿宋" w:eastAsia="仿宋"/>
          <w:sz w:val="30"/>
          <w:szCs w:val="30"/>
        </w:rPr>
        <w:t>500</w:t>
      </w:r>
      <w:r>
        <w:rPr>
          <w:rFonts w:hint="eastAsia" w:ascii="仿宋" w:hAnsi="仿宋" w:eastAsia="仿宋"/>
          <w:sz w:val="30"/>
          <w:szCs w:val="30"/>
        </w:rPr>
        <w:t>亩，使农业基础设施得到统一规划，改善田间基础设施及生产生活条件，实现“渠相通、路相连、旱能灌、涝能排”，减少种植粮食及其他农作物的成本，提高粮食及其他农作物的产量，提升了耕地质量，改善生态景观。但项目实施过程中仍存项目立项程序不规范、绩效目标申报不够完整、清晰、合理、</w:t>
      </w:r>
      <w:r>
        <w:rPr>
          <w:rFonts w:hint="eastAsia" w:ascii="仿宋" w:hAnsi="仿宋" w:eastAsia="仿宋" w:cs="仿宋"/>
          <w:sz w:val="30"/>
          <w:szCs w:val="30"/>
        </w:rPr>
        <w:t>绩效自评工作落实不到位、</w:t>
      </w:r>
      <w:r>
        <w:rPr>
          <w:rFonts w:hint="eastAsia" w:ascii="仿宋" w:hAnsi="仿宋" w:eastAsia="仿宋"/>
          <w:sz w:val="30"/>
          <w:szCs w:val="30"/>
        </w:rPr>
        <w:t>项目过程管理不到位、资金拨付依据不充分</w:t>
      </w:r>
      <w:r>
        <w:rPr>
          <w:rFonts w:hint="eastAsia" w:ascii="仿宋" w:hAnsi="仿宋" w:eastAsia="仿宋" w:cs="仿宋"/>
          <w:sz w:val="30"/>
          <w:szCs w:val="30"/>
        </w:rPr>
        <w:t>等问题。</w:t>
      </w:r>
    </w:p>
    <w:bookmarkEnd w:id="18"/>
    <w:p>
      <w:pPr>
        <w:spacing w:line="579" w:lineRule="exact"/>
        <w:ind w:firstLine="600" w:firstLineChars="200"/>
        <w:outlineLvl w:val="1"/>
        <w:rPr>
          <w:rFonts w:ascii="楷体" w:hAnsi="楷体" w:eastAsia="楷体"/>
          <w:kern w:val="30"/>
          <w:sz w:val="30"/>
          <w:szCs w:val="30"/>
        </w:rPr>
      </w:pPr>
      <w:r>
        <w:rPr>
          <w:rFonts w:hint="eastAsia" w:ascii="楷体" w:hAnsi="楷体" w:eastAsia="楷体"/>
          <w:kern w:val="30"/>
          <w:sz w:val="30"/>
          <w:szCs w:val="30"/>
        </w:rPr>
        <w:t>（二）绩效目标实现情况</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盈江县2019年高标准农田建设项目设立了</w:t>
      </w:r>
      <w:r>
        <w:rPr>
          <w:rFonts w:ascii="仿宋" w:hAnsi="仿宋" w:eastAsia="仿宋"/>
          <w:sz w:val="30"/>
          <w:szCs w:val="30"/>
        </w:rPr>
        <w:t>15项绩效指标，完成4项，部分完成</w:t>
      </w:r>
      <w:r>
        <w:rPr>
          <w:rFonts w:hint="eastAsia" w:ascii="仿宋" w:hAnsi="仿宋" w:eastAsia="仿宋"/>
          <w:sz w:val="30"/>
          <w:szCs w:val="30"/>
        </w:rPr>
        <w:t>1</w:t>
      </w:r>
      <w:r>
        <w:rPr>
          <w:rFonts w:ascii="仿宋" w:hAnsi="仿宋" w:eastAsia="仿宋"/>
          <w:sz w:val="30"/>
          <w:szCs w:val="30"/>
        </w:rPr>
        <w:t>1项。</w:t>
      </w:r>
      <w:r>
        <w:rPr>
          <w:rFonts w:hint="eastAsia" w:ascii="仿宋" w:hAnsi="仿宋" w:eastAsia="仿宋"/>
          <w:sz w:val="30"/>
          <w:szCs w:val="30"/>
        </w:rPr>
        <w:t>具体完成情况见下表：</w:t>
      </w:r>
    </w:p>
    <w:p>
      <w:pPr>
        <w:ind w:firstLine="480" w:firstLineChars="200"/>
        <w:jc w:val="center"/>
        <w:rPr>
          <w:rFonts w:ascii="黑体" w:hAnsi="黑体" w:eastAsia="黑体" w:cs="宋体"/>
          <w:bCs/>
          <w:sz w:val="24"/>
        </w:rPr>
      </w:pPr>
      <w:r>
        <w:rPr>
          <w:rFonts w:hint="eastAsia" w:ascii="黑体" w:hAnsi="黑体" w:eastAsia="黑体" w:cs="宋体"/>
          <w:bCs/>
          <w:sz w:val="24"/>
        </w:rPr>
        <w:t>表4：绩效指标完成情况表</w:t>
      </w:r>
    </w:p>
    <w:tbl>
      <w:tblPr>
        <w:tblStyle w:val="6"/>
        <w:tblW w:w="840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966"/>
        <w:gridCol w:w="1309"/>
        <w:gridCol w:w="1809"/>
        <w:gridCol w:w="887"/>
        <w:gridCol w:w="2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3228" w:type="dxa"/>
            <w:gridSpan w:val="3"/>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绩效指标</w:t>
            </w:r>
          </w:p>
        </w:tc>
        <w:tc>
          <w:tcPr>
            <w:tcW w:w="1809"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指标值</w:t>
            </w:r>
          </w:p>
        </w:tc>
        <w:tc>
          <w:tcPr>
            <w:tcW w:w="887"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指标实现情况</w:t>
            </w:r>
          </w:p>
        </w:tc>
        <w:tc>
          <w:tcPr>
            <w:tcW w:w="2476" w:type="dxa"/>
            <w:vMerge w:val="restart"/>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完成情况说明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blHeader/>
        </w:trPr>
        <w:tc>
          <w:tcPr>
            <w:tcW w:w="953"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一级指标</w:t>
            </w:r>
          </w:p>
        </w:tc>
        <w:tc>
          <w:tcPr>
            <w:tcW w:w="966"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二级指标</w:t>
            </w:r>
          </w:p>
        </w:tc>
        <w:tc>
          <w:tcPr>
            <w:tcW w:w="1309" w:type="dxa"/>
            <w:shd w:val="clear" w:color="auto" w:fill="auto"/>
            <w:vAlign w:val="center"/>
          </w:tcPr>
          <w:p>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三级指标</w:t>
            </w:r>
          </w:p>
        </w:tc>
        <w:tc>
          <w:tcPr>
            <w:tcW w:w="1809" w:type="dxa"/>
            <w:vMerge w:val="continue"/>
            <w:vAlign w:val="center"/>
          </w:tcPr>
          <w:p>
            <w:pPr>
              <w:widowControl/>
              <w:jc w:val="left"/>
              <w:rPr>
                <w:rFonts w:ascii="仿宋" w:hAnsi="仿宋" w:eastAsia="仿宋" w:cs="宋体"/>
                <w:b/>
                <w:bCs/>
                <w:color w:val="000000"/>
                <w:kern w:val="0"/>
                <w:sz w:val="20"/>
                <w:szCs w:val="20"/>
              </w:rPr>
            </w:pPr>
          </w:p>
        </w:tc>
        <w:tc>
          <w:tcPr>
            <w:tcW w:w="887" w:type="dxa"/>
            <w:vMerge w:val="continue"/>
            <w:vAlign w:val="center"/>
          </w:tcPr>
          <w:p>
            <w:pPr>
              <w:widowControl/>
              <w:jc w:val="left"/>
              <w:rPr>
                <w:rFonts w:ascii="仿宋" w:hAnsi="仿宋" w:eastAsia="仿宋" w:cs="宋体"/>
                <w:b/>
                <w:bCs/>
                <w:color w:val="000000"/>
                <w:kern w:val="0"/>
                <w:sz w:val="20"/>
                <w:szCs w:val="20"/>
              </w:rPr>
            </w:pPr>
          </w:p>
        </w:tc>
        <w:tc>
          <w:tcPr>
            <w:tcW w:w="2476" w:type="dxa"/>
            <w:vMerge w:val="continue"/>
            <w:vAlign w:val="center"/>
          </w:tcPr>
          <w:p>
            <w:pPr>
              <w:widowControl/>
              <w:jc w:val="left"/>
              <w:rPr>
                <w:rFonts w:ascii="仿宋" w:hAnsi="仿宋" w:eastAsia="仿宋"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53"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 产出</w:t>
            </w:r>
          </w:p>
        </w:tc>
        <w:tc>
          <w:tcPr>
            <w:tcW w:w="966"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产出数量</w:t>
            </w: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灌溉与排水工程完工情况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灌溉与排水工程计划完成12047m，实际完成11830.9m，完工率98.21%。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3"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田间道路工程完工情况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已完成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按照计划实施完成。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3"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交叉建筑物工程完工情况</w:t>
            </w:r>
          </w:p>
        </w:tc>
        <w:tc>
          <w:tcPr>
            <w:tcW w:w="1809" w:type="dxa"/>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①新建挡土墙≥40m；</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②新建农桥≥3座；</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③新建农机涵洞≥13座；</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④新建下田道≥27座。</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新建挡土墙40m未实施。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53"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高标准农田面积</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≥5500亩</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已完成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按计划完成高标准农田建设面积5500亩。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966"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产出时效</w:t>
            </w: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完成及时率</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已完成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按计划及时完成。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restart"/>
            <w:shd w:val="clear" w:color="auto" w:fill="FFFFFF"/>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产出</w:t>
            </w:r>
          </w:p>
        </w:tc>
        <w:tc>
          <w:tcPr>
            <w:tcW w:w="966"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产出成本</w:t>
            </w: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成本节约率</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＞0</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已完成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实际资金支出数小于计划数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3" w:type="dxa"/>
            <w:vMerge w:val="continue"/>
            <w:shd w:val="clear" w:color="auto" w:fill="FFFFFF"/>
            <w:vAlign w:val="center"/>
          </w:tcPr>
          <w:p>
            <w:pPr>
              <w:widowControl/>
              <w:jc w:val="left"/>
              <w:rPr>
                <w:rFonts w:ascii="仿宋" w:hAnsi="仿宋" w:eastAsia="仿宋" w:cs="宋体"/>
                <w:color w:val="000000"/>
                <w:kern w:val="0"/>
                <w:sz w:val="20"/>
                <w:szCs w:val="20"/>
              </w:rPr>
            </w:pPr>
          </w:p>
        </w:tc>
        <w:tc>
          <w:tcPr>
            <w:tcW w:w="966"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产出质量</w:t>
            </w:r>
          </w:p>
        </w:tc>
        <w:tc>
          <w:tcPr>
            <w:tcW w:w="1309"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质量达标率</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100%</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通过问卷调查对应问卷满意度为89.23%。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953"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效果</w:t>
            </w:r>
          </w:p>
        </w:tc>
        <w:tc>
          <w:tcPr>
            <w:tcW w:w="966"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经济效益</w:t>
            </w: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粮食及其他农作物的增收情况</w:t>
            </w:r>
          </w:p>
        </w:tc>
        <w:tc>
          <w:tcPr>
            <w:tcW w:w="1809" w:type="dxa"/>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   ①≥27.5万公斤；</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 xml:space="preserve">   ②增收明显</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根据被评价单位所提供的资料2020年新增作物产能95.72万公斤，通过问卷调查对应问卷满意度为84.23%。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种植粮食及其他农作物成本节约情况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有效节约</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通过问卷调查对应问卷满意度为90.77%。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社会效益</w:t>
            </w: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田间基础设施改善情况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改善明显</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通过问卷调查对应问卷满意度为93.08%。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生产生活条件改善情况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有效改善</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通过问卷调查对应问卷满意度为93.08%。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vMerge w:val="restart"/>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生态效益</w:t>
            </w: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生态环境改善情况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改善明显</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通过问卷调查对应问卷满意度为83.08%。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vMerge w:val="continue"/>
            <w:vAlign w:val="center"/>
          </w:tcPr>
          <w:p>
            <w:pPr>
              <w:widowControl/>
              <w:jc w:val="left"/>
              <w:rPr>
                <w:rFonts w:ascii="仿宋" w:hAnsi="仿宋" w:eastAsia="仿宋" w:cs="宋体"/>
                <w:color w:val="000000"/>
                <w:kern w:val="0"/>
                <w:sz w:val="20"/>
                <w:szCs w:val="20"/>
              </w:rPr>
            </w:pP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生态景观改善情况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显著</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通过问卷调查对应问卷满意度为84.62%。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可持续影响</w:t>
            </w: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项目后续管护情况</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安排专人管理且办理移交手续</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项目未办理移交手续。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53" w:type="dxa"/>
            <w:vMerge w:val="continue"/>
            <w:vAlign w:val="center"/>
          </w:tcPr>
          <w:p>
            <w:pPr>
              <w:widowControl/>
              <w:jc w:val="left"/>
              <w:rPr>
                <w:rFonts w:ascii="仿宋" w:hAnsi="仿宋" w:eastAsia="仿宋" w:cs="宋体"/>
                <w:color w:val="000000"/>
                <w:kern w:val="0"/>
                <w:sz w:val="20"/>
                <w:szCs w:val="20"/>
              </w:rPr>
            </w:pPr>
          </w:p>
        </w:tc>
        <w:tc>
          <w:tcPr>
            <w:tcW w:w="966"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满意度</w:t>
            </w:r>
          </w:p>
        </w:tc>
        <w:tc>
          <w:tcPr>
            <w:tcW w:w="1309" w:type="dxa"/>
            <w:shd w:val="clear" w:color="000000"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受益对象满意度</w:t>
            </w:r>
          </w:p>
        </w:tc>
        <w:tc>
          <w:tcPr>
            <w:tcW w:w="1809"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满意</w:t>
            </w:r>
          </w:p>
        </w:tc>
        <w:tc>
          <w:tcPr>
            <w:tcW w:w="887" w:type="dxa"/>
            <w:shd w:val="clear" w:color="auto" w:fill="FFFFFF"/>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部分完成</w:t>
            </w:r>
          </w:p>
        </w:tc>
        <w:tc>
          <w:tcPr>
            <w:tcW w:w="2476" w:type="dxa"/>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通过问卷调查对应受益对象综合满意度为89.49%。</w:t>
            </w:r>
          </w:p>
        </w:tc>
      </w:tr>
    </w:tbl>
    <w:p>
      <w:pPr>
        <w:spacing w:line="570" w:lineRule="exact"/>
        <w:ind w:firstLine="600" w:firstLineChars="200"/>
        <w:outlineLvl w:val="1"/>
        <w:rPr>
          <w:rFonts w:ascii="楷体" w:hAnsi="楷体" w:eastAsia="楷体"/>
          <w:sz w:val="30"/>
          <w:szCs w:val="30"/>
        </w:rPr>
      </w:pPr>
      <w:bookmarkStart w:id="19" w:name="_Toc51333624"/>
      <w:bookmarkStart w:id="20" w:name="_Toc9439750"/>
      <w:r>
        <w:rPr>
          <w:rFonts w:hint="eastAsia" w:ascii="楷体" w:hAnsi="楷体" w:eastAsia="楷体"/>
          <w:sz w:val="30"/>
          <w:szCs w:val="30"/>
        </w:rPr>
        <w:t>（三）绩效自评与评价差异分析</w:t>
      </w:r>
      <w:bookmarkEnd w:id="19"/>
      <w:bookmarkEnd w:id="20"/>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本次绩效评价得分</w:t>
      </w:r>
      <w:r>
        <w:rPr>
          <w:rFonts w:ascii="仿宋" w:hAnsi="仿宋" w:eastAsia="仿宋"/>
          <w:sz w:val="30"/>
          <w:szCs w:val="30"/>
        </w:rPr>
        <w:t>81.65</w:t>
      </w:r>
      <w:r>
        <w:rPr>
          <w:rFonts w:hint="eastAsia" w:ascii="仿宋" w:hAnsi="仿宋" w:eastAsia="仿宋"/>
          <w:sz w:val="30"/>
          <w:szCs w:val="30"/>
        </w:rPr>
        <w:t>分，评价等级为“良”；项目自评得分</w:t>
      </w:r>
      <w:r>
        <w:rPr>
          <w:rFonts w:ascii="仿宋" w:hAnsi="仿宋" w:eastAsia="仿宋"/>
          <w:sz w:val="30"/>
          <w:szCs w:val="30"/>
        </w:rPr>
        <w:t>95分，评价等级为“优”。评价与自评结果存在差异的主要原因为：</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 xml:space="preserve"> 评价程序存在差异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项目自评采取的是总结自评的方式，主要依据</w:t>
      </w:r>
      <w:r>
        <w:rPr>
          <w:rFonts w:hint="eastAsia" w:ascii="仿宋" w:hAnsi="仿宋" w:eastAsia="仿宋" w:cs="仿宋"/>
          <w:sz w:val="30"/>
          <w:szCs w:val="30"/>
        </w:rPr>
        <w:t>《盈江县财政局关于对2019年度部分项目开展绩效自评的通知》（盈财发〔2020〕180号）文件进行，</w:t>
      </w:r>
      <w:r>
        <w:rPr>
          <w:rFonts w:hint="eastAsia" w:ascii="仿宋" w:hAnsi="仿宋" w:eastAsia="仿宋"/>
          <w:sz w:val="30"/>
          <w:szCs w:val="30"/>
        </w:rPr>
        <w:t>未进行现场调查核实，自评无基础数据支撑，自评结论可能存在与实际情况不一致。评价通过收集与项目相关资料、开展实地评价，收集相关数据进行并分析、撰写报告的方式开展。评价结果较自评结果更加客观、真实的反映相关情况。</w:t>
      </w:r>
    </w:p>
    <w:p>
      <w:pPr>
        <w:spacing w:line="579" w:lineRule="exact"/>
        <w:ind w:firstLine="600" w:firstLineChars="200"/>
        <w:rPr>
          <w:rFonts w:ascii="仿宋" w:hAnsi="仿宋" w:eastAsia="仿宋"/>
          <w:sz w:val="30"/>
          <w:szCs w:val="30"/>
        </w:rPr>
      </w:pPr>
      <w:r>
        <w:rPr>
          <w:rFonts w:ascii="仿宋" w:hAnsi="仿宋" w:eastAsia="仿宋"/>
          <w:sz w:val="30"/>
          <w:szCs w:val="30"/>
        </w:rPr>
        <w:t>2.评价指标体系存在差异</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1）</w:t>
      </w:r>
      <w:r>
        <w:rPr>
          <w:rFonts w:hint="eastAsia" w:ascii="仿宋" w:hAnsi="仿宋" w:eastAsia="仿宋"/>
          <w:sz w:val="30"/>
          <w:szCs w:val="30"/>
        </w:rPr>
        <w:t>评价指标维度不同</w:t>
      </w:r>
      <w:r>
        <w:rPr>
          <w:rFonts w:ascii="仿宋" w:hAnsi="仿宋" w:eastAsia="仿宋"/>
          <w:sz w:val="30"/>
          <w:szCs w:val="30"/>
        </w:rPr>
        <w:t>。自评</w:t>
      </w:r>
      <w:r>
        <w:rPr>
          <w:rFonts w:hint="eastAsia" w:ascii="仿宋" w:hAnsi="仿宋" w:eastAsia="仿宋"/>
          <w:sz w:val="30"/>
          <w:szCs w:val="30"/>
        </w:rPr>
        <w:t>与</w:t>
      </w:r>
      <w:r>
        <w:rPr>
          <w:rFonts w:ascii="仿宋" w:hAnsi="仿宋" w:eastAsia="仿宋"/>
          <w:sz w:val="30"/>
          <w:szCs w:val="30"/>
        </w:rPr>
        <w:t>评价指标体系</w:t>
      </w:r>
      <w:r>
        <w:rPr>
          <w:rFonts w:hint="eastAsia" w:ascii="仿宋" w:hAnsi="仿宋" w:eastAsia="仿宋"/>
          <w:sz w:val="30"/>
          <w:szCs w:val="30"/>
        </w:rPr>
        <w:t>对比，自评未设置决策、过程指标，仅从</w:t>
      </w:r>
      <w:bookmarkStart w:id="21" w:name="_Hlk51271256"/>
      <w:r>
        <w:rPr>
          <w:rFonts w:hint="eastAsia" w:ascii="仿宋" w:hAnsi="仿宋" w:eastAsia="仿宋"/>
          <w:sz w:val="30"/>
          <w:szCs w:val="30"/>
        </w:rPr>
        <w:t>资金执行情况</w:t>
      </w:r>
      <w:bookmarkEnd w:id="21"/>
      <w:r>
        <w:rPr>
          <w:rFonts w:hint="eastAsia" w:ascii="仿宋" w:hAnsi="仿宋" w:eastAsia="仿宋"/>
          <w:sz w:val="30"/>
          <w:szCs w:val="30"/>
        </w:rPr>
        <w:t>、</w:t>
      </w:r>
      <w:bookmarkStart w:id="22" w:name="_Hlk51271261"/>
      <w:r>
        <w:rPr>
          <w:rFonts w:hint="eastAsia" w:ascii="仿宋" w:hAnsi="仿宋" w:eastAsia="仿宋"/>
          <w:sz w:val="30"/>
          <w:szCs w:val="30"/>
        </w:rPr>
        <w:t>产出指标</w:t>
      </w:r>
      <w:bookmarkEnd w:id="22"/>
      <w:r>
        <w:rPr>
          <w:rFonts w:hint="eastAsia" w:ascii="仿宋" w:hAnsi="仿宋" w:eastAsia="仿宋"/>
          <w:sz w:val="30"/>
          <w:szCs w:val="30"/>
        </w:rPr>
        <w:t>、</w:t>
      </w:r>
      <w:bookmarkStart w:id="23" w:name="_Hlk51271267"/>
      <w:r>
        <w:rPr>
          <w:rFonts w:hint="eastAsia" w:ascii="仿宋" w:hAnsi="仿宋" w:eastAsia="仿宋"/>
          <w:sz w:val="30"/>
          <w:szCs w:val="30"/>
        </w:rPr>
        <w:t>效益指标</w:t>
      </w:r>
      <w:bookmarkEnd w:id="23"/>
      <w:r>
        <w:rPr>
          <w:rFonts w:hint="eastAsia" w:ascii="仿宋" w:hAnsi="仿宋" w:eastAsia="仿宋"/>
          <w:sz w:val="30"/>
          <w:szCs w:val="30"/>
        </w:rPr>
        <w:t>、满意度进行评价，绩效评价从决策、</w:t>
      </w:r>
      <w:bookmarkStart w:id="24" w:name="_Hlk51271331"/>
      <w:r>
        <w:rPr>
          <w:rFonts w:hint="eastAsia" w:ascii="仿宋" w:hAnsi="仿宋" w:eastAsia="仿宋"/>
          <w:sz w:val="30"/>
          <w:szCs w:val="30"/>
        </w:rPr>
        <w:t>过程</w:t>
      </w:r>
      <w:bookmarkEnd w:id="24"/>
      <w:r>
        <w:rPr>
          <w:rFonts w:hint="eastAsia" w:ascii="仿宋" w:hAnsi="仿宋" w:eastAsia="仿宋"/>
          <w:sz w:val="30"/>
          <w:szCs w:val="30"/>
        </w:rPr>
        <w:t>、</w:t>
      </w:r>
      <w:bookmarkStart w:id="25" w:name="_Hlk51271337"/>
      <w:r>
        <w:rPr>
          <w:rFonts w:hint="eastAsia" w:ascii="仿宋" w:hAnsi="仿宋" w:eastAsia="仿宋"/>
          <w:sz w:val="30"/>
          <w:szCs w:val="30"/>
        </w:rPr>
        <w:t>产出</w:t>
      </w:r>
      <w:bookmarkEnd w:id="25"/>
      <w:r>
        <w:rPr>
          <w:rFonts w:hint="eastAsia" w:ascii="仿宋" w:hAnsi="仿宋" w:eastAsia="仿宋"/>
          <w:sz w:val="30"/>
          <w:szCs w:val="30"/>
        </w:rPr>
        <w:t>、</w:t>
      </w:r>
      <w:bookmarkStart w:id="26" w:name="_Hlk51271342"/>
      <w:r>
        <w:rPr>
          <w:rFonts w:hint="eastAsia" w:ascii="仿宋" w:hAnsi="仿宋" w:eastAsia="仿宋"/>
          <w:sz w:val="30"/>
          <w:szCs w:val="30"/>
        </w:rPr>
        <w:t>效</w:t>
      </w:r>
      <w:bookmarkEnd w:id="26"/>
      <w:r>
        <w:rPr>
          <w:rFonts w:hint="eastAsia" w:ascii="仿宋" w:hAnsi="仿宋" w:eastAsia="仿宋"/>
          <w:sz w:val="30"/>
          <w:szCs w:val="30"/>
        </w:rPr>
        <w:t>果四个维度进行评价。</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（2）指标评价分值占比不同。绩效自评一级指标自评分值权重分别为资金执行情况</w:t>
      </w:r>
      <w:r>
        <w:rPr>
          <w:rFonts w:ascii="仿宋" w:hAnsi="仿宋" w:eastAsia="仿宋"/>
          <w:sz w:val="30"/>
          <w:szCs w:val="30"/>
        </w:rPr>
        <w:t>10分、</w:t>
      </w:r>
      <w:r>
        <w:rPr>
          <w:rFonts w:hint="eastAsia" w:ascii="仿宋" w:hAnsi="仿宋" w:eastAsia="仿宋"/>
          <w:sz w:val="30"/>
          <w:szCs w:val="30"/>
        </w:rPr>
        <w:t>产出指标4</w:t>
      </w:r>
      <w:r>
        <w:rPr>
          <w:rFonts w:ascii="仿宋" w:hAnsi="仿宋" w:eastAsia="仿宋"/>
          <w:sz w:val="30"/>
          <w:szCs w:val="30"/>
        </w:rPr>
        <w:t>5分、</w:t>
      </w:r>
      <w:r>
        <w:rPr>
          <w:rFonts w:hint="eastAsia" w:ascii="仿宋" w:hAnsi="仿宋" w:eastAsia="仿宋"/>
          <w:sz w:val="30"/>
          <w:szCs w:val="30"/>
        </w:rPr>
        <w:t>效益指标</w:t>
      </w:r>
      <w:r>
        <w:rPr>
          <w:rFonts w:ascii="仿宋" w:hAnsi="仿宋" w:eastAsia="仿宋"/>
          <w:sz w:val="30"/>
          <w:szCs w:val="30"/>
        </w:rPr>
        <w:t>35分、</w:t>
      </w:r>
      <w:r>
        <w:rPr>
          <w:rFonts w:hint="eastAsia" w:ascii="仿宋" w:hAnsi="仿宋" w:eastAsia="仿宋"/>
          <w:sz w:val="30"/>
          <w:szCs w:val="30"/>
        </w:rPr>
        <w:t>满意度</w:t>
      </w:r>
      <w:r>
        <w:rPr>
          <w:rFonts w:ascii="仿宋" w:hAnsi="仿宋" w:eastAsia="仿宋"/>
          <w:sz w:val="30"/>
          <w:szCs w:val="30"/>
        </w:rPr>
        <w:t>10分</w:t>
      </w:r>
      <w:r>
        <w:rPr>
          <w:rFonts w:hint="eastAsia" w:ascii="仿宋" w:hAnsi="仿宋" w:eastAsia="仿宋"/>
          <w:sz w:val="30"/>
          <w:szCs w:val="30"/>
        </w:rPr>
        <w:t>；绩效评价一级指标分值分别为决策</w:t>
      </w:r>
      <w:r>
        <w:rPr>
          <w:rFonts w:ascii="仿宋" w:hAnsi="仿宋" w:eastAsia="仿宋"/>
          <w:sz w:val="30"/>
          <w:szCs w:val="30"/>
        </w:rPr>
        <w:t>15分、</w:t>
      </w:r>
      <w:r>
        <w:rPr>
          <w:rFonts w:hint="eastAsia" w:ascii="仿宋" w:hAnsi="仿宋" w:eastAsia="仿宋"/>
          <w:sz w:val="30"/>
          <w:szCs w:val="30"/>
        </w:rPr>
        <w:t>过程</w:t>
      </w:r>
      <w:r>
        <w:rPr>
          <w:rFonts w:ascii="仿宋" w:hAnsi="仿宋" w:eastAsia="仿宋"/>
          <w:sz w:val="30"/>
          <w:szCs w:val="30"/>
        </w:rPr>
        <w:t>20分、</w:t>
      </w:r>
      <w:r>
        <w:rPr>
          <w:rFonts w:hint="eastAsia" w:ascii="仿宋" w:hAnsi="仿宋" w:eastAsia="仿宋"/>
          <w:sz w:val="30"/>
          <w:szCs w:val="30"/>
        </w:rPr>
        <w:t>产出</w:t>
      </w:r>
      <w:r>
        <w:rPr>
          <w:rFonts w:ascii="仿宋" w:hAnsi="仿宋" w:eastAsia="仿宋"/>
          <w:sz w:val="30"/>
          <w:szCs w:val="30"/>
        </w:rPr>
        <w:t>35分、</w:t>
      </w:r>
      <w:r>
        <w:rPr>
          <w:rFonts w:hint="eastAsia" w:ascii="仿宋" w:hAnsi="仿宋" w:eastAsia="仿宋"/>
          <w:sz w:val="30"/>
          <w:szCs w:val="30"/>
        </w:rPr>
        <w:t>效果</w:t>
      </w:r>
      <w:r>
        <w:rPr>
          <w:rFonts w:ascii="仿宋" w:hAnsi="仿宋" w:eastAsia="仿宋"/>
          <w:sz w:val="30"/>
          <w:szCs w:val="30"/>
        </w:rPr>
        <w:t>30分。</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3）三级指标评价分值和细化度不一致。自评设置了</w:t>
      </w:r>
      <w:r>
        <w:rPr>
          <w:rFonts w:hint="eastAsia" w:ascii="仿宋" w:hAnsi="仿宋" w:eastAsia="仿宋"/>
          <w:sz w:val="30"/>
          <w:szCs w:val="30"/>
        </w:rPr>
        <w:t>1</w:t>
      </w:r>
      <w:r>
        <w:rPr>
          <w:rFonts w:ascii="仿宋" w:hAnsi="仿宋" w:eastAsia="仿宋"/>
          <w:sz w:val="30"/>
          <w:szCs w:val="30"/>
        </w:rPr>
        <w:t>4个三级指标，</w:t>
      </w:r>
      <w:r>
        <w:rPr>
          <w:rFonts w:hint="eastAsia" w:ascii="仿宋" w:hAnsi="仿宋" w:eastAsia="仿宋"/>
          <w:sz w:val="30"/>
          <w:szCs w:val="30"/>
        </w:rPr>
        <w:t>绩效评价设置了</w:t>
      </w:r>
      <w:r>
        <w:rPr>
          <w:rFonts w:ascii="仿宋" w:hAnsi="仿宋" w:eastAsia="仿宋"/>
          <w:sz w:val="30"/>
          <w:szCs w:val="30"/>
        </w:rPr>
        <w:t>30个三</w:t>
      </w:r>
      <w:r>
        <w:rPr>
          <w:rFonts w:hint="eastAsia" w:ascii="仿宋" w:hAnsi="仿宋" w:eastAsia="仿宋"/>
          <w:sz w:val="30"/>
          <w:szCs w:val="30"/>
        </w:rPr>
        <w:t>级指标；部分产出和效果指标评价标准和分值不一致，且自评中存在部分指标及指标值不切实际，绩效评价充分考虑了项目实施的工作重点及任务情况，补充调整了产出和效果指标的评分标准及分值。</w:t>
      </w:r>
    </w:p>
    <w:p>
      <w:pPr>
        <w:overflowPunct w:val="0"/>
        <w:spacing w:line="570" w:lineRule="exact"/>
        <w:ind w:firstLine="629"/>
        <w:outlineLvl w:val="0"/>
        <w:rPr>
          <w:rFonts w:ascii="黑体" w:hAnsi="黑体" w:eastAsia="黑体"/>
          <w:sz w:val="30"/>
          <w:szCs w:val="30"/>
        </w:rPr>
      </w:pPr>
      <w:bookmarkStart w:id="27" w:name="_Toc51333625"/>
      <w:bookmarkStart w:id="28" w:name="_Toc9439751"/>
      <w:r>
        <w:rPr>
          <w:rFonts w:hint="eastAsia" w:ascii="黑体" w:hAnsi="黑体" w:eastAsia="黑体"/>
          <w:sz w:val="30"/>
          <w:szCs w:val="30"/>
        </w:rPr>
        <w:t>五、绩效评价情况分析</w:t>
      </w:r>
      <w:bookmarkEnd w:id="27"/>
      <w:bookmarkEnd w:id="28"/>
    </w:p>
    <w:p>
      <w:pPr>
        <w:spacing w:line="570" w:lineRule="exact"/>
        <w:ind w:firstLine="600" w:firstLineChars="200"/>
        <w:outlineLvl w:val="1"/>
        <w:rPr>
          <w:rFonts w:ascii="楷体" w:hAnsi="楷体" w:eastAsia="楷体"/>
          <w:sz w:val="30"/>
          <w:szCs w:val="30"/>
        </w:rPr>
      </w:pPr>
      <w:bookmarkStart w:id="29" w:name="_Toc51333626"/>
      <w:r>
        <w:rPr>
          <w:rFonts w:hint="eastAsia" w:ascii="楷体" w:hAnsi="楷体" w:eastAsia="楷体"/>
          <w:sz w:val="30"/>
          <w:szCs w:val="30"/>
        </w:rPr>
        <w:t>（一）决策情况分析</w:t>
      </w:r>
      <w:bookmarkEnd w:id="29"/>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项目决策情况包括项目立项、绩效目标和资金投入三个方面。该项满分为</w:t>
      </w:r>
      <w:r>
        <w:rPr>
          <w:rFonts w:ascii="仿宋" w:hAnsi="仿宋" w:eastAsia="仿宋"/>
          <w:sz w:val="30"/>
          <w:szCs w:val="30"/>
        </w:rPr>
        <w:t>15分，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w:t>
      </w:r>
      <w:r>
        <w:rPr>
          <w:rFonts w:ascii="仿宋" w:hAnsi="仿宋" w:eastAsia="仿宋"/>
          <w:sz w:val="30"/>
          <w:szCs w:val="30"/>
        </w:rPr>
        <w:t>11.5分，得分率76.67%。具体评价</w:t>
      </w:r>
      <w:r>
        <w:rPr>
          <w:rFonts w:hint="eastAsia" w:ascii="仿宋" w:hAnsi="仿宋" w:eastAsia="仿宋"/>
          <w:sz w:val="30"/>
          <w:szCs w:val="30"/>
        </w:rPr>
        <w:t>决策</w:t>
      </w:r>
      <w:r>
        <w:rPr>
          <w:rFonts w:ascii="仿宋" w:hAnsi="仿宋" w:eastAsia="仿宋"/>
          <w:sz w:val="30"/>
          <w:szCs w:val="30"/>
        </w:rPr>
        <w:t>情况分析如下：</w:t>
      </w:r>
    </w:p>
    <w:p>
      <w:pPr>
        <w:spacing w:line="579" w:lineRule="exact"/>
        <w:ind w:firstLine="600" w:firstLineChars="200"/>
        <w:rPr>
          <w:rFonts w:ascii="仿宋" w:hAnsi="仿宋" w:eastAsia="仿宋"/>
          <w:sz w:val="30"/>
          <w:szCs w:val="30"/>
        </w:rPr>
      </w:pPr>
      <w:r>
        <w:rPr>
          <w:rFonts w:ascii="仿宋" w:hAnsi="仿宋" w:eastAsia="仿宋"/>
          <w:sz w:val="30"/>
          <w:szCs w:val="30"/>
        </w:rPr>
        <w:t>1.项目立项方面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立项依据充分，符合国家法律法规、国民经济发展规划、行业发展规划和政策要求，与部门职责范围相符，属于部门履职所需。但存在部分实施内容与其他部门交叉重叠，项目立项程序不规范，虽已按照规定的程序申请设立，但所编制的项目实施方案未经相关部门审批。</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rPr>
        <w:t xml:space="preserve"> </w:t>
      </w:r>
      <w:r>
        <w:rPr>
          <w:rFonts w:hint="eastAsia" w:ascii="仿宋" w:hAnsi="仿宋" w:eastAsia="仿宋"/>
          <w:sz w:val="30"/>
          <w:szCs w:val="30"/>
        </w:rPr>
        <w:t>绩效目标方面</w:t>
      </w:r>
    </w:p>
    <w:p>
      <w:pPr>
        <w:spacing w:line="560" w:lineRule="exact"/>
        <w:ind w:firstLine="600" w:firstLineChars="200"/>
        <w:jc w:val="left"/>
        <w:rPr>
          <w:rFonts w:ascii="仿宋" w:hAnsi="仿宋" w:eastAsia="仿宋" w:cs="仿宋"/>
          <w:sz w:val="30"/>
          <w:szCs w:val="30"/>
        </w:rPr>
      </w:pPr>
      <w:r>
        <w:rPr>
          <w:rFonts w:hint="eastAsia" w:ascii="仿宋" w:hAnsi="仿宋" w:eastAsia="仿宋"/>
          <w:sz w:val="30"/>
          <w:szCs w:val="30"/>
        </w:rPr>
        <w:t>盈江县2019年高标准农田建设项目申报了绩效目标和绩效指标，但</w:t>
      </w:r>
      <w:r>
        <w:rPr>
          <w:rFonts w:hint="eastAsia" w:ascii="仿宋" w:hAnsi="仿宋" w:eastAsia="仿宋" w:cs="仿宋"/>
          <w:sz w:val="30"/>
          <w:szCs w:val="30"/>
        </w:rPr>
        <w:t>绩效目标细化分解的绩效指标缺乏考核项目产出关键性指标、部分绩效指标与项目关联度不高、指标值无法衡量，且将盈江县2019年高标准农田建设项目和盈江县2019年高效节水灌溉项目绩效目标合并申报。</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3</w:t>
      </w:r>
      <w:r>
        <w:rPr>
          <w:rFonts w:ascii="仿宋" w:hAnsi="仿宋" w:eastAsia="仿宋" w:cs="仿宋"/>
          <w:sz w:val="30"/>
          <w:szCs w:val="30"/>
        </w:rPr>
        <w:t>.</w:t>
      </w:r>
      <w:r>
        <w:rPr>
          <w:rFonts w:hint="eastAsia" w:ascii="仿宋" w:hAnsi="仿宋" w:eastAsia="仿宋" w:cs="仿宋"/>
          <w:sz w:val="30"/>
          <w:szCs w:val="30"/>
        </w:rPr>
        <w:t>资金投入方面</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盈江县2019年高标准农田建设项目计划下达统筹整合财政涉农资金7</w:t>
      </w:r>
      <w:r>
        <w:rPr>
          <w:rFonts w:ascii="仿宋" w:hAnsi="仿宋" w:eastAsia="仿宋" w:cs="仿宋"/>
          <w:sz w:val="30"/>
          <w:szCs w:val="30"/>
        </w:rPr>
        <w:t>15</w:t>
      </w:r>
      <w:r>
        <w:rPr>
          <w:rFonts w:hint="eastAsia" w:ascii="仿宋" w:hAnsi="仿宋" w:eastAsia="仿宋" w:cs="仿宋"/>
          <w:sz w:val="30"/>
          <w:szCs w:val="30"/>
        </w:rPr>
        <w:t>万元，资金分配符合统筹整合财政涉农资金、专项扶贫资金、农田建设项目管理的需求。在预算编制方面，预算编制合理，预算内容与项目内容匹配。</w:t>
      </w:r>
    </w:p>
    <w:p>
      <w:pPr>
        <w:spacing w:line="570" w:lineRule="exact"/>
        <w:ind w:firstLine="600" w:firstLineChars="200"/>
        <w:outlineLvl w:val="1"/>
        <w:rPr>
          <w:rFonts w:ascii="楷体" w:hAnsi="楷体" w:eastAsia="楷体"/>
          <w:sz w:val="30"/>
          <w:szCs w:val="30"/>
        </w:rPr>
      </w:pPr>
      <w:bookmarkStart w:id="30" w:name="_Toc56861579"/>
      <w:r>
        <w:rPr>
          <w:rFonts w:hint="eastAsia" w:ascii="楷体" w:hAnsi="楷体" w:eastAsia="楷体"/>
          <w:sz w:val="30"/>
          <w:szCs w:val="30"/>
        </w:rPr>
        <w:t>（二）过程情况分析</w:t>
      </w:r>
      <w:bookmarkEnd w:id="30"/>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项目过程包括项目管理和资金管理两方面。该项满分为</w:t>
      </w:r>
      <w:r>
        <w:rPr>
          <w:rFonts w:ascii="仿宋" w:hAnsi="仿宋" w:eastAsia="仿宋"/>
          <w:sz w:val="30"/>
          <w:szCs w:val="30"/>
        </w:rPr>
        <w:t>20分，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w:t>
      </w:r>
      <w:r>
        <w:rPr>
          <w:rFonts w:ascii="仿宋" w:hAnsi="仿宋" w:eastAsia="仿宋"/>
          <w:sz w:val="30"/>
          <w:szCs w:val="30"/>
        </w:rPr>
        <w:t>13.45分，得分率67.25%</w:t>
      </w:r>
      <w:r>
        <w:rPr>
          <w:rFonts w:hint="eastAsia" w:ascii="仿宋" w:hAnsi="仿宋" w:eastAsia="仿宋"/>
          <w:sz w:val="30"/>
          <w:szCs w:val="30"/>
        </w:rPr>
        <w:t>。</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评价过程情况分析如下：</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ascii="仿宋" w:hAnsi="仿宋" w:eastAsia="仿宋" w:cs="仿宋"/>
          <w:sz w:val="30"/>
          <w:szCs w:val="30"/>
        </w:rPr>
        <w:t>.</w:t>
      </w:r>
      <w:r>
        <w:rPr>
          <w:rFonts w:hint="eastAsia" w:ascii="仿宋" w:hAnsi="仿宋" w:eastAsia="仿宋" w:cs="仿宋"/>
          <w:sz w:val="30"/>
          <w:szCs w:val="30"/>
        </w:rPr>
        <w:t>项目管理方面</w:t>
      </w:r>
    </w:p>
    <w:p>
      <w:pPr>
        <w:ind w:firstLine="600" w:firstLineChars="200"/>
        <w:rPr>
          <w:rFonts w:ascii="仿宋" w:hAnsi="仿宋" w:eastAsia="仿宋" w:cs="仿宋"/>
          <w:sz w:val="30"/>
          <w:szCs w:val="30"/>
        </w:rPr>
      </w:pPr>
      <w:r>
        <w:rPr>
          <w:rFonts w:hint="eastAsia" w:ascii="仿宋" w:hAnsi="仿宋" w:eastAsia="仿宋"/>
          <w:sz w:val="30"/>
          <w:szCs w:val="30"/>
        </w:rPr>
        <w:t>盈江县农业农村局</w:t>
      </w:r>
      <w:r>
        <w:rPr>
          <w:rFonts w:hint="eastAsia" w:ascii="仿宋" w:hAnsi="仿宋" w:eastAsia="仿宋" w:cs="仿宋"/>
          <w:kern w:val="30"/>
          <w:sz w:val="30"/>
          <w:szCs w:val="30"/>
        </w:rPr>
        <w:t>制定了《盈江县2019年高标准农田建设项目实施方案》，按照《农田建设项目管理办法》实行“四制管理”，即：项目法人制、招投标制、合同制、工程监理制，实施过程中定期或不定期对项目实施情况及建设进度等内容进行监督检查，但项目实施</w:t>
      </w:r>
      <w:r>
        <w:rPr>
          <w:rFonts w:hint="eastAsia" w:ascii="仿宋" w:hAnsi="仿宋" w:eastAsia="仿宋" w:cs="仿宋"/>
          <w:sz w:val="30"/>
          <w:szCs w:val="30"/>
        </w:rPr>
        <w:t>未执行项目信息公开、公示程序</w:t>
      </w:r>
      <w:r>
        <w:rPr>
          <w:rFonts w:hint="eastAsia" w:ascii="仿宋" w:hAnsi="仿宋" w:eastAsia="仿宋" w:cs="仿宋"/>
          <w:kern w:val="30"/>
          <w:sz w:val="30"/>
          <w:szCs w:val="30"/>
        </w:rPr>
        <w:t>；</w:t>
      </w:r>
      <w:r>
        <w:rPr>
          <w:rFonts w:hint="eastAsia" w:ascii="仿宋" w:hAnsi="仿宋" w:eastAsia="仿宋" w:cs="仿宋"/>
          <w:sz w:val="30"/>
          <w:szCs w:val="30"/>
        </w:rPr>
        <w:t>项目实施流程倒置，已做结算审核，项目未执行完工验收程序；建设优化或变更，建设单位未按程序进行报批。</w:t>
      </w:r>
    </w:p>
    <w:p>
      <w:pPr>
        <w:ind w:firstLine="600" w:firstLineChars="200"/>
        <w:rPr>
          <w:rFonts w:ascii="仿宋" w:hAnsi="仿宋" w:eastAsia="仿宋"/>
          <w:sz w:val="30"/>
          <w:szCs w:val="30"/>
        </w:rPr>
      </w:pPr>
      <w:r>
        <w:rPr>
          <w:rFonts w:hint="eastAsia" w:ascii="仿宋" w:hAnsi="仿宋" w:eastAsia="仿宋" w:cs="仿宋"/>
          <w:kern w:val="30"/>
          <w:sz w:val="30"/>
          <w:szCs w:val="30"/>
        </w:rPr>
        <w:t>盈江县农业农村局根据</w:t>
      </w:r>
      <w:r>
        <w:rPr>
          <w:rFonts w:hint="eastAsia" w:ascii="仿宋" w:hAnsi="仿宋" w:eastAsia="仿宋" w:cs="仿宋"/>
          <w:sz w:val="30"/>
          <w:szCs w:val="30"/>
        </w:rPr>
        <w:t>《盈江县财政局关于对2019年度部分项目开展绩效自评的通知》（盈财发〔2020〕180号）文件要求开展自评工作，但在实际工作中，未能结合项目实施方案、项目管理制度及相关工作部署设置绩效自评指标，产出指标、效果指标未能全面反映项目实施情况</w:t>
      </w:r>
      <w:r>
        <w:rPr>
          <w:rFonts w:hint="eastAsia" w:ascii="仿宋" w:hAnsi="仿宋" w:eastAsia="仿宋"/>
          <w:sz w:val="30"/>
          <w:szCs w:val="30"/>
        </w:rPr>
        <w:t>。</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2．资金管理方面</w:t>
      </w:r>
    </w:p>
    <w:p>
      <w:pPr>
        <w:ind w:firstLine="600" w:firstLineChars="200"/>
        <w:rPr>
          <w:rFonts w:ascii="仿宋" w:hAnsi="仿宋" w:eastAsia="仿宋"/>
          <w:sz w:val="30"/>
          <w:szCs w:val="30"/>
        </w:rPr>
      </w:pPr>
      <w:r>
        <w:rPr>
          <w:rFonts w:hint="eastAsia" w:ascii="仿宋" w:hAnsi="仿宋" w:eastAsia="仿宋" w:cs="仿宋"/>
          <w:kern w:val="30"/>
          <w:sz w:val="30"/>
          <w:szCs w:val="30"/>
        </w:rPr>
        <w:t>盈江县2019年高标准农田建设项目到位资金7</w:t>
      </w:r>
      <w:r>
        <w:rPr>
          <w:rFonts w:ascii="仿宋" w:hAnsi="仿宋" w:eastAsia="仿宋" w:cs="仿宋"/>
          <w:kern w:val="30"/>
          <w:sz w:val="30"/>
          <w:szCs w:val="30"/>
        </w:rPr>
        <w:t>15</w:t>
      </w:r>
      <w:r>
        <w:rPr>
          <w:rFonts w:hint="eastAsia" w:ascii="仿宋" w:hAnsi="仿宋" w:eastAsia="仿宋" w:cs="仿宋"/>
          <w:kern w:val="30"/>
          <w:sz w:val="30"/>
          <w:szCs w:val="30"/>
        </w:rPr>
        <w:t>万元，实际使用资金6</w:t>
      </w:r>
      <w:r>
        <w:rPr>
          <w:rFonts w:ascii="仿宋" w:hAnsi="仿宋" w:eastAsia="仿宋" w:cs="仿宋"/>
          <w:kern w:val="30"/>
          <w:sz w:val="30"/>
          <w:szCs w:val="30"/>
        </w:rPr>
        <w:t>60.38</w:t>
      </w:r>
      <w:r>
        <w:rPr>
          <w:rFonts w:hint="eastAsia" w:ascii="仿宋" w:hAnsi="仿宋" w:eastAsia="仿宋" w:cs="仿宋"/>
          <w:kern w:val="30"/>
          <w:sz w:val="30"/>
          <w:szCs w:val="30"/>
        </w:rPr>
        <w:t>万元，</w:t>
      </w:r>
      <w:r>
        <w:rPr>
          <w:rFonts w:hint="eastAsia" w:ascii="仿宋" w:hAnsi="仿宋" w:eastAsia="仿宋"/>
          <w:sz w:val="30"/>
          <w:szCs w:val="30"/>
        </w:rPr>
        <w:t>资金使用严格按照《中央财政专项扶贫资金管理办法》（财农〔2017〕8号）、《云南省财政专项扶贫资金管理办法》（云财农〔2017〕213号）和《盈江县人民政府办公室关于印发盈江县统筹整合使用财政涉农资金管理暂行办法的通知》（盈政办发〔2018〕92号）规定的范围列支。工程建设前期费共1</w:t>
      </w:r>
      <w:r>
        <w:rPr>
          <w:rFonts w:ascii="仿宋" w:hAnsi="仿宋" w:eastAsia="仿宋"/>
          <w:sz w:val="30"/>
          <w:szCs w:val="30"/>
        </w:rPr>
        <w:t>9.1</w:t>
      </w:r>
      <w:r>
        <w:rPr>
          <w:rFonts w:hint="eastAsia" w:ascii="仿宋" w:hAnsi="仿宋" w:eastAsia="仿宋"/>
          <w:sz w:val="30"/>
          <w:szCs w:val="30"/>
        </w:rPr>
        <w:t>万元，按规定从统筹整合中央资金中列支1%，即7</w:t>
      </w:r>
      <w:r>
        <w:rPr>
          <w:rFonts w:ascii="仿宋" w:hAnsi="仿宋" w:eastAsia="仿宋"/>
          <w:sz w:val="30"/>
          <w:szCs w:val="30"/>
        </w:rPr>
        <w:t>.15</w:t>
      </w:r>
      <w:r>
        <w:rPr>
          <w:rFonts w:hint="eastAsia" w:ascii="仿宋" w:hAnsi="仿宋" w:eastAsia="仿宋"/>
          <w:sz w:val="30"/>
          <w:szCs w:val="30"/>
        </w:rPr>
        <w:t>万元，截至评价日前期费用中尚有</w:t>
      </w:r>
      <w:r>
        <w:rPr>
          <w:rFonts w:ascii="仿宋" w:hAnsi="仿宋" w:eastAsia="仿宋"/>
          <w:sz w:val="30"/>
          <w:szCs w:val="30"/>
        </w:rPr>
        <w:t>11.95</w:t>
      </w:r>
      <w:r>
        <w:rPr>
          <w:rFonts w:hint="eastAsia" w:ascii="仿宋" w:hAnsi="仿宋" w:eastAsia="仿宋"/>
          <w:sz w:val="30"/>
          <w:szCs w:val="30"/>
        </w:rPr>
        <w:t>万因无资金来源未支付。在资金拨付过程中，存在工程款拨付无资金拨付申请书及工程进度资料，需要进一步加强管理。</w:t>
      </w:r>
    </w:p>
    <w:p>
      <w:pPr>
        <w:spacing w:line="570" w:lineRule="exact"/>
        <w:ind w:firstLine="600" w:firstLineChars="200"/>
        <w:outlineLvl w:val="1"/>
        <w:rPr>
          <w:rFonts w:ascii="楷体" w:hAnsi="楷体" w:eastAsia="楷体"/>
          <w:sz w:val="30"/>
          <w:szCs w:val="30"/>
        </w:rPr>
      </w:pPr>
      <w:bookmarkStart w:id="31" w:name="_Toc56861580"/>
      <w:r>
        <w:rPr>
          <w:rFonts w:hint="eastAsia" w:ascii="楷体" w:hAnsi="楷体" w:eastAsia="楷体"/>
          <w:sz w:val="30"/>
          <w:szCs w:val="30"/>
        </w:rPr>
        <w:t>（三）产出情况分析</w:t>
      </w:r>
      <w:bookmarkEnd w:id="31"/>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项目产出包括产出数量、产出质量、产出时效、产出成本四个方面。该项满分为</w:t>
      </w:r>
      <w:r>
        <w:rPr>
          <w:rFonts w:ascii="仿宋" w:hAnsi="仿宋" w:eastAsia="仿宋"/>
          <w:sz w:val="30"/>
          <w:szCs w:val="30"/>
        </w:rPr>
        <w:t>35分，得分31.28分，得分率89.37%。具体</w:t>
      </w:r>
      <w:r>
        <w:rPr>
          <w:rFonts w:hint="eastAsia" w:ascii="仿宋" w:hAnsi="仿宋" w:eastAsia="仿宋"/>
          <w:sz w:val="30"/>
          <w:szCs w:val="30"/>
        </w:rPr>
        <w:t>绩效</w:t>
      </w:r>
      <w:r>
        <w:rPr>
          <w:rFonts w:ascii="仿宋" w:hAnsi="仿宋" w:eastAsia="仿宋"/>
          <w:sz w:val="30"/>
          <w:szCs w:val="30"/>
        </w:rPr>
        <w:t>评价产出情况分析如下：</w:t>
      </w:r>
    </w:p>
    <w:p>
      <w:pPr>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w:t>
      </w:r>
      <w:r>
        <w:rPr>
          <w:rFonts w:hint="eastAsia" w:ascii="仿宋" w:hAnsi="仿宋" w:eastAsia="仿宋"/>
          <w:sz w:val="30"/>
          <w:szCs w:val="30"/>
        </w:rPr>
        <w:t>产出数量方面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盈江县2019年高标准农田建设项目整体工程已完工，项目实施工程内容主要分为三部分，一是灌溉与排水工程：计划建设灌排渠道</w:t>
      </w:r>
      <w:r>
        <w:rPr>
          <w:rFonts w:ascii="仿宋" w:hAnsi="仿宋" w:eastAsia="仿宋" w:cs="仿宋"/>
          <w:kern w:val="30"/>
          <w:sz w:val="30"/>
          <w:szCs w:val="30"/>
        </w:rPr>
        <w:t>12047m</w:t>
      </w:r>
      <w:r>
        <w:rPr>
          <w:rFonts w:hint="eastAsia" w:ascii="仿宋" w:hAnsi="仿宋" w:eastAsia="仿宋" w:cs="仿宋"/>
          <w:kern w:val="30"/>
          <w:sz w:val="30"/>
          <w:szCs w:val="30"/>
        </w:rPr>
        <w:t>，实际完成11830.9m，完成率98.21%；二是田间道路工程：计划修建机耕路</w:t>
      </w:r>
      <w:r>
        <w:rPr>
          <w:rFonts w:ascii="仿宋" w:hAnsi="仿宋" w:eastAsia="仿宋" w:cs="仿宋"/>
          <w:kern w:val="30"/>
          <w:sz w:val="30"/>
          <w:szCs w:val="30"/>
        </w:rPr>
        <w:t>981m</w:t>
      </w:r>
      <w:r>
        <w:rPr>
          <w:rFonts w:hint="eastAsia" w:ascii="仿宋" w:hAnsi="仿宋" w:eastAsia="仿宋" w:cs="仿宋"/>
          <w:kern w:val="30"/>
          <w:sz w:val="30"/>
          <w:szCs w:val="30"/>
        </w:rPr>
        <w:t>，实际完成</w:t>
      </w:r>
      <w:r>
        <w:rPr>
          <w:rFonts w:ascii="仿宋" w:hAnsi="仿宋" w:eastAsia="仿宋" w:cs="仿宋"/>
          <w:kern w:val="30"/>
          <w:sz w:val="30"/>
          <w:szCs w:val="30"/>
        </w:rPr>
        <w:t>1020.4m</w:t>
      </w:r>
      <w:r>
        <w:rPr>
          <w:rFonts w:hint="eastAsia" w:ascii="仿宋" w:hAnsi="仿宋" w:eastAsia="仿宋" w:cs="仿宋"/>
          <w:kern w:val="30"/>
          <w:sz w:val="30"/>
          <w:szCs w:val="30"/>
        </w:rPr>
        <w:t>，超计划完成；三是交叉建筑物工程：计划新建挡士墙40m，农桥3座、农机涵洞13座、下田道27座，实际完成农桥3座、农机涵洞9座、下田道55道、取水坝1座，除新建挡士墙40m未实施、农机涵洞未按计划完成以外，其他分项工程均超计划完成，共完成高标准农田建设面积5</w:t>
      </w:r>
      <w:r>
        <w:rPr>
          <w:rFonts w:ascii="仿宋" w:hAnsi="仿宋" w:eastAsia="仿宋" w:cs="仿宋"/>
          <w:kern w:val="30"/>
          <w:sz w:val="30"/>
          <w:szCs w:val="30"/>
        </w:rPr>
        <w:t>500</w:t>
      </w:r>
      <w:r>
        <w:rPr>
          <w:rFonts w:hint="eastAsia" w:ascii="仿宋" w:hAnsi="仿宋" w:eastAsia="仿宋" w:cs="仿宋"/>
          <w:kern w:val="30"/>
          <w:sz w:val="30"/>
          <w:szCs w:val="30"/>
        </w:rPr>
        <w:t>亩。</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2</w:t>
      </w:r>
      <w:r>
        <w:rPr>
          <w:rFonts w:ascii="仿宋" w:hAnsi="仿宋" w:eastAsia="仿宋" w:cs="仿宋"/>
          <w:kern w:val="30"/>
          <w:sz w:val="30"/>
          <w:szCs w:val="30"/>
        </w:rPr>
        <w:t>.</w:t>
      </w:r>
      <w:r>
        <w:rPr>
          <w:rFonts w:hint="eastAsia" w:ascii="仿宋" w:hAnsi="仿宋" w:eastAsia="仿宋" w:cs="仿宋"/>
          <w:kern w:val="30"/>
          <w:sz w:val="30"/>
          <w:szCs w:val="30"/>
        </w:rPr>
        <w:t>产出质量方面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通过查阅盈江县农业农村局所提供的工程质检相关资料，并进行实地查看和问卷调查，未发现重大质量问题，服务对象对工程质量的满意度为</w:t>
      </w:r>
      <w:r>
        <w:rPr>
          <w:rFonts w:ascii="仿宋" w:hAnsi="仿宋" w:eastAsia="仿宋" w:cs="仿宋"/>
          <w:kern w:val="30"/>
          <w:sz w:val="30"/>
          <w:szCs w:val="30"/>
        </w:rPr>
        <w:t>89.23%</w:t>
      </w:r>
      <w:r>
        <w:rPr>
          <w:rFonts w:hint="eastAsia" w:ascii="仿宋" w:hAnsi="仿宋" w:eastAsia="仿宋" w:cs="仿宋"/>
          <w:kern w:val="30"/>
          <w:sz w:val="30"/>
          <w:szCs w:val="30"/>
        </w:rPr>
        <w:t>。</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3</w:t>
      </w:r>
      <w:r>
        <w:rPr>
          <w:rFonts w:ascii="仿宋" w:hAnsi="仿宋" w:eastAsia="仿宋" w:cs="仿宋"/>
          <w:kern w:val="30"/>
          <w:sz w:val="30"/>
          <w:szCs w:val="30"/>
        </w:rPr>
        <w:t>.</w:t>
      </w:r>
      <w:r>
        <w:rPr>
          <w:rFonts w:hint="eastAsia" w:ascii="仿宋" w:hAnsi="仿宋" w:eastAsia="仿宋" w:cs="仿宋"/>
          <w:kern w:val="30"/>
          <w:sz w:val="30"/>
          <w:szCs w:val="30"/>
        </w:rPr>
        <w:t>产出时效方面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盈江县2019年高标准农田建设项目计划开工时间为2</w:t>
      </w:r>
      <w:r>
        <w:rPr>
          <w:rFonts w:ascii="仿宋" w:hAnsi="仿宋" w:eastAsia="仿宋" w:cs="仿宋"/>
          <w:kern w:val="30"/>
          <w:sz w:val="30"/>
          <w:szCs w:val="30"/>
        </w:rPr>
        <w:t>020</w:t>
      </w:r>
      <w:r>
        <w:rPr>
          <w:rFonts w:hint="eastAsia" w:ascii="仿宋" w:hAnsi="仿宋" w:eastAsia="仿宋" w:cs="仿宋"/>
          <w:kern w:val="30"/>
          <w:sz w:val="30"/>
          <w:szCs w:val="30"/>
        </w:rPr>
        <w:t>年</w:t>
      </w:r>
      <w:r>
        <w:rPr>
          <w:rFonts w:ascii="仿宋" w:hAnsi="仿宋" w:eastAsia="仿宋" w:cs="仿宋"/>
          <w:kern w:val="30"/>
          <w:sz w:val="30"/>
          <w:szCs w:val="30"/>
        </w:rPr>
        <w:t>2</w:t>
      </w:r>
      <w:r>
        <w:rPr>
          <w:rFonts w:hint="eastAsia" w:ascii="仿宋" w:hAnsi="仿宋" w:eastAsia="仿宋" w:cs="仿宋"/>
          <w:kern w:val="30"/>
          <w:sz w:val="30"/>
          <w:szCs w:val="30"/>
        </w:rPr>
        <w:t>月，完工时间为2</w:t>
      </w:r>
      <w:r>
        <w:rPr>
          <w:rFonts w:ascii="仿宋" w:hAnsi="仿宋" w:eastAsia="仿宋" w:cs="仿宋"/>
          <w:kern w:val="30"/>
          <w:sz w:val="30"/>
          <w:szCs w:val="30"/>
        </w:rPr>
        <w:t>020</w:t>
      </w:r>
      <w:r>
        <w:rPr>
          <w:rFonts w:hint="eastAsia" w:ascii="仿宋" w:hAnsi="仿宋" w:eastAsia="仿宋" w:cs="仿宋"/>
          <w:kern w:val="30"/>
          <w:sz w:val="30"/>
          <w:szCs w:val="30"/>
        </w:rPr>
        <w:t>年6月，实际开工时间为2</w:t>
      </w:r>
      <w:r>
        <w:rPr>
          <w:rFonts w:ascii="仿宋" w:hAnsi="仿宋" w:eastAsia="仿宋" w:cs="仿宋"/>
          <w:kern w:val="30"/>
          <w:sz w:val="30"/>
          <w:szCs w:val="30"/>
        </w:rPr>
        <w:t>020</w:t>
      </w:r>
      <w:r>
        <w:rPr>
          <w:rFonts w:hint="eastAsia" w:ascii="仿宋" w:hAnsi="仿宋" w:eastAsia="仿宋" w:cs="仿宋"/>
          <w:kern w:val="30"/>
          <w:sz w:val="30"/>
          <w:szCs w:val="30"/>
        </w:rPr>
        <w:t>年3月，完工时间为2</w:t>
      </w:r>
      <w:r>
        <w:rPr>
          <w:rFonts w:ascii="仿宋" w:hAnsi="仿宋" w:eastAsia="仿宋" w:cs="仿宋"/>
          <w:kern w:val="30"/>
          <w:sz w:val="30"/>
          <w:szCs w:val="30"/>
        </w:rPr>
        <w:t>020</w:t>
      </w:r>
      <w:r>
        <w:rPr>
          <w:rFonts w:hint="eastAsia" w:ascii="仿宋" w:hAnsi="仿宋" w:eastAsia="仿宋" w:cs="仿宋"/>
          <w:kern w:val="30"/>
          <w:sz w:val="30"/>
          <w:szCs w:val="30"/>
        </w:rPr>
        <w:t>年4月，实际完成时间小于计划完成时间，提前完成工程项目。</w:t>
      </w:r>
    </w:p>
    <w:p>
      <w:pPr>
        <w:ind w:firstLine="600" w:firstLineChars="200"/>
        <w:rPr>
          <w:rFonts w:ascii="仿宋" w:hAnsi="仿宋" w:eastAsia="仿宋"/>
          <w:sz w:val="30"/>
          <w:szCs w:val="30"/>
        </w:rPr>
      </w:pPr>
      <w:r>
        <w:rPr>
          <w:rFonts w:hint="eastAsia" w:ascii="仿宋" w:hAnsi="仿宋" w:eastAsia="仿宋" w:cs="仿宋"/>
          <w:kern w:val="30"/>
          <w:sz w:val="30"/>
          <w:szCs w:val="30"/>
        </w:rPr>
        <w:t>4．</w:t>
      </w:r>
      <w:r>
        <w:rPr>
          <w:rFonts w:hint="eastAsia" w:ascii="仿宋" w:hAnsi="仿宋" w:eastAsia="仿宋"/>
          <w:sz w:val="30"/>
          <w:szCs w:val="30"/>
        </w:rPr>
        <w:t>产出成本方面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根据《盈江县扶贫开发领导小组关于同意2019年度第6批统筹整合资金下达计划及项目实施计划的批复》（盈开组复〔2019〕8号）文件，盈江县2019年高标准农田建设项目计划投资统筹整合涉农资金7</w:t>
      </w:r>
      <w:r>
        <w:rPr>
          <w:rFonts w:ascii="仿宋" w:hAnsi="仿宋" w:eastAsia="仿宋" w:cs="仿宋"/>
          <w:kern w:val="30"/>
          <w:sz w:val="30"/>
          <w:szCs w:val="30"/>
        </w:rPr>
        <w:t>15</w:t>
      </w:r>
      <w:r>
        <w:rPr>
          <w:rFonts w:hint="eastAsia" w:ascii="仿宋" w:hAnsi="仿宋" w:eastAsia="仿宋" w:cs="仿宋"/>
          <w:kern w:val="30"/>
          <w:sz w:val="30"/>
          <w:szCs w:val="30"/>
        </w:rPr>
        <w:t>万元，实际支出660.38万元，实际支出小于计划投资。</w:t>
      </w:r>
    </w:p>
    <w:p>
      <w:pPr>
        <w:spacing w:line="570" w:lineRule="exact"/>
        <w:ind w:firstLine="600" w:firstLineChars="200"/>
        <w:outlineLvl w:val="1"/>
        <w:rPr>
          <w:rFonts w:ascii="楷体" w:hAnsi="楷体" w:eastAsia="楷体"/>
          <w:sz w:val="30"/>
          <w:szCs w:val="30"/>
        </w:rPr>
      </w:pPr>
      <w:bookmarkStart w:id="32" w:name="_Toc56861581"/>
      <w:r>
        <w:rPr>
          <w:rFonts w:hint="eastAsia" w:ascii="楷体" w:hAnsi="楷体" w:eastAsia="楷体"/>
          <w:sz w:val="30"/>
          <w:szCs w:val="30"/>
        </w:rPr>
        <w:t>（四）效果情况分析</w:t>
      </w:r>
      <w:bookmarkEnd w:id="32"/>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效果情况包括经济效益、社会效益、生态效益、可持续性影响和满意度五方面，满分为</w:t>
      </w:r>
      <w:r>
        <w:rPr>
          <w:rFonts w:ascii="仿宋" w:hAnsi="仿宋" w:eastAsia="仿宋"/>
          <w:sz w:val="30"/>
          <w:szCs w:val="30"/>
        </w:rPr>
        <w:t>30分，得分25.42分，得分率84.73%。具体</w:t>
      </w:r>
      <w:r>
        <w:rPr>
          <w:rFonts w:hint="eastAsia" w:ascii="仿宋" w:hAnsi="仿宋" w:eastAsia="仿宋"/>
          <w:sz w:val="30"/>
          <w:szCs w:val="30"/>
        </w:rPr>
        <w:t>绩效</w:t>
      </w:r>
      <w:r>
        <w:rPr>
          <w:rFonts w:ascii="仿宋" w:hAnsi="仿宋" w:eastAsia="仿宋"/>
          <w:sz w:val="30"/>
          <w:szCs w:val="30"/>
        </w:rPr>
        <w:t>评价效果情况分析如下：</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1</w:t>
      </w:r>
      <w:r>
        <w:rPr>
          <w:rFonts w:ascii="仿宋" w:hAnsi="仿宋" w:eastAsia="仿宋" w:cs="仿宋"/>
          <w:kern w:val="30"/>
          <w:sz w:val="30"/>
          <w:szCs w:val="30"/>
        </w:rPr>
        <w:t>.</w:t>
      </w:r>
      <w:r>
        <w:rPr>
          <w:rFonts w:hint="eastAsia" w:ascii="仿宋" w:hAnsi="仿宋" w:eastAsia="仿宋" w:cs="仿宋"/>
          <w:kern w:val="30"/>
          <w:sz w:val="30"/>
          <w:szCs w:val="30"/>
        </w:rPr>
        <w:t>经济效益方面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根据盈江县农业农村局所提供的资料2020年新增作物产能95.72万公斤，提高了粮食及其他农作物产量，同时也节约了种植粮食及其他农作物的成本。</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社会效益方面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田间基础设施工程项目的实施，使项目区农业基础设施得到统一规划。通过灌溉与排水工程的实施，提高了农田灌溉率，使区域内灌溉有沟，排涝有渠；通过机耕路的实施，为机械化耕作运输提供了必要条件，提高了土地综合生产能力，带动了相关产业的发展，增加农民收入，社会效益明显。</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生态效益方面</w:t>
      </w:r>
    </w:p>
    <w:p>
      <w:pPr>
        <w:autoSpaceDE w:val="0"/>
        <w:spacing w:line="560" w:lineRule="exact"/>
        <w:ind w:firstLine="600" w:firstLineChars="200"/>
        <w:rPr>
          <w:rFonts w:ascii="仿宋" w:hAnsi="仿宋" w:eastAsia="仿宋"/>
          <w:sz w:val="30"/>
          <w:szCs w:val="30"/>
        </w:rPr>
      </w:pPr>
      <w:r>
        <w:rPr>
          <w:rFonts w:ascii="仿宋" w:hAnsi="仿宋" w:eastAsia="仿宋"/>
          <w:sz w:val="30"/>
          <w:szCs w:val="30"/>
        </w:rPr>
        <w:t>通过项目实施，水资源得到充分合理利用，减少了地表径流带来的水土流失</w:t>
      </w:r>
      <w:r>
        <w:rPr>
          <w:rFonts w:hint="eastAsia" w:ascii="仿宋" w:hAnsi="仿宋" w:eastAsia="仿宋"/>
          <w:sz w:val="30"/>
          <w:szCs w:val="30"/>
        </w:rPr>
        <w:t>，同时</w:t>
      </w:r>
      <w:r>
        <w:rPr>
          <w:rFonts w:ascii="仿宋" w:hAnsi="仿宋" w:eastAsia="仿宋"/>
          <w:sz w:val="30"/>
          <w:szCs w:val="30"/>
        </w:rPr>
        <w:t>也减少了水质污染和土壤污染，进而有效地保护和改善了农业生态环境</w:t>
      </w:r>
      <w:r>
        <w:rPr>
          <w:rFonts w:hint="eastAsia" w:ascii="仿宋" w:hAnsi="仿宋" w:eastAsia="仿宋"/>
          <w:sz w:val="30"/>
          <w:szCs w:val="30"/>
        </w:rPr>
        <w:t>，美化田间生态景观</w:t>
      </w:r>
      <w:r>
        <w:rPr>
          <w:rFonts w:ascii="仿宋" w:hAnsi="仿宋" w:eastAsia="仿宋"/>
          <w:sz w:val="30"/>
          <w:szCs w:val="30"/>
        </w:rPr>
        <w:t>。</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4</w:t>
      </w:r>
      <w:r>
        <w:rPr>
          <w:rFonts w:ascii="仿宋" w:hAnsi="仿宋" w:eastAsia="仿宋"/>
          <w:sz w:val="30"/>
          <w:szCs w:val="30"/>
        </w:rPr>
        <w:t>.</w:t>
      </w:r>
      <w:r>
        <w:rPr>
          <w:rFonts w:hint="eastAsia" w:ascii="仿宋" w:hAnsi="仿宋" w:eastAsia="仿宋"/>
          <w:sz w:val="30"/>
          <w:szCs w:val="30"/>
        </w:rPr>
        <w:t>可持续性影响方面</w:t>
      </w:r>
    </w:p>
    <w:p>
      <w:pPr>
        <w:ind w:firstLine="600" w:firstLineChars="200"/>
        <w:rPr>
          <w:rFonts w:ascii="仿宋" w:hAnsi="仿宋" w:eastAsia="仿宋" w:cs="仿宋"/>
          <w:kern w:val="30"/>
          <w:sz w:val="30"/>
          <w:szCs w:val="30"/>
        </w:rPr>
      </w:pPr>
      <w:r>
        <w:rPr>
          <w:rFonts w:hint="eastAsia" w:ascii="仿宋" w:hAnsi="仿宋" w:eastAsia="仿宋" w:cs="仿宋"/>
          <w:kern w:val="30"/>
          <w:sz w:val="30"/>
          <w:szCs w:val="30"/>
        </w:rPr>
        <w:t>项目已完工投入使用，按照“谁受益、谁管护，谁使用、谁管护”的原则明确工程管护主体，落实管护责任，保证工程在设计使用期限内正常运行。但项目尚未办理移交手续。</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满意度方面</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本次评价通过问卷调查的方式对项目的实施效果进行评价，调查结果显示受益对象综合满意度为8</w:t>
      </w:r>
      <w:r>
        <w:rPr>
          <w:rFonts w:ascii="仿宋" w:hAnsi="仿宋" w:eastAsia="仿宋"/>
          <w:sz w:val="30"/>
          <w:szCs w:val="30"/>
        </w:rPr>
        <w:t>9.49%</w:t>
      </w:r>
      <w:r>
        <w:rPr>
          <w:rFonts w:hint="eastAsia" w:ascii="仿宋" w:hAnsi="仿宋" w:eastAsia="仿宋"/>
          <w:sz w:val="30"/>
          <w:szCs w:val="30"/>
        </w:rPr>
        <w:t>，受益对象对项目整体实施的效果较为满意。</w:t>
      </w: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六、存在的问题</w:t>
      </w:r>
    </w:p>
    <w:p>
      <w:pPr>
        <w:spacing w:line="579" w:lineRule="exact"/>
        <w:ind w:firstLine="600" w:firstLineChars="200"/>
        <w:outlineLvl w:val="1"/>
        <w:rPr>
          <w:rFonts w:ascii="楷体" w:hAnsi="楷体" w:eastAsia="楷体"/>
          <w:sz w:val="30"/>
          <w:szCs w:val="30"/>
        </w:rPr>
      </w:pPr>
      <w:r>
        <w:rPr>
          <w:rFonts w:hint="eastAsia" w:ascii="楷体" w:hAnsi="楷体" w:eastAsia="楷体"/>
          <w:sz w:val="30"/>
          <w:szCs w:val="30"/>
        </w:rPr>
        <w:t>（一）项目库审核有待加强，部分项目实施内容交叉重叠</w:t>
      </w:r>
    </w:p>
    <w:p>
      <w:pPr>
        <w:spacing w:line="579" w:lineRule="exact"/>
        <w:ind w:firstLine="600" w:firstLineChars="200"/>
        <w:rPr>
          <w:rFonts w:ascii="仿宋" w:hAnsi="仿宋" w:eastAsia="仿宋" w:cs="仿宋"/>
          <w:sz w:val="30"/>
          <w:szCs w:val="30"/>
        </w:rPr>
      </w:pPr>
      <w:r>
        <w:rPr>
          <w:rFonts w:hint="eastAsia" w:ascii="仿宋" w:hAnsi="仿宋" w:eastAsia="仿宋" w:cs="仿宋"/>
          <w:sz w:val="30"/>
          <w:szCs w:val="30"/>
        </w:rPr>
        <w:t>一是部分不同主体实施项目内容存在交叉重叠的情况，如：盈江县2019年高标准农田建设项目所实施的江心坡机耕路与油松岭乡人民政府实施的道路硬化项目存在重复，不利于充分发挥财政资金的使用效益。二是项目库在预算管理中的重要意义未得到充分体现，部门对项目库管理相关文件政策未深刻领会，导致执行中出现偏差，项目库项目审核有待加强。</w:t>
      </w:r>
      <w:r>
        <w:rPr>
          <w:rFonts w:hint="eastAsia" w:ascii="仿宋" w:hAnsi="仿宋" w:eastAsia="仿宋" w:cs="仿宋"/>
          <w:kern w:val="30"/>
          <w:sz w:val="30"/>
          <w:szCs w:val="30"/>
        </w:rPr>
        <w:t>根据《云南省省级项目库管理办法》（云财预〔2019〕130</w:t>
      </w:r>
      <w:r>
        <w:rPr>
          <w:rFonts w:hint="eastAsia" w:ascii="仿宋" w:hAnsi="仿宋" w:eastAsia="仿宋" w:cs="仿宋"/>
          <w:sz w:val="30"/>
          <w:szCs w:val="30"/>
        </w:rPr>
        <w:t>号）文件要求，“项目库的申报部门采取动态申报、调整，管理部门采取动态审核、评分的方式，以实现项目库补充、调整和清理的动态管理”。“项目应有可行性论证或专家评审意见、明确的目标、实施方案和预算明细测算依据，有可衡量和可获得的绩效目标”。</w:t>
      </w:r>
    </w:p>
    <w:p>
      <w:pPr>
        <w:spacing w:line="579" w:lineRule="exact"/>
        <w:ind w:firstLine="600" w:firstLineChars="200"/>
        <w:outlineLvl w:val="1"/>
        <w:rPr>
          <w:rFonts w:ascii="楷体" w:hAnsi="楷体" w:eastAsia="楷体"/>
          <w:sz w:val="30"/>
          <w:szCs w:val="30"/>
        </w:rPr>
      </w:pPr>
      <w:r>
        <w:rPr>
          <w:rFonts w:hint="eastAsia" w:ascii="楷体" w:hAnsi="楷体" w:eastAsia="楷体"/>
          <w:sz w:val="30"/>
          <w:szCs w:val="30"/>
        </w:rPr>
        <w:t>（二）绩效目标申报不够清晰、合理，绩效自评工作有待加强</w:t>
      </w:r>
    </w:p>
    <w:p>
      <w:pPr>
        <w:spacing w:line="579" w:lineRule="exact"/>
        <w:ind w:firstLine="600" w:firstLineChars="200"/>
        <w:rPr>
          <w:rFonts w:ascii="仿宋" w:hAnsi="仿宋" w:eastAsia="仿宋"/>
          <w:kern w:val="30"/>
          <w:sz w:val="30"/>
          <w:szCs w:val="30"/>
        </w:rPr>
      </w:pPr>
      <w:r>
        <w:rPr>
          <w:rFonts w:hint="eastAsia" w:ascii="仿宋" w:hAnsi="仿宋" w:eastAsia="仿宋"/>
          <w:kern w:val="30"/>
          <w:sz w:val="30"/>
          <w:szCs w:val="30"/>
        </w:rPr>
        <w:t>1.</w:t>
      </w:r>
      <w:r>
        <w:rPr>
          <w:rFonts w:hint="eastAsia" w:ascii="仿宋" w:hAnsi="仿宋" w:eastAsia="仿宋" w:cs="仿宋"/>
          <w:sz w:val="30"/>
          <w:szCs w:val="30"/>
        </w:rPr>
        <w:t xml:space="preserve"> 绩效目标设置不够完整、清晰、合理，部分指标与项目关联度不高</w:t>
      </w:r>
    </w:p>
    <w:p>
      <w:pPr>
        <w:spacing w:line="579" w:lineRule="exact"/>
        <w:ind w:firstLine="600" w:firstLineChars="200"/>
        <w:rPr>
          <w:rFonts w:ascii="仿宋" w:hAnsi="仿宋" w:eastAsia="仿宋"/>
          <w:kern w:val="30"/>
          <w:sz w:val="30"/>
          <w:szCs w:val="30"/>
        </w:rPr>
      </w:pPr>
      <w:r>
        <w:rPr>
          <w:rFonts w:hint="eastAsia" w:ascii="仿宋" w:hAnsi="仿宋" w:eastAsia="仿宋"/>
          <w:kern w:val="30"/>
          <w:sz w:val="30"/>
          <w:szCs w:val="30"/>
        </w:rPr>
        <w:t>一是部分项目绩效指标与项目实施内容关联度不高，项目实施地为平原地区，丘陵区生产道路通达率指标与实施项目内容不相关；二是部分绩效指标设置不合理，指标值无法衡量。如：生产道路通达率、耕地质量及水资源利用率等指标，指标值设置无相关统计数据支撑，与指标值有关的数据和资料无法取得；三是绩效指标设置缺乏考核项目产出关键性指标，不能全面反映项目实施情况，不利于对项目进行监督管理，无法衡量项目预期效果的实现程度。根据《中共云南省委 云南省人民政府印发的关于全面实施预算绩效管理的实施意见》（云发〔2019〕11号），绩效目标的设置要贯彻落实党中央、国务院决策部署及省委、省政府工作要求，做到指向明确、合理可行、细化量化、相应匹配。</w:t>
      </w:r>
    </w:p>
    <w:p>
      <w:pPr>
        <w:spacing w:line="579" w:lineRule="exact"/>
        <w:ind w:firstLine="600" w:firstLineChars="200"/>
        <w:jc w:val="left"/>
        <w:rPr>
          <w:rFonts w:ascii="仿宋" w:hAnsi="仿宋" w:eastAsia="仿宋" w:cs="仿宋"/>
          <w:sz w:val="30"/>
          <w:szCs w:val="30"/>
        </w:rPr>
      </w:pPr>
      <w:r>
        <w:rPr>
          <w:rFonts w:hint="eastAsia" w:ascii="仿宋" w:hAnsi="仿宋" w:eastAsia="仿宋" w:cs="仿宋"/>
          <w:sz w:val="30"/>
          <w:szCs w:val="30"/>
        </w:rPr>
        <w:t>2.绩效目标申报格式不规范，指标值无法区分</w:t>
      </w:r>
    </w:p>
    <w:p>
      <w:pPr>
        <w:spacing w:line="579" w:lineRule="exact"/>
        <w:ind w:firstLine="600" w:firstLineChars="200"/>
        <w:rPr>
          <w:rFonts w:ascii="仿宋" w:hAnsi="仿宋" w:eastAsia="仿宋"/>
          <w:kern w:val="30"/>
          <w:sz w:val="30"/>
          <w:szCs w:val="30"/>
        </w:rPr>
      </w:pPr>
      <w:r>
        <w:rPr>
          <w:rFonts w:hint="eastAsia" w:ascii="仿宋" w:hAnsi="仿宋" w:eastAsia="仿宋"/>
          <w:kern w:val="30"/>
          <w:sz w:val="30"/>
          <w:szCs w:val="30"/>
        </w:rPr>
        <w:t>一是未能根据项目实施方案及相关工作部署独立申报项目绩效目标及指标，盈江县农业农村局2019年申请项目预算时与盈江县2019年高效节水灌溉项目合并申报绩效目标；</w:t>
      </w:r>
      <w:r>
        <w:rPr>
          <w:rFonts w:hint="eastAsia" w:ascii="仿宋" w:hAnsi="仿宋" w:eastAsia="仿宋" w:cs="仿宋"/>
          <w:sz w:val="30"/>
          <w:szCs w:val="30"/>
        </w:rPr>
        <w:t>二是绩效指标值无法区分，如：带动建档立卡贫困人口脱贫数≥1</w:t>
      </w:r>
      <w:r>
        <w:rPr>
          <w:rFonts w:ascii="仿宋" w:hAnsi="仿宋" w:eastAsia="仿宋" w:cs="仿宋"/>
          <w:sz w:val="30"/>
          <w:szCs w:val="30"/>
        </w:rPr>
        <w:t>88</w:t>
      </w:r>
      <w:r>
        <w:rPr>
          <w:rFonts w:hint="eastAsia" w:ascii="仿宋" w:hAnsi="仿宋" w:eastAsia="仿宋" w:cs="仿宋"/>
          <w:sz w:val="30"/>
          <w:szCs w:val="30"/>
        </w:rPr>
        <w:t>人，无法分别确定两个项目实施后需实现的目标。</w:t>
      </w:r>
    </w:p>
    <w:p>
      <w:pPr>
        <w:spacing w:line="579" w:lineRule="exact"/>
        <w:ind w:firstLine="600" w:firstLineChars="200"/>
        <w:rPr>
          <w:rFonts w:ascii="仿宋" w:hAnsi="仿宋" w:eastAsia="仿宋"/>
          <w:kern w:val="30"/>
          <w:sz w:val="30"/>
          <w:szCs w:val="30"/>
        </w:rPr>
      </w:pPr>
      <w:r>
        <w:rPr>
          <w:rFonts w:ascii="仿宋" w:hAnsi="仿宋" w:eastAsia="仿宋"/>
          <w:kern w:val="30"/>
          <w:sz w:val="30"/>
          <w:szCs w:val="30"/>
        </w:rPr>
        <w:t>3.</w:t>
      </w:r>
      <w:r>
        <w:rPr>
          <w:rFonts w:hint="eastAsia" w:ascii="仿宋" w:hAnsi="仿宋" w:eastAsia="仿宋"/>
          <w:kern w:val="30"/>
          <w:sz w:val="30"/>
          <w:szCs w:val="30"/>
        </w:rPr>
        <w:t>绩效自评工作落实不到位</w:t>
      </w:r>
    </w:p>
    <w:p>
      <w:pPr>
        <w:spacing w:line="579" w:lineRule="exact"/>
        <w:ind w:firstLine="600" w:firstLineChars="200"/>
        <w:jc w:val="left"/>
        <w:rPr>
          <w:rFonts w:ascii="仿宋" w:hAnsi="仿宋" w:eastAsia="仿宋" w:cs="仿宋"/>
          <w:sz w:val="30"/>
          <w:szCs w:val="30"/>
        </w:rPr>
      </w:pPr>
      <w:r>
        <w:rPr>
          <w:rFonts w:hint="eastAsia" w:ascii="仿宋" w:hAnsi="仿宋" w:eastAsia="仿宋"/>
          <w:kern w:val="30"/>
          <w:sz w:val="30"/>
          <w:szCs w:val="30"/>
        </w:rPr>
        <w:t>盈江县农业农村局虽然已组织开展了绩效自评工作，但未按照《盈江县财政局关于对2019年度部分项目开展绩效自评的通知》（盈财发〔2020〕180号）文件要求撰写绩效自评报告，未能结合项目申报的绩效目标和实施方案要求设置绩效自评指标，</w:t>
      </w:r>
      <w:r>
        <w:rPr>
          <w:rFonts w:hint="eastAsia" w:ascii="仿宋" w:hAnsi="仿宋" w:eastAsia="仿宋" w:cs="仿宋"/>
          <w:sz w:val="30"/>
          <w:szCs w:val="30"/>
        </w:rPr>
        <w:t>产出指标、效果指标未能全面反映项目实施情况，项目绩效自评指标不够细化，一定程度上降低了绩效自评的可利用性，且无与自评报告相匹配的过程记录和评价数据、证明材料，相关评分无依据支撑，一定程度上降低了自评结果的可追溯性。</w:t>
      </w:r>
    </w:p>
    <w:p>
      <w:pPr>
        <w:spacing w:line="579" w:lineRule="exact"/>
        <w:ind w:firstLine="600" w:firstLineChars="200"/>
        <w:outlineLvl w:val="1"/>
        <w:rPr>
          <w:rFonts w:ascii="楷体" w:hAnsi="楷体" w:eastAsia="楷体"/>
          <w:sz w:val="30"/>
          <w:szCs w:val="30"/>
        </w:rPr>
      </w:pPr>
      <w:r>
        <w:rPr>
          <w:rFonts w:hint="eastAsia" w:ascii="楷体" w:hAnsi="楷体" w:eastAsia="楷体"/>
          <w:sz w:val="30"/>
          <w:szCs w:val="30"/>
        </w:rPr>
        <w:t>（三）项目管理不尽规范，过程管控有待加强</w:t>
      </w:r>
    </w:p>
    <w:p>
      <w:pPr>
        <w:spacing w:line="579" w:lineRule="exact"/>
        <w:ind w:firstLine="600" w:firstLineChars="200"/>
        <w:jc w:val="left"/>
        <w:rPr>
          <w:rFonts w:ascii="仿宋" w:hAnsi="仿宋" w:eastAsia="仿宋"/>
          <w:kern w:val="30"/>
          <w:sz w:val="30"/>
          <w:szCs w:val="30"/>
        </w:rPr>
      </w:pPr>
      <w:r>
        <w:rPr>
          <w:rFonts w:hint="eastAsia" w:ascii="仿宋" w:hAnsi="仿宋" w:eastAsia="仿宋"/>
          <w:kern w:val="30"/>
          <w:sz w:val="30"/>
          <w:szCs w:val="30"/>
        </w:rPr>
        <w:t>1</w:t>
      </w:r>
      <w:r>
        <w:rPr>
          <w:rFonts w:ascii="仿宋" w:hAnsi="仿宋" w:eastAsia="仿宋"/>
          <w:kern w:val="30"/>
          <w:sz w:val="30"/>
          <w:szCs w:val="30"/>
        </w:rPr>
        <w:t>.</w:t>
      </w:r>
      <w:r>
        <w:rPr>
          <w:rFonts w:hint="eastAsia" w:ascii="仿宋" w:hAnsi="仿宋" w:eastAsia="仿宋"/>
          <w:kern w:val="30"/>
          <w:sz w:val="30"/>
          <w:szCs w:val="30"/>
        </w:rPr>
        <w:t>未执行项目信息公示公告程序</w:t>
      </w:r>
    </w:p>
    <w:p>
      <w:pPr>
        <w:spacing w:line="579"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经现场评价，盈江县农业农村局均未执行公示公告程序。</w:t>
      </w:r>
      <w:r>
        <w:rPr>
          <w:rFonts w:hint="eastAsia" w:ascii="仿宋" w:hAnsi="仿宋" w:eastAsia="仿宋"/>
          <w:kern w:val="30"/>
          <w:sz w:val="30"/>
          <w:szCs w:val="30"/>
        </w:rPr>
        <w:t>根据《盈江县统筹整合使用财政涉农资金管理暂行办法》（盈政办发〔2018〕92号），</w:t>
      </w:r>
      <w:r>
        <w:rPr>
          <w:rFonts w:hint="eastAsia" w:ascii="仿宋" w:hAnsi="仿宋" w:eastAsia="仿宋" w:cs="仿宋"/>
          <w:sz w:val="30"/>
          <w:szCs w:val="30"/>
        </w:rPr>
        <w:t>统筹整合财政涉农资金项目，实施过程中应</w:t>
      </w:r>
      <w:r>
        <w:rPr>
          <w:rFonts w:hint="eastAsia" w:ascii="仿宋" w:hAnsi="仿宋" w:eastAsia="仿宋"/>
          <w:kern w:val="30"/>
          <w:sz w:val="30"/>
          <w:szCs w:val="30"/>
        </w:rPr>
        <w:t>对项目内容（项目名称、实施单位、负责人、建设内容、建设期限、投资规模……）在乡（镇）予以公示公告，接受社会监督。</w:t>
      </w:r>
      <w:r>
        <w:rPr>
          <w:rFonts w:ascii="仿宋" w:hAnsi="仿宋" w:eastAsia="仿宋" w:cs="仿宋"/>
          <w:sz w:val="30"/>
          <w:szCs w:val="30"/>
        </w:rPr>
        <w:t xml:space="preserve"> </w:t>
      </w:r>
    </w:p>
    <w:p>
      <w:pPr>
        <w:spacing w:line="579" w:lineRule="exact"/>
        <w:ind w:firstLine="600" w:firstLineChars="200"/>
        <w:rPr>
          <w:rFonts w:ascii="仿宋" w:hAnsi="仿宋" w:eastAsia="仿宋"/>
          <w:kern w:val="30"/>
          <w:sz w:val="30"/>
          <w:szCs w:val="30"/>
        </w:rPr>
      </w:pPr>
      <w:r>
        <w:rPr>
          <w:rFonts w:hint="eastAsia" w:ascii="仿宋" w:hAnsi="仿宋" w:eastAsia="仿宋"/>
          <w:kern w:val="30"/>
          <w:sz w:val="30"/>
          <w:szCs w:val="30"/>
        </w:rPr>
        <w:t>2</w:t>
      </w:r>
      <w:r>
        <w:rPr>
          <w:rFonts w:ascii="仿宋" w:hAnsi="仿宋" w:eastAsia="仿宋"/>
          <w:kern w:val="30"/>
          <w:sz w:val="30"/>
          <w:szCs w:val="30"/>
        </w:rPr>
        <w:t>.</w:t>
      </w:r>
      <w:r>
        <w:rPr>
          <w:rFonts w:hint="eastAsia" w:ascii="仿宋" w:hAnsi="仿宋" w:eastAsia="仿宋"/>
          <w:kern w:val="30"/>
          <w:sz w:val="30"/>
          <w:szCs w:val="30"/>
        </w:rPr>
        <w:t>项目程序执行不规范</w:t>
      </w:r>
    </w:p>
    <w:p>
      <w:pPr>
        <w:spacing w:line="579" w:lineRule="exact"/>
        <w:ind w:firstLine="600" w:firstLineChars="200"/>
        <w:rPr>
          <w:rFonts w:ascii="仿宋" w:hAnsi="仿宋" w:eastAsia="仿宋" w:cs="仿宋"/>
          <w:sz w:val="30"/>
          <w:szCs w:val="30"/>
        </w:rPr>
      </w:pPr>
      <w:r>
        <w:rPr>
          <w:rFonts w:hint="eastAsia" w:ascii="仿宋" w:hAnsi="仿宋" w:eastAsia="仿宋"/>
          <w:kern w:val="30"/>
          <w:sz w:val="30"/>
          <w:szCs w:val="30"/>
        </w:rPr>
        <w:t>一是项目实施方案未取得相关部门批复。根据《农田建设项目管理办法》的要求，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，盈江县农业农村局虽已编制项目实施方案并组织专家进行评审，出具评审意见，但所编制的实施方案及专家评审意见均未取得相关部门的批复；二是项目流程倒置。</w:t>
      </w:r>
      <w:r>
        <w:rPr>
          <w:rFonts w:hint="eastAsia" w:ascii="仿宋" w:hAnsi="仿宋" w:eastAsia="仿宋" w:cs="仿宋"/>
          <w:sz w:val="30"/>
          <w:szCs w:val="30"/>
        </w:rPr>
        <w:t>盈江县2019年高标准农田建设项目</w:t>
      </w:r>
      <w:r>
        <w:rPr>
          <w:rFonts w:hint="eastAsia" w:ascii="仿宋" w:hAnsi="仿宋" w:eastAsia="仿宋"/>
          <w:kern w:val="30"/>
          <w:sz w:val="30"/>
          <w:szCs w:val="30"/>
        </w:rPr>
        <w:t>于2020年4月竣工，二标段2</w:t>
      </w:r>
      <w:r>
        <w:rPr>
          <w:rFonts w:ascii="仿宋" w:hAnsi="仿宋" w:eastAsia="仿宋"/>
          <w:kern w:val="30"/>
          <w:sz w:val="30"/>
          <w:szCs w:val="30"/>
        </w:rPr>
        <w:t>020</w:t>
      </w:r>
      <w:r>
        <w:rPr>
          <w:rFonts w:hint="eastAsia" w:ascii="仿宋" w:hAnsi="仿宋" w:eastAsia="仿宋"/>
          <w:kern w:val="30"/>
          <w:sz w:val="30"/>
          <w:szCs w:val="30"/>
        </w:rPr>
        <w:t>年6月完成结算审核，</w:t>
      </w:r>
      <w:r>
        <w:rPr>
          <w:rFonts w:hint="eastAsia" w:ascii="仿宋" w:hAnsi="仿宋" w:eastAsia="仿宋" w:cs="仿宋"/>
          <w:sz w:val="30"/>
          <w:szCs w:val="30"/>
        </w:rPr>
        <w:t>截止评价日尚未执行项目完工验收程序，验收不及时。</w:t>
      </w:r>
    </w:p>
    <w:p>
      <w:pPr>
        <w:spacing w:line="579" w:lineRule="exact"/>
        <w:ind w:firstLine="600" w:firstLineChars="200"/>
        <w:jc w:val="left"/>
        <w:rPr>
          <w:rFonts w:ascii="仿宋" w:hAnsi="仿宋" w:eastAsia="仿宋" w:cs="仿宋"/>
          <w:sz w:val="30"/>
          <w:szCs w:val="30"/>
        </w:rPr>
      </w:pPr>
      <w:r>
        <w:rPr>
          <w:rFonts w:hint="eastAsia" w:ascii="仿宋" w:hAnsi="仿宋" w:eastAsia="仿宋" w:cs="仿宋"/>
          <w:sz w:val="30"/>
          <w:szCs w:val="30"/>
        </w:rPr>
        <w:t>3</w:t>
      </w:r>
      <w:r>
        <w:rPr>
          <w:rFonts w:ascii="仿宋" w:hAnsi="仿宋" w:eastAsia="仿宋" w:cs="仿宋"/>
          <w:sz w:val="30"/>
          <w:szCs w:val="30"/>
        </w:rPr>
        <w:t>.</w:t>
      </w:r>
      <w:r>
        <w:rPr>
          <w:rFonts w:hint="eastAsia" w:ascii="仿宋" w:hAnsi="仿宋" w:eastAsia="仿宋" w:cs="仿宋"/>
          <w:sz w:val="30"/>
          <w:szCs w:val="30"/>
        </w:rPr>
        <w:t>项目计划内容存在优化或变更，但无相关变更或报批资料</w:t>
      </w:r>
    </w:p>
    <w:p>
      <w:pPr>
        <w:spacing w:line="579"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盈江县2019年高标准农田建设项目</w:t>
      </w:r>
      <w:r>
        <w:rPr>
          <w:rFonts w:hint="eastAsia" w:ascii="仿宋" w:hAnsi="仿宋" w:eastAsia="仿宋"/>
          <w:kern w:val="30"/>
          <w:sz w:val="30"/>
          <w:szCs w:val="30"/>
        </w:rPr>
        <w:t>在实施过程中，根据实际需求，对项目计划内容进行优化或变更，</w:t>
      </w:r>
      <w:r>
        <w:rPr>
          <w:rFonts w:hint="eastAsia" w:ascii="仿宋" w:hAnsi="仿宋" w:eastAsia="仿宋" w:cs="仿宋"/>
          <w:sz w:val="30"/>
          <w:szCs w:val="30"/>
        </w:rPr>
        <w:t>具体优化或变更情况如下表：</w:t>
      </w:r>
    </w:p>
    <w:p>
      <w:pPr>
        <w:ind w:firstLine="480" w:firstLineChars="200"/>
        <w:jc w:val="center"/>
        <w:rPr>
          <w:rFonts w:ascii="黑体" w:hAnsi="黑体" w:eastAsia="黑体" w:cs="宋体"/>
          <w:bCs/>
          <w:sz w:val="24"/>
        </w:rPr>
      </w:pPr>
      <w:r>
        <w:rPr>
          <w:rFonts w:hint="eastAsia" w:ascii="黑体" w:hAnsi="黑体" w:eastAsia="黑体" w:cs="宋体"/>
          <w:bCs/>
          <w:sz w:val="24"/>
        </w:rPr>
        <w:t>表5：项目内容优化变更情况表</w:t>
      </w:r>
      <w:r>
        <w:rPr>
          <w:rFonts w:ascii="黑体" w:hAnsi="黑体" w:eastAsia="黑体" w:cs="宋体"/>
          <w:bCs/>
          <w:sz w:val="24"/>
        </w:rPr>
        <w:t xml:space="preserve"> </w:t>
      </w:r>
    </w:p>
    <w:tbl>
      <w:tblPr>
        <w:tblStyle w:val="6"/>
        <w:tblW w:w="8217" w:type="dxa"/>
        <w:tblInd w:w="113" w:type="dxa"/>
        <w:tblLayout w:type="fixed"/>
        <w:tblCellMar>
          <w:top w:w="0" w:type="dxa"/>
          <w:left w:w="108" w:type="dxa"/>
          <w:bottom w:w="0" w:type="dxa"/>
          <w:right w:w="108" w:type="dxa"/>
        </w:tblCellMar>
      </w:tblPr>
      <w:tblGrid>
        <w:gridCol w:w="1129"/>
        <w:gridCol w:w="3119"/>
        <w:gridCol w:w="3969"/>
      </w:tblGrid>
      <w:tr>
        <w:tblPrEx>
          <w:tblCellMar>
            <w:top w:w="0" w:type="dxa"/>
            <w:left w:w="108" w:type="dxa"/>
            <w:bottom w:w="0" w:type="dxa"/>
            <w:right w:w="108" w:type="dxa"/>
          </w:tblCellMar>
        </w:tblPrEx>
        <w:trPr>
          <w:trHeight w:val="680"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项目名称</w:t>
            </w:r>
          </w:p>
        </w:tc>
        <w:tc>
          <w:tcPr>
            <w:tcW w:w="311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计划建设内容</w:t>
            </w:r>
          </w:p>
        </w:tc>
        <w:tc>
          <w:tcPr>
            <w:tcW w:w="39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kern w:val="0"/>
                <w:sz w:val="20"/>
                <w:szCs w:val="20"/>
              </w:rPr>
            </w:pPr>
            <w:r>
              <w:rPr>
                <w:rFonts w:hint="eastAsia" w:ascii="仿宋" w:hAnsi="仿宋" w:eastAsia="仿宋" w:cs="宋体"/>
                <w:b/>
                <w:bCs/>
                <w:kern w:val="0"/>
                <w:sz w:val="20"/>
                <w:szCs w:val="20"/>
              </w:rPr>
              <w:t>实际建设内容</w:t>
            </w:r>
          </w:p>
        </w:tc>
      </w:tr>
      <w:tr>
        <w:tblPrEx>
          <w:tblCellMar>
            <w:top w:w="0" w:type="dxa"/>
            <w:left w:w="108" w:type="dxa"/>
            <w:bottom w:w="0" w:type="dxa"/>
            <w:right w:w="108" w:type="dxa"/>
          </w:tblCellMar>
        </w:tblPrEx>
        <w:trPr>
          <w:trHeight w:val="840" w:hRule="atLeast"/>
        </w:trPr>
        <w:tc>
          <w:tcPr>
            <w:tcW w:w="112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盈江县</w:t>
            </w:r>
            <w:r>
              <w:rPr>
                <w:rFonts w:ascii="仿宋" w:hAnsi="仿宋" w:eastAsia="仿宋" w:cs="宋体"/>
                <w:color w:val="000000"/>
                <w:kern w:val="0"/>
                <w:sz w:val="20"/>
                <w:szCs w:val="20"/>
              </w:rPr>
              <w:t>2019年高标准农田建设项目</w:t>
            </w:r>
          </w:p>
        </w:tc>
        <w:tc>
          <w:tcPr>
            <w:tcW w:w="311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ascii="仿宋" w:hAnsi="仿宋" w:eastAsia="仿宋" w:cs="宋体"/>
                <w:color w:val="000000"/>
                <w:kern w:val="0"/>
                <w:sz w:val="20"/>
                <w:szCs w:val="20"/>
              </w:rPr>
              <w:t>1．灌溉与排水工程33条，全长12047m；</w:t>
            </w:r>
            <w:r>
              <w:rPr>
                <w:rFonts w:ascii="仿宋" w:hAnsi="仿宋" w:eastAsia="仿宋" w:cs="宋体"/>
                <w:color w:val="000000"/>
                <w:kern w:val="0"/>
                <w:sz w:val="20"/>
                <w:szCs w:val="20"/>
              </w:rPr>
              <w:br w:type="textWrapping"/>
            </w:r>
            <w:r>
              <w:rPr>
                <w:rFonts w:ascii="仿宋" w:hAnsi="仿宋" w:eastAsia="仿宋" w:cs="宋体"/>
                <w:color w:val="000000"/>
                <w:kern w:val="0"/>
                <w:sz w:val="20"/>
                <w:szCs w:val="20"/>
              </w:rPr>
              <w:t>2.田间道路工程4条，全长981m；</w:t>
            </w:r>
            <w:r>
              <w:rPr>
                <w:rFonts w:ascii="仿宋" w:hAnsi="仿宋" w:eastAsia="仿宋" w:cs="宋体"/>
                <w:color w:val="000000"/>
                <w:kern w:val="0"/>
                <w:sz w:val="20"/>
                <w:szCs w:val="20"/>
              </w:rPr>
              <w:br w:type="textWrapping"/>
            </w:r>
            <w:r>
              <w:rPr>
                <w:rFonts w:ascii="仿宋" w:hAnsi="仿宋" w:eastAsia="仿宋" w:cs="宋体"/>
                <w:color w:val="000000"/>
                <w:kern w:val="0"/>
                <w:sz w:val="20"/>
                <w:szCs w:val="20"/>
              </w:rPr>
              <w:t>3.</w:t>
            </w:r>
            <w:r>
              <w:rPr>
                <w:rFonts w:hint="eastAsia" w:ascii="仿宋" w:hAnsi="仿宋" w:eastAsia="仿宋" w:cs="宋体"/>
                <w:color w:val="000000"/>
                <w:kern w:val="0"/>
                <w:sz w:val="20"/>
                <w:szCs w:val="20"/>
              </w:rPr>
              <w:t>交叉建筑物：新建挡士墙</w:t>
            </w:r>
            <w:r>
              <w:rPr>
                <w:rFonts w:ascii="仿宋" w:hAnsi="仿宋" w:eastAsia="仿宋" w:cs="宋体"/>
                <w:color w:val="000000"/>
                <w:kern w:val="0"/>
                <w:sz w:val="20"/>
                <w:szCs w:val="20"/>
              </w:rPr>
              <w:t>40m，新建农桥3座，新建农机涵洞13座，新建下田道27座。</w:t>
            </w:r>
          </w:p>
        </w:tc>
        <w:tc>
          <w:tcPr>
            <w:tcW w:w="396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ascii="仿宋" w:hAnsi="仿宋" w:eastAsia="仿宋" w:cs="宋体"/>
                <w:color w:val="000000"/>
                <w:kern w:val="0"/>
                <w:sz w:val="20"/>
                <w:szCs w:val="20"/>
              </w:rPr>
              <w:t>1.灌排渠道33条，全长11830.9m，其中一标段16条长4519.9m，二标段13条长4748m，三标段4条长2563m；</w:t>
            </w:r>
            <w:r>
              <w:rPr>
                <w:rFonts w:ascii="仿宋" w:hAnsi="仿宋" w:eastAsia="仿宋" w:cs="宋体"/>
                <w:color w:val="000000"/>
                <w:kern w:val="0"/>
                <w:sz w:val="20"/>
                <w:szCs w:val="20"/>
              </w:rPr>
              <w:br w:type="textWrapping"/>
            </w:r>
            <w:r>
              <w:rPr>
                <w:rFonts w:ascii="仿宋" w:hAnsi="仿宋" w:eastAsia="仿宋" w:cs="宋体"/>
                <w:color w:val="000000"/>
                <w:kern w:val="0"/>
                <w:sz w:val="20"/>
                <w:szCs w:val="20"/>
              </w:rPr>
              <w:t>2.机耕路5条，全长1020.4m，其中一标段4条长687.8m，三标段1条长332.6m；</w:t>
            </w:r>
            <w:r>
              <w:rPr>
                <w:rFonts w:ascii="仿宋" w:hAnsi="仿宋" w:eastAsia="仿宋" w:cs="宋体"/>
                <w:color w:val="000000"/>
                <w:kern w:val="0"/>
                <w:sz w:val="20"/>
                <w:szCs w:val="20"/>
              </w:rPr>
              <w:br w:type="textWrapping"/>
            </w:r>
            <w:r>
              <w:rPr>
                <w:rFonts w:ascii="仿宋" w:hAnsi="仿宋" w:eastAsia="仿宋" w:cs="宋体"/>
                <w:color w:val="000000"/>
                <w:kern w:val="0"/>
                <w:sz w:val="20"/>
                <w:szCs w:val="20"/>
              </w:rPr>
              <w:t>3.交叉建筑物68座，其中农桥3座，农机涵洞9座，下田道55道，取水坝1座。</w:t>
            </w:r>
          </w:p>
        </w:tc>
      </w:tr>
      <w:tr>
        <w:tblPrEx>
          <w:tblCellMar>
            <w:top w:w="0" w:type="dxa"/>
            <w:left w:w="108" w:type="dxa"/>
            <w:bottom w:w="0" w:type="dxa"/>
            <w:right w:w="108" w:type="dxa"/>
          </w:tblCellMar>
        </w:tblPrEx>
        <w:trPr>
          <w:trHeight w:val="840" w:hRule="atLeast"/>
        </w:trPr>
        <w:tc>
          <w:tcPr>
            <w:tcW w:w="112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11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96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r>
      <w:tr>
        <w:tblPrEx>
          <w:tblCellMar>
            <w:top w:w="0" w:type="dxa"/>
            <w:left w:w="108" w:type="dxa"/>
            <w:bottom w:w="0" w:type="dxa"/>
            <w:right w:w="108" w:type="dxa"/>
          </w:tblCellMar>
        </w:tblPrEx>
        <w:trPr>
          <w:trHeight w:val="840" w:hRule="atLeast"/>
        </w:trPr>
        <w:tc>
          <w:tcPr>
            <w:tcW w:w="112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11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396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20"/>
                <w:szCs w:val="20"/>
              </w:rPr>
            </w:pPr>
          </w:p>
        </w:tc>
      </w:tr>
    </w:tbl>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rPr>
        <w:t>（四）资金拨付依据不足，财务管理工作有待提高</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盈江县2019年高标准农田建设项目工程款支付均无监理、施工方确认的工程款拨付申请书及相关进度资料。如：2020年3月2号凭证，付云南盈汇建筑工程有限公司2019年高标准农田建设项目工程款（三标段）86.00万元；2020年4月8号凭证，付云南东振建设有限公司2019年高标准农田建设项目工程款（一标段）190.37万元，拨付工程款仅附单位费用汇总报销单、客户收付款入账单、增值税发票、中标通知书、施工合同。</w:t>
      </w:r>
    </w:p>
    <w:p>
      <w:pPr>
        <w:spacing w:line="560" w:lineRule="exact"/>
        <w:ind w:firstLine="600" w:firstLineChars="200"/>
        <w:jc w:val="left"/>
        <w:rPr>
          <w:rFonts w:ascii="仿宋" w:hAnsi="仿宋" w:eastAsia="仿宋" w:cs="仿宋"/>
          <w:sz w:val="30"/>
          <w:szCs w:val="30"/>
        </w:rPr>
      </w:pPr>
    </w:p>
    <w:p>
      <w:pPr>
        <w:spacing w:line="579" w:lineRule="exact"/>
        <w:ind w:firstLine="600" w:firstLineChars="200"/>
        <w:outlineLvl w:val="0"/>
        <w:rPr>
          <w:rFonts w:ascii="黑体" w:hAnsi="黑体" w:eastAsia="黑体" w:cs="宋体"/>
          <w:kern w:val="30"/>
          <w:sz w:val="30"/>
          <w:szCs w:val="30"/>
        </w:rPr>
      </w:pPr>
      <w:r>
        <w:rPr>
          <w:rFonts w:hint="eastAsia" w:ascii="黑体" w:hAnsi="黑体" w:eastAsia="黑体" w:cs="宋体"/>
          <w:kern w:val="30"/>
          <w:sz w:val="30"/>
          <w:szCs w:val="30"/>
        </w:rPr>
        <w:t>七、建议</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rPr>
        <w:t>（一）加强项目库审核，提高资金使用绩效</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严格按照《云南省省级项目库管理办法》，规范财政资金项目管理，对纳入项目库的项目，做到项目内容真实、准确、完整、不重叠。项目库的申报部门采取动态申报、调整，管理部门采取动态审核、评分的方式，对项目库中项目内容存在重叠且已安排预算资金的，应根据项目情况及时调整，以实现项目库补充、调整和清理的动态管理，优化资源配置，提高资金使用绩效，同时确保资金安全、规范使用。</w:t>
      </w:r>
    </w:p>
    <w:p>
      <w:pPr>
        <w:spacing w:line="570" w:lineRule="exact"/>
        <w:ind w:firstLine="600" w:firstLineChars="200"/>
        <w:outlineLvl w:val="1"/>
        <w:rPr>
          <w:rFonts w:ascii="楷体" w:hAnsi="楷体" w:eastAsia="楷体"/>
          <w:sz w:val="30"/>
          <w:szCs w:val="30"/>
        </w:rPr>
      </w:pPr>
      <w:r>
        <w:rPr>
          <w:rFonts w:ascii="楷体" w:hAnsi="楷体" w:eastAsia="楷体"/>
          <w:sz w:val="30"/>
          <w:szCs w:val="30"/>
        </w:rPr>
        <w:t>（</w:t>
      </w:r>
      <w:r>
        <w:rPr>
          <w:rFonts w:hint="eastAsia" w:ascii="楷体" w:hAnsi="楷体" w:eastAsia="楷体"/>
          <w:sz w:val="30"/>
          <w:szCs w:val="30"/>
        </w:rPr>
        <w:t>二</w:t>
      </w:r>
      <w:r>
        <w:rPr>
          <w:rFonts w:ascii="楷体" w:hAnsi="楷体" w:eastAsia="楷体"/>
          <w:sz w:val="30"/>
          <w:szCs w:val="30"/>
        </w:rPr>
        <w:t>）严格落实全面预算绩效管理，提升预算绩效管理水平</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1.规范项目绩效目标申报，加强预算绩效管理</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建议主管部门规范项目绩效目标申报，提高项目预算申报工作的完整性，进一步强化预算支出的责任和效率，提高财政资金使用绩效。严格按照《中共云南省委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的申报项目绩效目标及绩效指标，使项目、资金、绩效高度统一，确保财政资源高效配置。</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2.落实绩效管理制度，提升绩效自评质量</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证明材料等，并与相应的评价指标对应，使绩效自评过程和结果可追溯。</w:t>
      </w:r>
    </w:p>
    <w:p>
      <w:pPr>
        <w:spacing w:line="570" w:lineRule="exact"/>
        <w:ind w:firstLine="600" w:firstLineChars="200"/>
        <w:outlineLvl w:val="1"/>
        <w:rPr>
          <w:rFonts w:ascii="楷体" w:hAnsi="楷体" w:eastAsia="楷体"/>
          <w:sz w:val="30"/>
          <w:szCs w:val="30"/>
        </w:rPr>
      </w:pPr>
      <w:r>
        <w:rPr>
          <w:rFonts w:ascii="楷体" w:hAnsi="楷体" w:eastAsia="楷体"/>
          <w:sz w:val="30"/>
          <w:szCs w:val="30"/>
        </w:rPr>
        <w:t>（</w:t>
      </w:r>
      <w:r>
        <w:rPr>
          <w:rFonts w:hint="eastAsia" w:ascii="楷体" w:hAnsi="楷体" w:eastAsia="楷体"/>
          <w:sz w:val="30"/>
          <w:szCs w:val="30"/>
        </w:rPr>
        <w:t>三</w:t>
      </w:r>
      <w:r>
        <w:rPr>
          <w:rFonts w:ascii="楷体" w:hAnsi="楷体" w:eastAsia="楷体"/>
          <w:sz w:val="30"/>
          <w:szCs w:val="30"/>
        </w:rPr>
        <w:t>）</w:t>
      </w:r>
      <w:r>
        <w:rPr>
          <w:rFonts w:hint="eastAsia" w:ascii="楷体" w:hAnsi="楷体" w:eastAsia="楷体"/>
          <w:sz w:val="30"/>
          <w:szCs w:val="30"/>
        </w:rPr>
        <w:t>加强项目管理，严格执行项目、资金管理办法</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1</w:t>
      </w:r>
      <w:r>
        <w:rPr>
          <w:rFonts w:ascii="仿宋" w:hAnsi="仿宋" w:eastAsia="仿宋"/>
          <w:kern w:val="30"/>
          <w:sz w:val="30"/>
          <w:szCs w:val="30"/>
        </w:rPr>
        <w:t>.</w:t>
      </w:r>
      <w:r>
        <w:rPr>
          <w:rFonts w:hint="eastAsia" w:ascii="仿宋" w:hAnsi="仿宋" w:eastAsia="仿宋"/>
          <w:kern w:val="30"/>
          <w:sz w:val="30"/>
          <w:szCs w:val="30"/>
        </w:rPr>
        <w:t>加强统筹整合财政涉农资金项目公示公告工作，接受社会监督</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w:t>
      </w:r>
      <w:r>
        <w:rPr>
          <w:rFonts w:ascii="仿宋" w:hAnsi="仿宋" w:eastAsia="仿宋"/>
          <w:kern w:val="30"/>
          <w:sz w:val="30"/>
          <w:szCs w:val="30"/>
        </w:rPr>
        <w:t>的相关要求</w:t>
      </w:r>
      <w:r>
        <w:rPr>
          <w:rFonts w:hint="eastAsia" w:ascii="仿宋" w:hAnsi="仿宋" w:eastAsia="仿宋"/>
          <w:kern w:val="30"/>
          <w:sz w:val="30"/>
          <w:szCs w:val="30"/>
        </w:rPr>
        <w:t>，按照谁使用、谁公开的原则，对统筹财政涉农整合资金项目实行公告公示制度，在项目实施过程中，对项目的实施内容（项目名称、实施单位、负责人、建设内容、建设期限、投资规模……）在乡（镇）予以公示公告，接受社会监督，充分保障群众知情权、参与权、表达权和监督权。</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2．规范项目执行程序，项目完工后及时执行验收程序</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严格按照《农田建设项目管理办法》管理办法的相关要求，</w:t>
      </w:r>
      <w:r>
        <w:rPr>
          <w:rFonts w:ascii="仿宋" w:hAnsi="仿宋" w:eastAsia="仿宋"/>
          <w:kern w:val="30"/>
          <w:sz w:val="30"/>
          <w:szCs w:val="30"/>
        </w:rPr>
        <w:t>遵循规划编制、前期准备、申报审批、计划管理、组织实施、竣工验收、监督评价等管理程序</w:t>
      </w:r>
      <w:r>
        <w:rPr>
          <w:rFonts w:hint="eastAsia" w:ascii="仿宋" w:hAnsi="仿宋" w:eastAsia="仿宋"/>
          <w:kern w:val="30"/>
          <w:sz w:val="30"/>
          <w:szCs w:val="30"/>
        </w:rPr>
        <w:t>，对已完工项目及时组织验收并进行结算审核。</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3</w:t>
      </w:r>
      <w:r>
        <w:rPr>
          <w:rFonts w:ascii="仿宋" w:hAnsi="仿宋" w:eastAsia="仿宋"/>
          <w:kern w:val="30"/>
          <w:sz w:val="30"/>
          <w:szCs w:val="30"/>
        </w:rPr>
        <w:t>.</w:t>
      </w:r>
      <w:r>
        <w:rPr>
          <w:rFonts w:hint="eastAsia" w:ascii="仿宋" w:hAnsi="仿宋" w:eastAsia="仿宋"/>
          <w:kern w:val="30"/>
          <w:sz w:val="30"/>
          <w:szCs w:val="30"/>
        </w:rPr>
        <w:t>规范记录优化或变更资料，确保项目实施程序合规</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建议项目建设单位根据</w:t>
      </w:r>
      <w:r>
        <w:rPr>
          <w:rFonts w:ascii="仿宋" w:hAnsi="仿宋" w:eastAsia="仿宋"/>
          <w:kern w:val="30"/>
          <w:sz w:val="30"/>
          <w:szCs w:val="30"/>
        </w:rPr>
        <w:t>《盈江县人民政府办公室关于印发盈江县统筹整合使用财政涉农资金管理暂行办法的通知》（盈政办发〔2018〕92号）</w:t>
      </w:r>
      <w:r>
        <w:rPr>
          <w:rFonts w:hint="eastAsia" w:ascii="仿宋" w:hAnsi="仿宋" w:eastAsia="仿宋"/>
          <w:kern w:val="30"/>
          <w:sz w:val="30"/>
          <w:szCs w:val="30"/>
        </w:rPr>
        <w:t>管理办法的相关要求，对经过批复的项目，任何单位和个人不得擅自调整、变更项目建设内容，确需变更的，项目实施单位应做好项目优化或变更资料，按规定程序履行报批手续。</w:t>
      </w:r>
    </w:p>
    <w:p>
      <w:pPr>
        <w:spacing w:line="570" w:lineRule="exact"/>
        <w:ind w:firstLine="600" w:firstLineChars="200"/>
        <w:outlineLvl w:val="1"/>
        <w:rPr>
          <w:rFonts w:ascii="楷体" w:hAnsi="楷体" w:eastAsia="楷体"/>
          <w:sz w:val="30"/>
          <w:szCs w:val="30"/>
        </w:rPr>
      </w:pPr>
      <w:r>
        <w:rPr>
          <w:rFonts w:hint="eastAsia" w:ascii="楷体" w:hAnsi="楷体" w:eastAsia="楷体"/>
          <w:sz w:val="30"/>
          <w:szCs w:val="30"/>
        </w:rPr>
        <w:t>（四）强化资金支出审批，规范原始凭证管理，加强财务管理工作</w:t>
      </w:r>
    </w:p>
    <w:p>
      <w:pPr>
        <w:spacing w:line="560" w:lineRule="exact"/>
        <w:ind w:firstLine="600" w:firstLineChars="200"/>
        <w:rPr>
          <w:rFonts w:ascii="仿宋" w:hAnsi="仿宋" w:eastAsia="仿宋"/>
          <w:kern w:val="30"/>
          <w:sz w:val="30"/>
          <w:szCs w:val="30"/>
        </w:rPr>
      </w:pPr>
      <w:r>
        <w:rPr>
          <w:rFonts w:hint="eastAsia" w:ascii="仿宋" w:hAnsi="仿宋" w:eastAsia="仿宋"/>
          <w:kern w:val="30"/>
          <w:sz w:val="30"/>
          <w:szCs w:val="30"/>
        </w:rPr>
        <w:t>建议项目实施部门严格统筹整合财政涉农资金支付审批程序，加强统筹整合财政涉农资金的支付及财务管理。坚持财务管理与项目管理相结合，根据项目实施情况，按照相关制度和合同规定要求收款方对应提供原始凭证，如实反映项目进展情况，避免财务管理与项目管理脱节，让资金支付进度与项目进度、工程质量等有效衔接。</w:t>
      </w:r>
    </w:p>
    <w:p>
      <w:pPr>
        <w:spacing w:line="570" w:lineRule="exact"/>
        <w:ind w:firstLine="600" w:firstLineChars="200"/>
        <w:rPr>
          <w:rFonts w:ascii="仿宋" w:hAnsi="仿宋" w:eastAsia="仿宋"/>
          <w:sz w:val="30"/>
          <w:szCs w:val="30"/>
        </w:rPr>
      </w:pPr>
      <w:r>
        <w:rPr>
          <w:rFonts w:hint="eastAsia" w:ascii="仿宋" w:hAnsi="仿宋" w:eastAsia="仿宋" w:cs="仿宋"/>
          <w:sz w:val="30"/>
          <w:szCs w:val="30"/>
        </w:rPr>
        <w:t>附件：</w:t>
      </w:r>
      <w:r>
        <w:rPr>
          <w:rFonts w:ascii="仿宋" w:hAnsi="仿宋" w:eastAsia="仿宋"/>
          <w:sz w:val="30"/>
          <w:szCs w:val="30"/>
        </w:rPr>
        <w:t>1.</w:t>
      </w:r>
      <w:bookmarkStart w:id="33" w:name="_Hlk527019547"/>
      <w:r>
        <w:rPr>
          <w:rFonts w:hint="eastAsia" w:ascii="仿宋" w:hAnsi="仿宋" w:eastAsia="仿宋"/>
          <w:sz w:val="30"/>
          <w:szCs w:val="30"/>
        </w:rPr>
        <w:t>绩效评价指标体系及评分表</w:t>
      </w:r>
      <w:bookmarkEnd w:id="33"/>
    </w:p>
    <w:p>
      <w:pPr>
        <w:spacing w:line="570" w:lineRule="exact"/>
        <w:ind w:left="1155" w:leftChars="550" w:firstLine="300" w:firstLineChars="100"/>
        <w:rPr>
          <w:rFonts w:ascii="仿宋" w:hAnsi="仿宋" w:eastAsia="仿宋"/>
          <w:sz w:val="30"/>
          <w:szCs w:val="30"/>
        </w:rPr>
      </w:pPr>
      <w:r>
        <w:rPr>
          <w:rFonts w:ascii="仿宋" w:hAnsi="仿宋" w:eastAsia="仿宋"/>
          <w:sz w:val="30"/>
          <w:szCs w:val="30"/>
        </w:rPr>
        <w:t>2.</w:t>
      </w:r>
      <w:bookmarkStart w:id="34" w:name="_Hlk527019566"/>
      <w:r>
        <w:rPr>
          <w:rFonts w:hint="eastAsia" w:ascii="仿宋" w:hAnsi="仿宋" w:eastAsia="仿宋"/>
          <w:sz w:val="30"/>
          <w:szCs w:val="30"/>
        </w:rPr>
        <w:t>项目资金到位及使用情况表</w:t>
      </w:r>
      <w:bookmarkEnd w:id="34"/>
    </w:p>
    <w:p>
      <w:pPr>
        <w:spacing w:line="570" w:lineRule="exact"/>
        <w:ind w:left="1155" w:leftChars="550" w:firstLine="300" w:firstLineChars="1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w:t>
      </w:r>
      <w:r>
        <w:rPr>
          <w:rFonts w:hint="eastAsia" w:ascii="仿宋" w:hAnsi="仿宋" w:eastAsia="仿宋"/>
          <w:sz w:val="30"/>
          <w:szCs w:val="30"/>
        </w:rPr>
        <w:t>项目完成情况表</w:t>
      </w:r>
    </w:p>
    <w:p>
      <w:pPr>
        <w:spacing w:line="570" w:lineRule="exact"/>
        <w:ind w:left="1155" w:leftChars="550" w:firstLine="300" w:firstLineChars="100"/>
        <w:rPr>
          <w:rFonts w:ascii="仿宋" w:hAnsi="仿宋" w:eastAsia="仿宋"/>
          <w:sz w:val="30"/>
          <w:szCs w:val="30"/>
        </w:rPr>
      </w:pPr>
      <w:r>
        <w:rPr>
          <w:rFonts w:ascii="仿宋" w:hAnsi="仿宋" w:eastAsia="仿宋"/>
          <w:sz w:val="30"/>
          <w:szCs w:val="30"/>
        </w:rPr>
        <w:t>4.</w:t>
      </w:r>
      <w:bookmarkStart w:id="35" w:name="_Hlk527019673"/>
      <w:r>
        <w:rPr>
          <w:rFonts w:hint="eastAsia" w:ascii="仿宋" w:hAnsi="仿宋" w:eastAsia="仿宋"/>
          <w:sz w:val="30"/>
          <w:szCs w:val="30"/>
        </w:rPr>
        <w:t>调查问卷结果汇总表</w:t>
      </w:r>
      <w:bookmarkEnd w:id="35"/>
    </w:p>
    <w:p>
      <w:pPr>
        <w:spacing w:line="570" w:lineRule="exact"/>
        <w:ind w:left="1155" w:leftChars="550" w:firstLine="300" w:firstLineChars="1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受益情况统计表</w:t>
      </w:r>
    </w:p>
    <w:p>
      <w:pPr>
        <w:spacing w:line="570" w:lineRule="exact"/>
        <w:ind w:firstLine="1500" w:firstLineChars="500"/>
        <w:rPr>
          <w:rFonts w:ascii="仿宋" w:hAnsi="仿宋" w:eastAsia="仿宋"/>
          <w:sz w:val="30"/>
          <w:szCs w:val="30"/>
        </w:rPr>
      </w:pPr>
      <w:r>
        <w:rPr>
          <w:rFonts w:ascii="仿宋" w:hAnsi="仿宋" w:eastAsia="仿宋"/>
          <w:sz w:val="30"/>
          <w:szCs w:val="30"/>
        </w:rPr>
        <w:t>6.</w:t>
      </w:r>
      <w:bookmarkStart w:id="36" w:name="_Hlk527020943"/>
      <w:bookmarkStart w:id="37" w:name="_Hlk527019729"/>
      <w:r>
        <w:rPr>
          <w:rFonts w:hint="eastAsia" w:ascii="仿宋" w:hAnsi="仿宋" w:eastAsia="仿宋"/>
          <w:sz w:val="30"/>
          <w:szCs w:val="30"/>
        </w:rPr>
        <w:t>绩效自评报告</w:t>
      </w:r>
      <w:bookmarkEnd w:id="36"/>
    </w:p>
    <w:p>
      <w:pPr>
        <w:spacing w:line="570" w:lineRule="exact"/>
        <w:ind w:firstLine="1500" w:firstLineChars="500"/>
        <w:rPr>
          <w:rFonts w:ascii="仿宋" w:hAnsi="仿宋" w:eastAsia="仿宋"/>
          <w:sz w:val="30"/>
          <w:szCs w:val="30"/>
        </w:rPr>
      </w:pPr>
      <w:r>
        <w:rPr>
          <w:rFonts w:hint="eastAsia" w:ascii="仿宋" w:hAnsi="仿宋" w:eastAsia="仿宋"/>
          <w:sz w:val="30"/>
          <w:szCs w:val="30"/>
        </w:rPr>
        <w:t>7.绩效自评表</w:t>
      </w:r>
      <w:bookmarkEnd w:id="37"/>
    </w:p>
    <w:sectPr>
      <w:headerReference r:id="rId3" w:type="default"/>
      <w:footerReference r:id="rId4"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449170"/>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C02D62"/>
    <w:multiLevelType w:val="multilevel"/>
    <w:tmpl w:val="1CC02D6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4244FC"/>
    <w:rsid w:val="00006AEC"/>
    <w:rsid w:val="0000781A"/>
    <w:rsid w:val="000126F4"/>
    <w:rsid w:val="000205E4"/>
    <w:rsid w:val="00022024"/>
    <w:rsid w:val="00025C8C"/>
    <w:rsid w:val="000303E9"/>
    <w:rsid w:val="000345A9"/>
    <w:rsid w:val="00040505"/>
    <w:rsid w:val="00043ECD"/>
    <w:rsid w:val="00044238"/>
    <w:rsid w:val="000442F2"/>
    <w:rsid w:val="00046E28"/>
    <w:rsid w:val="00051E03"/>
    <w:rsid w:val="00054ECB"/>
    <w:rsid w:val="00056412"/>
    <w:rsid w:val="00056E1E"/>
    <w:rsid w:val="00060344"/>
    <w:rsid w:val="00061087"/>
    <w:rsid w:val="00061B83"/>
    <w:rsid w:val="00074213"/>
    <w:rsid w:val="0008195D"/>
    <w:rsid w:val="000822BA"/>
    <w:rsid w:val="00083CD2"/>
    <w:rsid w:val="00083F52"/>
    <w:rsid w:val="00092ED2"/>
    <w:rsid w:val="000932B8"/>
    <w:rsid w:val="00097F79"/>
    <w:rsid w:val="000A462B"/>
    <w:rsid w:val="000A6843"/>
    <w:rsid w:val="000B1CC5"/>
    <w:rsid w:val="000B34F3"/>
    <w:rsid w:val="000B551D"/>
    <w:rsid w:val="000B69FB"/>
    <w:rsid w:val="000B7B17"/>
    <w:rsid w:val="000C4A6A"/>
    <w:rsid w:val="000C4D81"/>
    <w:rsid w:val="000C4FDF"/>
    <w:rsid w:val="000C684C"/>
    <w:rsid w:val="000D2CAE"/>
    <w:rsid w:val="000D543E"/>
    <w:rsid w:val="000E4DB0"/>
    <w:rsid w:val="000F31FB"/>
    <w:rsid w:val="000F565C"/>
    <w:rsid w:val="000F7ABC"/>
    <w:rsid w:val="001039BB"/>
    <w:rsid w:val="00107DA4"/>
    <w:rsid w:val="0011145E"/>
    <w:rsid w:val="00111AE7"/>
    <w:rsid w:val="00122380"/>
    <w:rsid w:val="00123692"/>
    <w:rsid w:val="0013372A"/>
    <w:rsid w:val="00137462"/>
    <w:rsid w:val="0014084B"/>
    <w:rsid w:val="00140CA8"/>
    <w:rsid w:val="0014364C"/>
    <w:rsid w:val="001437B3"/>
    <w:rsid w:val="001505D8"/>
    <w:rsid w:val="00160F4B"/>
    <w:rsid w:val="00161E0A"/>
    <w:rsid w:val="001649E3"/>
    <w:rsid w:val="00165023"/>
    <w:rsid w:val="001660E1"/>
    <w:rsid w:val="00166D49"/>
    <w:rsid w:val="00167CB8"/>
    <w:rsid w:val="001762A5"/>
    <w:rsid w:val="00182615"/>
    <w:rsid w:val="00182EEB"/>
    <w:rsid w:val="0018561A"/>
    <w:rsid w:val="00191CF0"/>
    <w:rsid w:val="001A690E"/>
    <w:rsid w:val="001B17E4"/>
    <w:rsid w:val="001B43BD"/>
    <w:rsid w:val="001B5CA4"/>
    <w:rsid w:val="001B5E00"/>
    <w:rsid w:val="001C0B1F"/>
    <w:rsid w:val="001D47D9"/>
    <w:rsid w:val="001F77D4"/>
    <w:rsid w:val="0020314D"/>
    <w:rsid w:val="00204EA4"/>
    <w:rsid w:val="002105B4"/>
    <w:rsid w:val="002136DC"/>
    <w:rsid w:val="0021621E"/>
    <w:rsid w:val="00222AE4"/>
    <w:rsid w:val="00231F2F"/>
    <w:rsid w:val="00232FFF"/>
    <w:rsid w:val="002343EF"/>
    <w:rsid w:val="00237DD7"/>
    <w:rsid w:val="00241A8C"/>
    <w:rsid w:val="002432DC"/>
    <w:rsid w:val="00243314"/>
    <w:rsid w:val="00244BDF"/>
    <w:rsid w:val="00252902"/>
    <w:rsid w:val="0025347B"/>
    <w:rsid w:val="0025564F"/>
    <w:rsid w:val="00256C83"/>
    <w:rsid w:val="0025734A"/>
    <w:rsid w:val="0026092B"/>
    <w:rsid w:val="002659C5"/>
    <w:rsid w:val="00266337"/>
    <w:rsid w:val="00271110"/>
    <w:rsid w:val="0027678E"/>
    <w:rsid w:val="00280C9F"/>
    <w:rsid w:val="002829F7"/>
    <w:rsid w:val="00287F61"/>
    <w:rsid w:val="00292B9D"/>
    <w:rsid w:val="00294142"/>
    <w:rsid w:val="0029536B"/>
    <w:rsid w:val="00296F31"/>
    <w:rsid w:val="00297135"/>
    <w:rsid w:val="002A386C"/>
    <w:rsid w:val="002B7A94"/>
    <w:rsid w:val="002C2233"/>
    <w:rsid w:val="002C4E74"/>
    <w:rsid w:val="002D091D"/>
    <w:rsid w:val="002D70CB"/>
    <w:rsid w:val="002E0D46"/>
    <w:rsid w:val="002E3A54"/>
    <w:rsid w:val="002E689C"/>
    <w:rsid w:val="002F42B6"/>
    <w:rsid w:val="002F50EA"/>
    <w:rsid w:val="00300C9A"/>
    <w:rsid w:val="00312846"/>
    <w:rsid w:val="00312AF7"/>
    <w:rsid w:val="003209C9"/>
    <w:rsid w:val="0032110B"/>
    <w:rsid w:val="00321C21"/>
    <w:rsid w:val="0032718E"/>
    <w:rsid w:val="00327DEE"/>
    <w:rsid w:val="0033482C"/>
    <w:rsid w:val="00334F4A"/>
    <w:rsid w:val="003401A2"/>
    <w:rsid w:val="00344343"/>
    <w:rsid w:val="00356AF8"/>
    <w:rsid w:val="003570B3"/>
    <w:rsid w:val="00357F66"/>
    <w:rsid w:val="0036050F"/>
    <w:rsid w:val="003616C0"/>
    <w:rsid w:val="00362E2E"/>
    <w:rsid w:val="00365CCE"/>
    <w:rsid w:val="00370662"/>
    <w:rsid w:val="003721D5"/>
    <w:rsid w:val="00376C4C"/>
    <w:rsid w:val="00380DC4"/>
    <w:rsid w:val="0038245C"/>
    <w:rsid w:val="00384931"/>
    <w:rsid w:val="003A4234"/>
    <w:rsid w:val="003A497C"/>
    <w:rsid w:val="003C4F02"/>
    <w:rsid w:val="003C5CC3"/>
    <w:rsid w:val="003D17CD"/>
    <w:rsid w:val="003D26D3"/>
    <w:rsid w:val="003E0DE0"/>
    <w:rsid w:val="003E2EB3"/>
    <w:rsid w:val="003E3690"/>
    <w:rsid w:val="003E7B6C"/>
    <w:rsid w:val="003E7E1C"/>
    <w:rsid w:val="003E7F5C"/>
    <w:rsid w:val="003F0E14"/>
    <w:rsid w:val="003F0F3F"/>
    <w:rsid w:val="003F18F0"/>
    <w:rsid w:val="003F3055"/>
    <w:rsid w:val="003F3626"/>
    <w:rsid w:val="003F6722"/>
    <w:rsid w:val="003F68F1"/>
    <w:rsid w:val="003F6F14"/>
    <w:rsid w:val="00413C78"/>
    <w:rsid w:val="004154F9"/>
    <w:rsid w:val="00415BBC"/>
    <w:rsid w:val="00417249"/>
    <w:rsid w:val="00422FCA"/>
    <w:rsid w:val="00430D8D"/>
    <w:rsid w:val="00433432"/>
    <w:rsid w:val="004372F7"/>
    <w:rsid w:val="004377E9"/>
    <w:rsid w:val="00442802"/>
    <w:rsid w:val="004444C7"/>
    <w:rsid w:val="00447B99"/>
    <w:rsid w:val="00451400"/>
    <w:rsid w:val="00451471"/>
    <w:rsid w:val="00451AF8"/>
    <w:rsid w:val="00455C90"/>
    <w:rsid w:val="00467169"/>
    <w:rsid w:val="00473183"/>
    <w:rsid w:val="004806FC"/>
    <w:rsid w:val="004807C7"/>
    <w:rsid w:val="004826B9"/>
    <w:rsid w:val="00487D9F"/>
    <w:rsid w:val="0049254A"/>
    <w:rsid w:val="004968B0"/>
    <w:rsid w:val="00497745"/>
    <w:rsid w:val="004A0EB3"/>
    <w:rsid w:val="004A2613"/>
    <w:rsid w:val="004A2BEF"/>
    <w:rsid w:val="004A43D9"/>
    <w:rsid w:val="004A6D51"/>
    <w:rsid w:val="004B0E04"/>
    <w:rsid w:val="004B1983"/>
    <w:rsid w:val="004B4D5F"/>
    <w:rsid w:val="004B6E0E"/>
    <w:rsid w:val="004C228E"/>
    <w:rsid w:val="004C4382"/>
    <w:rsid w:val="004C7B39"/>
    <w:rsid w:val="004D1C30"/>
    <w:rsid w:val="004D2815"/>
    <w:rsid w:val="004E6678"/>
    <w:rsid w:val="004F0E96"/>
    <w:rsid w:val="004F14B4"/>
    <w:rsid w:val="004F1965"/>
    <w:rsid w:val="004F664C"/>
    <w:rsid w:val="00505DB0"/>
    <w:rsid w:val="00506ECE"/>
    <w:rsid w:val="00506F00"/>
    <w:rsid w:val="005152BE"/>
    <w:rsid w:val="00517217"/>
    <w:rsid w:val="00521FE1"/>
    <w:rsid w:val="00536220"/>
    <w:rsid w:val="00545F68"/>
    <w:rsid w:val="00552AA7"/>
    <w:rsid w:val="005545FC"/>
    <w:rsid w:val="00555D18"/>
    <w:rsid w:val="00556CF0"/>
    <w:rsid w:val="00560E32"/>
    <w:rsid w:val="00572590"/>
    <w:rsid w:val="00573FD4"/>
    <w:rsid w:val="00576C12"/>
    <w:rsid w:val="00590419"/>
    <w:rsid w:val="00590AC0"/>
    <w:rsid w:val="00590B98"/>
    <w:rsid w:val="00590D77"/>
    <w:rsid w:val="00594FCA"/>
    <w:rsid w:val="0059531D"/>
    <w:rsid w:val="005B00F3"/>
    <w:rsid w:val="005B2710"/>
    <w:rsid w:val="005C6CD3"/>
    <w:rsid w:val="005D363F"/>
    <w:rsid w:val="005E3608"/>
    <w:rsid w:val="005E4D83"/>
    <w:rsid w:val="005F22C8"/>
    <w:rsid w:val="005F4D73"/>
    <w:rsid w:val="005F6AB6"/>
    <w:rsid w:val="00603EF2"/>
    <w:rsid w:val="006046FF"/>
    <w:rsid w:val="00604C3A"/>
    <w:rsid w:val="0061612F"/>
    <w:rsid w:val="00620F83"/>
    <w:rsid w:val="00623409"/>
    <w:rsid w:val="00624423"/>
    <w:rsid w:val="00640714"/>
    <w:rsid w:val="00641278"/>
    <w:rsid w:val="006418F1"/>
    <w:rsid w:val="00645E9B"/>
    <w:rsid w:val="006505D6"/>
    <w:rsid w:val="0065304C"/>
    <w:rsid w:val="00656944"/>
    <w:rsid w:val="00657184"/>
    <w:rsid w:val="00660AC2"/>
    <w:rsid w:val="00663746"/>
    <w:rsid w:val="006664C5"/>
    <w:rsid w:val="006676FB"/>
    <w:rsid w:val="0067107D"/>
    <w:rsid w:val="00673140"/>
    <w:rsid w:val="006735D7"/>
    <w:rsid w:val="00673DBF"/>
    <w:rsid w:val="006801EC"/>
    <w:rsid w:val="00691FFC"/>
    <w:rsid w:val="0069210A"/>
    <w:rsid w:val="00694282"/>
    <w:rsid w:val="00694309"/>
    <w:rsid w:val="00694884"/>
    <w:rsid w:val="00697B3D"/>
    <w:rsid w:val="006A2417"/>
    <w:rsid w:val="006A5520"/>
    <w:rsid w:val="006B2184"/>
    <w:rsid w:val="006B4374"/>
    <w:rsid w:val="006B4B53"/>
    <w:rsid w:val="006C1C43"/>
    <w:rsid w:val="006C61FA"/>
    <w:rsid w:val="006D1F93"/>
    <w:rsid w:val="006D2859"/>
    <w:rsid w:val="006D342B"/>
    <w:rsid w:val="006D4D73"/>
    <w:rsid w:val="006E0B8D"/>
    <w:rsid w:val="006E0CF0"/>
    <w:rsid w:val="006E1976"/>
    <w:rsid w:val="006E5846"/>
    <w:rsid w:val="006E59BB"/>
    <w:rsid w:val="006E67C8"/>
    <w:rsid w:val="006E763C"/>
    <w:rsid w:val="006F0D4F"/>
    <w:rsid w:val="006F605B"/>
    <w:rsid w:val="007001F9"/>
    <w:rsid w:val="0071020A"/>
    <w:rsid w:val="00713856"/>
    <w:rsid w:val="00716CD8"/>
    <w:rsid w:val="00726023"/>
    <w:rsid w:val="00727007"/>
    <w:rsid w:val="007347E3"/>
    <w:rsid w:val="0074287D"/>
    <w:rsid w:val="00744812"/>
    <w:rsid w:val="00745969"/>
    <w:rsid w:val="0075244F"/>
    <w:rsid w:val="0075271E"/>
    <w:rsid w:val="007552D9"/>
    <w:rsid w:val="007606B3"/>
    <w:rsid w:val="007617E1"/>
    <w:rsid w:val="00763A3F"/>
    <w:rsid w:val="00777DE4"/>
    <w:rsid w:val="00780ABA"/>
    <w:rsid w:val="00780C41"/>
    <w:rsid w:val="007818CC"/>
    <w:rsid w:val="007823AE"/>
    <w:rsid w:val="007A3C61"/>
    <w:rsid w:val="007A6007"/>
    <w:rsid w:val="007C18C0"/>
    <w:rsid w:val="007D0541"/>
    <w:rsid w:val="007D5B37"/>
    <w:rsid w:val="007E4123"/>
    <w:rsid w:val="007E4C5E"/>
    <w:rsid w:val="007F3262"/>
    <w:rsid w:val="007F5381"/>
    <w:rsid w:val="007F5921"/>
    <w:rsid w:val="0080040C"/>
    <w:rsid w:val="00810EDB"/>
    <w:rsid w:val="0081629C"/>
    <w:rsid w:val="00823250"/>
    <w:rsid w:val="008307BA"/>
    <w:rsid w:val="008368FC"/>
    <w:rsid w:val="0084262E"/>
    <w:rsid w:val="00846638"/>
    <w:rsid w:val="00853F47"/>
    <w:rsid w:val="0085742C"/>
    <w:rsid w:val="0086080C"/>
    <w:rsid w:val="008608BA"/>
    <w:rsid w:val="00863C04"/>
    <w:rsid w:val="008641B1"/>
    <w:rsid w:val="00874715"/>
    <w:rsid w:val="0088078E"/>
    <w:rsid w:val="00892D5E"/>
    <w:rsid w:val="008957E0"/>
    <w:rsid w:val="008B1EAB"/>
    <w:rsid w:val="008B2945"/>
    <w:rsid w:val="008B5ED6"/>
    <w:rsid w:val="008C136C"/>
    <w:rsid w:val="008C2B3C"/>
    <w:rsid w:val="008C3743"/>
    <w:rsid w:val="008C42E4"/>
    <w:rsid w:val="008D36C0"/>
    <w:rsid w:val="008D3EC1"/>
    <w:rsid w:val="008D57CD"/>
    <w:rsid w:val="008E516C"/>
    <w:rsid w:val="008F10C2"/>
    <w:rsid w:val="008F2745"/>
    <w:rsid w:val="00900DBA"/>
    <w:rsid w:val="00903537"/>
    <w:rsid w:val="00903986"/>
    <w:rsid w:val="00904C71"/>
    <w:rsid w:val="00905847"/>
    <w:rsid w:val="009101FB"/>
    <w:rsid w:val="009111E8"/>
    <w:rsid w:val="00925BD5"/>
    <w:rsid w:val="009267FA"/>
    <w:rsid w:val="00927E95"/>
    <w:rsid w:val="009307D9"/>
    <w:rsid w:val="009335BC"/>
    <w:rsid w:val="009346DB"/>
    <w:rsid w:val="009349EA"/>
    <w:rsid w:val="00940F69"/>
    <w:rsid w:val="009444A9"/>
    <w:rsid w:val="00950569"/>
    <w:rsid w:val="00951509"/>
    <w:rsid w:val="009534B9"/>
    <w:rsid w:val="00953824"/>
    <w:rsid w:val="00954BB1"/>
    <w:rsid w:val="00956567"/>
    <w:rsid w:val="0095773F"/>
    <w:rsid w:val="00960817"/>
    <w:rsid w:val="00960B3F"/>
    <w:rsid w:val="00962C10"/>
    <w:rsid w:val="0096314C"/>
    <w:rsid w:val="00964A2A"/>
    <w:rsid w:val="0097149B"/>
    <w:rsid w:val="00972C04"/>
    <w:rsid w:val="009738AC"/>
    <w:rsid w:val="0097490C"/>
    <w:rsid w:val="00977B5F"/>
    <w:rsid w:val="009823BA"/>
    <w:rsid w:val="00982C77"/>
    <w:rsid w:val="00983068"/>
    <w:rsid w:val="00983215"/>
    <w:rsid w:val="00987442"/>
    <w:rsid w:val="00987711"/>
    <w:rsid w:val="00990C86"/>
    <w:rsid w:val="00992D60"/>
    <w:rsid w:val="00997DD0"/>
    <w:rsid w:val="009A0101"/>
    <w:rsid w:val="009A1055"/>
    <w:rsid w:val="009A2705"/>
    <w:rsid w:val="009A3B33"/>
    <w:rsid w:val="009A4EF6"/>
    <w:rsid w:val="009A7127"/>
    <w:rsid w:val="009C464E"/>
    <w:rsid w:val="009E0559"/>
    <w:rsid w:val="009E11B7"/>
    <w:rsid w:val="009E47F0"/>
    <w:rsid w:val="009E4FD1"/>
    <w:rsid w:val="009E6A21"/>
    <w:rsid w:val="009E74FB"/>
    <w:rsid w:val="009F2F1A"/>
    <w:rsid w:val="009F30C2"/>
    <w:rsid w:val="009F37E6"/>
    <w:rsid w:val="00A01B80"/>
    <w:rsid w:val="00A03A0B"/>
    <w:rsid w:val="00A05513"/>
    <w:rsid w:val="00A05709"/>
    <w:rsid w:val="00A05F92"/>
    <w:rsid w:val="00A14E5D"/>
    <w:rsid w:val="00A222AC"/>
    <w:rsid w:val="00A24341"/>
    <w:rsid w:val="00A37623"/>
    <w:rsid w:val="00A479B3"/>
    <w:rsid w:val="00A50751"/>
    <w:rsid w:val="00A50F2B"/>
    <w:rsid w:val="00A52864"/>
    <w:rsid w:val="00A55DCB"/>
    <w:rsid w:val="00A6178F"/>
    <w:rsid w:val="00A6270A"/>
    <w:rsid w:val="00A6275B"/>
    <w:rsid w:val="00A701E1"/>
    <w:rsid w:val="00A70742"/>
    <w:rsid w:val="00A727D8"/>
    <w:rsid w:val="00A72BB5"/>
    <w:rsid w:val="00A73A16"/>
    <w:rsid w:val="00A7474D"/>
    <w:rsid w:val="00A81A94"/>
    <w:rsid w:val="00A91740"/>
    <w:rsid w:val="00A94B68"/>
    <w:rsid w:val="00A95E13"/>
    <w:rsid w:val="00AA563A"/>
    <w:rsid w:val="00AA639A"/>
    <w:rsid w:val="00AB70F6"/>
    <w:rsid w:val="00AC0F05"/>
    <w:rsid w:val="00AC21A4"/>
    <w:rsid w:val="00AC4807"/>
    <w:rsid w:val="00AD1EED"/>
    <w:rsid w:val="00AD2E0A"/>
    <w:rsid w:val="00AD7637"/>
    <w:rsid w:val="00AE1671"/>
    <w:rsid w:val="00AF3EEC"/>
    <w:rsid w:val="00AF41F3"/>
    <w:rsid w:val="00AF50F6"/>
    <w:rsid w:val="00B052AA"/>
    <w:rsid w:val="00B0543B"/>
    <w:rsid w:val="00B07E63"/>
    <w:rsid w:val="00B14788"/>
    <w:rsid w:val="00B16F16"/>
    <w:rsid w:val="00B217F8"/>
    <w:rsid w:val="00B22FDF"/>
    <w:rsid w:val="00B2667A"/>
    <w:rsid w:val="00B3244B"/>
    <w:rsid w:val="00B337FF"/>
    <w:rsid w:val="00B3582D"/>
    <w:rsid w:val="00B361E5"/>
    <w:rsid w:val="00B37954"/>
    <w:rsid w:val="00B408C9"/>
    <w:rsid w:val="00B4409F"/>
    <w:rsid w:val="00B446F3"/>
    <w:rsid w:val="00B50387"/>
    <w:rsid w:val="00B52591"/>
    <w:rsid w:val="00B538E7"/>
    <w:rsid w:val="00B60AB9"/>
    <w:rsid w:val="00B6215C"/>
    <w:rsid w:val="00B6595E"/>
    <w:rsid w:val="00B80BAE"/>
    <w:rsid w:val="00B829DC"/>
    <w:rsid w:val="00B86F92"/>
    <w:rsid w:val="00B86FDC"/>
    <w:rsid w:val="00B91ADC"/>
    <w:rsid w:val="00B93963"/>
    <w:rsid w:val="00B96F50"/>
    <w:rsid w:val="00BB0A93"/>
    <w:rsid w:val="00BD1729"/>
    <w:rsid w:val="00BD290A"/>
    <w:rsid w:val="00BD3C03"/>
    <w:rsid w:val="00BE0AB4"/>
    <w:rsid w:val="00BE1597"/>
    <w:rsid w:val="00BE6E09"/>
    <w:rsid w:val="00BE6E21"/>
    <w:rsid w:val="00BF5DC8"/>
    <w:rsid w:val="00BF5E9B"/>
    <w:rsid w:val="00BF6C40"/>
    <w:rsid w:val="00BF7143"/>
    <w:rsid w:val="00C00EE5"/>
    <w:rsid w:val="00C0387D"/>
    <w:rsid w:val="00C16AFA"/>
    <w:rsid w:val="00C304F6"/>
    <w:rsid w:val="00C40B9E"/>
    <w:rsid w:val="00C450AE"/>
    <w:rsid w:val="00C5041A"/>
    <w:rsid w:val="00C51A70"/>
    <w:rsid w:val="00C51CA0"/>
    <w:rsid w:val="00C53242"/>
    <w:rsid w:val="00C5692E"/>
    <w:rsid w:val="00C629B9"/>
    <w:rsid w:val="00C72968"/>
    <w:rsid w:val="00C74DF2"/>
    <w:rsid w:val="00C81077"/>
    <w:rsid w:val="00C83697"/>
    <w:rsid w:val="00C8558F"/>
    <w:rsid w:val="00C92498"/>
    <w:rsid w:val="00CA351D"/>
    <w:rsid w:val="00CB28D7"/>
    <w:rsid w:val="00CB3397"/>
    <w:rsid w:val="00CC3F0E"/>
    <w:rsid w:val="00CC71C8"/>
    <w:rsid w:val="00CD0CC4"/>
    <w:rsid w:val="00CD139D"/>
    <w:rsid w:val="00CD344A"/>
    <w:rsid w:val="00CD4CE1"/>
    <w:rsid w:val="00CD653E"/>
    <w:rsid w:val="00CE1E47"/>
    <w:rsid w:val="00CE67F0"/>
    <w:rsid w:val="00CF04B8"/>
    <w:rsid w:val="00CF237E"/>
    <w:rsid w:val="00CF6567"/>
    <w:rsid w:val="00CF6B3D"/>
    <w:rsid w:val="00CF7DA6"/>
    <w:rsid w:val="00D00278"/>
    <w:rsid w:val="00D01F2E"/>
    <w:rsid w:val="00D02FF6"/>
    <w:rsid w:val="00D160CE"/>
    <w:rsid w:val="00D24E66"/>
    <w:rsid w:val="00D251EE"/>
    <w:rsid w:val="00D26D32"/>
    <w:rsid w:val="00D30C61"/>
    <w:rsid w:val="00D33731"/>
    <w:rsid w:val="00D34C83"/>
    <w:rsid w:val="00D40F90"/>
    <w:rsid w:val="00D44574"/>
    <w:rsid w:val="00D45A51"/>
    <w:rsid w:val="00D5007B"/>
    <w:rsid w:val="00D501D9"/>
    <w:rsid w:val="00D510F6"/>
    <w:rsid w:val="00D61342"/>
    <w:rsid w:val="00D613E1"/>
    <w:rsid w:val="00D715D3"/>
    <w:rsid w:val="00D71A01"/>
    <w:rsid w:val="00D72D15"/>
    <w:rsid w:val="00D7326B"/>
    <w:rsid w:val="00D738B0"/>
    <w:rsid w:val="00DA07A0"/>
    <w:rsid w:val="00DA3D1D"/>
    <w:rsid w:val="00DA4E9F"/>
    <w:rsid w:val="00DA7E56"/>
    <w:rsid w:val="00DB1E05"/>
    <w:rsid w:val="00DB51A4"/>
    <w:rsid w:val="00DB63BE"/>
    <w:rsid w:val="00DB7CAC"/>
    <w:rsid w:val="00DC02E8"/>
    <w:rsid w:val="00DC129F"/>
    <w:rsid w:val="00DC2395"/>
    <w:rsid w:val="00DC5B75"/>
    <w:rsid w:val="00DC6E4B"/>
    <w:rsid w:val="00DD043E"/>
    <w:rsid w:val="00DD34F5"/>
    <w:rsid w:val="00DD7C7F"/>
    <w:rsid w:val="00DE76F0"/>
    <w:rsid w:val="00DF1187"/>
    <w:rsid w:val="00DF3150"/>
    <w:rsid w:val="00DF7FDF"/>
    <w:rsid w:val="00E10A4B"/>
    <w:rsid w:val="00E1247C"/>
    <w:rsid w:val="00E14D88"/>
    <w:rsid w:val="00E15656"/>
    <w:rsid w:val="00E16280"/>
    <w:rsid w:val="00E219F1"/>
    <w:rsid w:val="00E24A5A"/>
    <w:rsid w:val="00E27540"/>
    <w:rsid w:val="00E27DD2"/>
    <w:rsid w:val="00E33C71"/>
    <w:rsid w:val="00E34844"/>
    <w:rsid w:val="00E351D5"/>
    <w:rsid w:val="00E35967"/>
    <w:rsid w:val="00E4383E"/>
    <w:rsid w:val="00E44EEC"/>
    <w:rsid w:val="00E516C0"/>
    <w:rsid w:val="00E57030"/>
    <w:rsid w:val="00E75212"/>
    <w:rsid w:val="00E84E21"/>
    <w:rsid w:val="00E96A29"/>
    <w:rsid w:val="00EA11F0"/>
    <w:rsid w:val="00EA181B"/>
    <w:rsid w:val="00EA3991"/>
    <w:rsid w:val="00EA6B57"/>
    <w:rsid w:val="00EA799F"/>
    <w:rsid w:val="00EB2D13"/>
    <w:rsid w:val="00EB410A"/>
    <w:rsid w:val="00EC42CE"/>
    <w:rsid w:val="00EC4322"/>
    <w:rsid w:val="00EC7990"/>
    <w:rsid w:val="00ED1E47"/>
    <w:rsid w:val="00EE5561"/>
    <w:rsid w:val="00EF18F9"/>
    <w:rsid w:val="00EF317D"/>
    <w:rsid w:val="00EF4104"/>
    <w:rsid w:val="00EF4DE2"/>
    <w:rsid w:val="00F049E4"/>
    <w:rsid w:val="00F10AAC"/>
    <w:rsid w:val="00F2439B"/>
    <w:rsid w:val="00F24A62"/>
    <w:rsid w:val="00F26E64"/>
    <w:rsid w:val="00F347D1"/>
    <w:rsid w:val="00F34E17"/>
    <w:rsid w:val="00F365B9"/>
    <w:rsid w:val="00F4723B"/>
    <w:rsid w:val="00F5045C"/>
    <w:rsid w:val="00F51B3F"/>
    <w:rsid w:val="00F61F9E"/>
    <w:rsid w:val="00F6691F"/>
    <w:rsid w:val="00F672B1"/>
    <w:rsid w:val="00F72707"/>
    <w:rsid w:val="00F763EA"/>
    <w:rsid w:val="00F7640E"/>
    <w:rsid w:val="00F81B6D"/>
    <w:rsid w:val="00F85FAE"/>
    <w:rsid w:val="00F90A62"/>
    <w:rsid w:val="00F91187"/>
    <w:rsid w:val="00F944F1"/>
    <w:rsid w:val="00F97C47"/>
    <w:rsid w:val="00FA15E9"/>
    <w:rsid w:val="00FA7CAA"/>
    <w:rsid w:val="00FB1015"/>
    <w:rsid w:val="00FB28F6"/>
    <w:rsid w:val="00FC6BF0"/>
    <w:rsid w:val="00FD0CA4"/>
    <w:rsid w:val="00FD494D"/>
    <w:rsid w:val="00FE411C"/>
    <w:rsid w:val="00FF651B"/>
    <w:rsid w:val="00FF69DF"/>
    <w:rsid w:val="022B5331"/>
    <w:rsid w:val="02564182"/>
    <w:rsid w:val="03B20769"/>
    <w:rsid w:val="05D729E7"/>
    <w:rsid w:val="076419EC"/>
    <w:rsid w:val="0D5C2F9B"/>
    <w:rsid w:val="0E2F3206"/>
    <w:rsid w:val="0E3F5B7D"/>
    <w:rsid w:val="1519715A"/>
    <w:rsid w:val="16015CDA"/>
    <w:rsid w:val="16AA48FE"/>
    <w:rsid w:val="17BC41B4"/>
    <w:rsid w:val="1AEC26C8"/>
    <w:rsid w:val="209F54A4"/>
    <w:rsid w:val="20FA56D6"/>
    <w:rsid w:val="2109583A"/>
    <w:rsid w:val="23556916"/>
    <w:rsid w:val="24000BAC"/>
    <w:rsid w:val="28217AB5"/>
    <w:rsid w:val="28280339"/>
    <w:rsid w:val="2FDB111E"/>
    <w:rsid w:val="306A3F13"/>
    <w:rsid w:val="32CD72E7"/>
    <w:rsid w:val="3DE64324"/>
    <w:rsid w:val="3FE70CCE"/>
    <w:rsid w:val="41CA39B2"/>
    <w:rsid w:val="427E4636"/>
    <w:rsid w:val="44DD2AB7"/>
    <w:rsid w:val="45864AB1"/>
    <w:rsid w:val="48E5331E"/>
    <w:rsid w:val="49AD4FB0"/>
    <w:rsid w:val="4B7C148B"/>
    <w:rsid w:val="4CD83BBE"/>
    <w:rsid w:val="4EB22358"/>
    <w:rsid w:val="4FCF09E0"/>
    <w:rsid w:val="4FE66911"/>
    <w:rsid w:val="524244FC"/>
    <w:rsid w:val="52DF4640"/>
    <w:rsid w:val="55177BA3"/>
    <w:rsid w:val="55745AA6"/>
    <w:rsid w:val="562F6B31"/>
    <w:rsid w:val="59260DEC"/>
    <w:rsid w:val="5B376C31"/>
    <w:rsid w:val="62687CAC"/>
    <w:rsid w:val="672813E0"/>
    <w:rsid w:val="68DE2588"/>
    <w:rsid w:val="6D017667"/>
    <w:rsid w:val="6EAA1FE7"/>
    <w:rsid w:val="6F515375"/>
    <w:rsid w:val="71E76FCF"/>
    <w:rsid w:val="774615AE"/>
    <w:rsid w:val="778A6F3E"/>
    <w:rsid w:val="78A459C8"/>
    <w:rsid w:val="79B56A1B"/>
    <w:rsid w:val="7B583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widowControl/>
      <w:tabs>
        <w:tab w:val="right" w:leader="dot" w:pos="8931"/>
      </w:tabs>
      <w:spacing w:line="420" w:lineRule="exact"/>
      <w:ind w:right="25" w:rightChars="12"/>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批注框文本 字符"/>
    <w:basedOn w:val="7"/>
    <w:link w:val="2"/>
    <w:qFormat/>
    <w:uiPriority w:val="0"/>
    <w:rPr>
      <w:rFonts w:ascii="Calibri" w:hAnsi="Calibri" w:eastAsia="宋体" w:cs="Times New Roman"/>
      <w:kern w:val="2"/>
      <w:sz w:val="18"/>
      <w:szCs w:val="18"/>
    </w:rPr>
  </w:style>
  <w:style w:type="paragraph" w:customStyle="1" w:styleId="10">
    <w:name w:val="List Paragraph"/>
    <w:basedOn w:val="1"/>
    <w:qFormat/>
    <w:uiPriority w:val="99"/>
    <w:pPr>
      <w:ind w:firstLine="420" w:firstLineChars="200"/>
    </w:pPr>
  </w:style>
  <w:style w:type="character" w:customStyle="1" w:styleId="11">
    <w:name w:val="页眉 字符"/>
    <w:basedOn w:val="7"/>
    <w:link w:val="4"/>
    <w:qFormat/>
    <w:uiPriority w:val="99"/>
    <w:rPr>
      <w:rFonts w:ascii="Calibri" w:hAnsi="Calibri" w:eastAsia="宋体" w:cs="Times New Roman"/>
      <w:kern w:val="2"/>
      <w:sz w:val="18"/>
      <w:szCs w:val="18"/>
    </w:rPr>
  </w:style>
  <w:style w:type="character" w:customStyle="1" w:styleId="12">
    <w:name w:val="页脚 字符"/>
    <w:basedOn w:val="7"/>
    <w:link w:val="3"/>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A180-94F2-435F-92F6-113A545D932C}">
  <ds:schemaRefs/>
</ds:datastoreItem>
</file>

<file path=docProps/app.xml><?xml version="1.0" encoding="utf-8"?>
<Properties xmlns="http://schemas.openxmlformats.org/officeDocument/2006/extended-properties" xmlns:vt="http://schemas.openxmlformats.org/officeDocument/2006/docPropsVTypes">
  <Template>Normal</Template>
  <Pages>28</Pages>
  <Words>2505</Words>
  <Characters>14285</Characters>
  <Lines>119</Lines>
  <Paragraphs>33</Paragraphs>
  <TotalTime>0</TotalTime>
  <ScaleCrop>false</ScaleCrop>
  <LinksUpToDate>false</LinksUpToDate>
  <CharactersWithSpaces>16757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2020-11-23T02:41:00Z</dcterms:created>
  <dc:creator>WPS_1545275203</dc:creator>
  <cp:lastModifiedBy>Administrator</cp:lastModifiedBy>
  <dcterms:modified xsi:type="dcterms:W3CDTF">2025-09-26T12:23:27Z</dcterms:modified>
  <cp:revision>560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D6FA2345DA634ECC86FE00D34E7C49CC</vt:lpwstr>
  </property>
</Properties>
</file>