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600" w:lineRule="exact"/>
        <w:jc w:val="center"/>
        <w:textAlignment w:val="auto"/>
        <w:rPr>
          <w:rFonts w:hint="eastAsia" w:ascii="方正小标宋_GBK" w:hAnsi="方正小标宋_GBK" w:eastAsia="方正小标宋_GBK" w:cs="方正小标宋_GBK"/>
          <w:sz w:val="44"/>
          <w:szCs w:val="44"/>
          <w:lang w:val="en-US" w:eastAsia="zh-CN"/>
        </w:rPr>
      </w:pPr>
    </w:p>
    <w:p>
      <w:pPr>
        <w:keepNext w:val="0"/>
        <w:keepLines w:val="0"/>
        <w:pageBreakBefore w:val="0"/>
        <w:widowControl/>
        <w:kinsoku/>
        <w:wordWrap/>
        <w:overflowPunct/>
        <w:topLinePunct w:val="0"/>
        <w:autoSpaceDE/>
        <w:autoSpaceDN/>
        <w:bidi w:val="0"/>
        <w:adjustRightInd w:val="0"/>
        <w:snapToGrid w:val="0"/>
        <w:spacing w:after="0" w:line="60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盈江县2025年中央财政衔接推进乡村振兴补助资金绩效自评报告</w:t>
      </w:r>
    </w:p>
    <w:p>
      <w:pPr>
        <w:keepNext w:val="0"/>
        <w:keepLines w:val="0"/>
        <w:pageBreakBefore w:val="0"/>
        <w:widowControl/>
        <w:kinsoku/>
        <w:wordWrap/>
        <w:overflowPunct/>
        <w:topLinePunct w:val="0"/>
        <w:autoSpaceDE/>
        <w:autoSpaceDN/>
        <w:bidi w:val="0"/>
        <w:adjustRightInd w:val="0"/>
        <w:snapToGrid w:val="0"/>
        <w:spacing w:after="0" w:line="600" w:lineRule="exact"/>
        <w:jc w:val="center"/>
        <w:textAlignment w:val="auto"/>
        <w:rPr>
          <w:rFonts w:hint="eastAsia" w:ascii="仿宋_GB2312" w:hAnsi="仿宋_GB2312" w:eastAsia="仿宋_GB2312" w:cs="仿宋_GB2312"/>
          <w:i w:val="0"/>
          <w:caps w:val="0"/>
          <w:color w:val="auto"/>
          <w:spacing w:val="0"/>
          <w:sz w:val="32"/>
          <w:szCs w:val="32"/>
          <w:highlight w:val="none"/>
          <w:shd w:val="clear" w:color="auto" w:fill="FFFFFF"/>
          <w:lang w:val="en-US" w:eastAsia="zh-CN"/>
        </w:rPr>
      </w:pPr>
      <w:r>
        <w:rPr>
          <w:rFonts w:hint="eastAsia" w:ascii="仿宋_GB2312" w:hAnsi="仿宋_GB2312" w:eastAsia="仿宋_GB2312" w:cs="仿宋_GB2312"/>
          <w:i w:val="0"/>
          <w:caps w:val="0"/>
          <w:color w:val="auto"/>
          <w:spacing w:val="0"/>
          <w:sz w:val="32"/>
          <w:szCs w:val="32"/>
          <w:highlight w:val="none"/>
          <w:shd w:val="clear" w:color="auto" w:fill="FFFFFF"/>
          <w:lang w:val="en-US" w:eastAsia="zh-CN"/>
        </w:rPr>
        <w:t>（盈江县2025年肉牛产业奖补（一期）项目）</w:t>
      </w:r>
    </w:p>
    <w:p>
      <w:pPr>
        <w:pStyle w:val="6"/>
        <w:keepNext w:val="0"/>
        <w:keepLines w:val="0"/>
        <w:pageBreakBefore w:val="0"/>
        <w:widowControl/>
        <w:kinsoku/>
        <w:wordWrap/>
        <w:overflowPunct/>
        <w:topLinePunct w:val="0"/>
        <w:autoSpaceDE/>
        <w:autoSpaceDN/>
        <w:bidi w:val="0"/>
        <w:adjustRightInd w:val="0"/>
        <w:snapToGrid w:val="0"/>
        <w:spacing w:line="600" w:lineRule="exact"/>
        <w:textAlignment w:val="auto"/>
        <w:rPr>
          <w:rFonts w:hint="eastAsia" w:ascii="方正仿宋_GBK" w:hAnsi="方正仿宋_GBK" w:eastAsia="方正仿宋_GBK" w:cs="方正仿宋_GBK"/>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一、项目绩效自评工作开展情况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i w:val="0"/>
          <w:caps w:val="0"/>
          <w:color w:val="auto"/>
          <w:spacing w:val="0"/>
          <w:sz w:val="32"/>
          <w:szCs w:val="32"/>
          <w:highlight w:val="none"/>
          <w:shd w:val="clear" w:color="auto" w:fill="FFFFFF"/>
          <w:lang w:val="en-US" w:eastAsia="zh-CN"/>
        </w:rPr>
      </w:pPr>
      <w:r>
        <w:rPr>
          <w:rFonts w:hint="eastAsia" w:ascii="方正仿宋_GBK" w:hAnsi="方正仿宋_GBK" w:eastAsia="方正仿宋_GBK" w:cs="方正仿宋_GBK"/>
          <w:color w:val="000000" w:themeColor="text1"/>
          <w:sz w:val="32"/>
          <w:szCs w:val="32"/>
        </w:rPr>
        <w:t>根据《云南省农业农村厅 云南省财政厅 中国人民银行云南省分行 国家金融监督管理总局云南监管局关于印发云南省推进肉牛产业加快发展若干措施的通知》（</w:t>
      </w:r>
      <w:r>
        <w:rPr>
          <w:rFonts w:hint="eastAsia" w:ascii="方正仿宋_GBK" w:hAnsi="方正仿宋_GBK" w:eastAsia="方正仿宋_GBK" w:cs="方正仿宋_GBK"/>
          <w:color w:val="000000" w:themeColor="text1"/>
          <w:sz w:val="32"/>
          <w:szCs w:val="32"/>
          <w:shd w:val="clear" w:fill="FFFFFF"/>
        </w:rPr>
        <w:t>云</w:t>
      </w:r>
      <w:r>
        <w:rPr>
          <w:rFonts w:hint="eastAsia" w:ascii="方正仿宋_GBK" w:hAnsi="方正仿宋_GBK" w:eastAsia="方正仿宋_GBK" w:cs="方正仿宋_GBK"/>
          <w:color w:val="000000" w:themeColor="text1"/>
          <w:sz w:val="32"/>
          <w:szCs w:val="32"/>
        </w:rPr>
        <w:t>农牧〔2024〕10号）、《中共盈江县委农村工作领导小组关于同意盈江县2025年度第一批次衔接资金（中央资金）项目计划及资金的批复》（</w:t>
      </w:r>
      <w:r>
        <w:rPr>
          <w:rFonts w:hint="eastAsia" w:ascii="方正仿宋_GBK" w:hAnsi="方正仿宋_GBK" w:eastAsia="方正仿宋_GBK" w:cs="方正仿宋_GBK"/>
          <w:color w:val="000000" w:themeColor="text1"/>
          <w:sz w:val="32"/>
          <w:szCs w:val="32"/>
          <w:shd w:val="clear" w:fill="FFFFFF"/>
        </w:rPr>
        <w:t>盈农领</w:t>
      </w:r>
      <w:r>
        <w:rPr>
          <w:rFonts w:hint="eastAsia" w:ascii="方正仿宋_GBK" w:hAnsi="方正仿宋_GBK" w:eastAsia="方正仿宋_GBK" w:cs="方正仿宋_GBK"/>
          <w:color w:val="000000" w:themeColor="text1"/>
          <w:sz w:val="32"/>
          <w:szCs w:val="32"/>
        </w:rPr>
        <w:t>发〔2025〕1号）</w:t>
      </w:r>
      <w:r>
        <w:rPr>
          <w:rFonts w:hint="eastAsia" w:ascii="方正仿宋_GBK" w:hAnsi="方正仿宋_GBK" w:eastAsia="方正仿宋_GBK" w:cs="方正仿宋_GBK"/>
          <w:sz w:val="32"/>
          <w:szCs w:val="32"/>
          <w:lang w:val="en-US" w:eastAsia="zh-CN"/>
        </w:rPr>
        <w:t>文件要求</w:t>
      </w:r>
      <w:r>
        <w:rPr>
          <w:rFonts w:hint="eastAsia" w:ascii="方正仿宋_GBK" w:hAnsi="方正仿宋_GBK" w:eastAsia="方正仿宋_GBK" w:cs="方正仿宋_GBK"/>
          <w:i w:val="0"/>
          <w:caps w:val="0"/>
          <w:color w:val="auto"/>
          <w:spacing w:val="0"/>
          <w:sz w:val="32"/>
          <w:szCs w:val="32"/>
          <w:highlight w:val="none"/>
          <w:shd w:val="clear" w:color="auto" w:fill="FFFFFF"/>
          <w:lang w:val="en-US" w:eastAsia="zh-CN"/>
        </w:rPr>
        <w:t>，县农业农村局编制了《盈江县2025年肉牛产业奖补（一期）项目实施方案》，并于2025年3月24日获批，批复文号《盈江县农业农村局关于《盈江县2025年肉牛产业奖补（一期）项目实施方案》的批复》（盈农复字〔2025〕6号</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i w:val="0"/>
          <w:caps w:val="0"/>
          <w:color w:val="auto"/>
          <w:spacing w:val="0"/>
          <w:sz w:val="32"/>
          <w:szCs w:val="32"/>
          <w:highlight w:val="none"/>
          <w:shd w:val="clear" w:color="auto" w:fill="FFFFFF"/>
          <w:lang w:val="en-US" w:eastAsia="zh-CN"/>
        </w:rPr>
        <w:t>），现项目已严格按照批复方案实施完成。</w:t>
      </w:r>
      <w:r>
        <w:rPr>
          <w:rFonts w:hint="eastAsia" w:ascii="方正仿宋_GBK" w:hAnsi="方正仿宋_GBK" w:eastAsia="方正仿宋_GBK" w:cs="方正仿宋_GBK"/>
          <w:sz w:val="32"/>
          <w:szCs w:val="32"/>
          <w:lang w:val="en-US" w:eastAsia="zh-CN"/>
        </w:rPr>
        <w:t>根据《云南省财政厅等6部门关于印发云南省衔接资金项目资金管理操作手册的通知》（</w:t>
      </w:r>
      <w:r>
        <w:rPr>
          <w:rFonts w:hint="eastAsia" w:ascii="方正仿宋_GBK" w:hAnsi="方正仿宋_GBK" w:eastAsia="方正仿宋_GBK" w:cs="方正仿宋_GBK"/>
          <w:sz w:val="32"/>
          <w:szCs w:val="32"/>
          <w:shd w:val="clear" w:fill="FFFFFF"/>
          <w:lang w:val="en-US" w:eastAsia="zh-CN"/>
        </w:rPr>
        <w:t>云财农</w:t>
      </w:r>
      <w:r>
        <w:rPr>
          <w:rFonts w:hint="eastAsia" w:ascii="方正仿宋_GBK" w:hAnsi="方正仿宋_GBK" w:eastAsia="方正仿宋_GBK" w:cs="方正仿宋_GBK"/>
          <w:sz w:val="32"/>
          <w:szCs w:val="32"/>
          <w:lang w:val="en-US" w:eastAsia="zh-CN"/>
        </w:rPr>
        <w:t>〔2023〕191号）等文件要求，</w:t>
      </w:r>
      <w:r>
        <w:rPr>
          <w:rFonts w:hint="eastAsia" w:ascii="方正仿宋_GBK" w:hAnsi="方正仿宋_GBK" w:eastAsia="方正仿宋_GBK" w:cs="方正仿宋_GBK"/>
          <w:b w:val="0"/>
          <w:bCs w:val="0"/>
          <w:color w:val="auto"/>
          <w:kern w:val="2"/>
          <w:sz w:val="32"/>
          <w:szCs w:val="32"/>
          <w:lang w:val="en-US" w:eastAsia="zh-CN" w:bidi="ar-SA"/>
        </w:rPr>
        <w:t>我局高度重视，组织人员认真开展自检自查工作</w:t>
      </w:r>
      <w:r>
        <w:rPr>
          <w:rFonts w:hint="eastAsia" w:ascii="方正仿宋_GBK" w:hAnsi="方正仿宋_GBK" w:eastAsia="方正仿宋_GBK" w:cs="方正仿宋_GBK"/>
          <w:sz w:val="32"/>
          <w:szCs w:val="32"/>
          <w:lang w:val="en-US" w:eastAsia="zh-CN"/>
        </w:rPr>
        <w:t>，自评分98分，绩效自评为优。</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964" w:firstLineChars="3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二、项目基本情况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（一）项目背景和内容</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color w:val="000000" w:themeColor="text1"/>
          <w:sz w:val="32"/>
          <w:szCs w:val="32"/>
          <w:lang w:val="en-US" w:eastAsia="zh-CN"/>
        </w:rPr>
      </w:pPr>
      <w:r>
        <w:rPr>
          <w:rFonts w:hint="eastAsia" w:ascii="方正仿宋_GBK" w:hAnsi="方正仿宋_GBK" w:eastAsia="方正仿宋_GBK" w:cs="方正仿宋_GBK"/>
          <w:color w:val="000000" w:themeColor="text1"/>
          <w:sz w:val="32"/>
          <w:szCs w:val="32"/>
        </w:rPr>
        <w:t>为了贯彻落实农业农村部和省委、省政府</w:t>
      </w:r>
      <w:r>
        <w:rPr>
          <w:rFonts w:hint="eastAsia" w:ascii="方正仿宋_GBK" w:hAnsi="方正仿宋_GBK" w:eastAsia="方正仿宋_GBK" w:cs="方正仿宋_GBK"/>
          <w:color w:val="000000" w:themeColor="text1"/>
          <w:sz w:val="32"/>
          <w:szCs w:val="32"/>
          <w:lang w:val="en-US" w:eastAsia="zh-CN"/>
        </w:rPr>
        <w:t>有关工作部署要求，进一步优化完善扶持政策，稳定全省肉牛产业发展，按照《云南省推进肉牛产业加快发展若干措施的通知》强化脱贫地</w:t>
      </w:r>
      <w:r>
        <w:rPr>
          <w:rFonts w:hint="eastAsia" w:ascii="方正仿宋_GBK" w:hAnsi="方正仿宋_GBK" w:eastAsia="方正仿宋_GBK" w:cs="方正仿宋_GBK"/>
          <w:color w:val="000000" w:themeColor="text1"/>
          <w:sz w:val="32"/>
          <w:szCs w:val="32"/>
          <w:shd w:val="clear" w:fill="FFFFFF"/>
          <w:lang w:val="en-US" w:eastAsia="zh-CN"/>
        </w:rPr>
        <w:t>区</w:t>
      </w:r>
      <w:r>
        <w:rPr>
          <w:rFonts w:hint="eastAsia" w:ascii="方正仿宋_GBK" w:hAnsi="方正仿宋_GBK" w:eastAsia="方正仿宋_GBK" w:cs="方正仿宋_GBK"/>
          <w:color w:val="000000" w:themeColor="text1"/>
          <w:sz w:val="32"/>
          <w:szCs w:val="32"/>
          <w:lang w:val="en-US" w:eastAsia="zh-CN"/>
        </w:rPr>
        <w:t>脱贫群众支持。过渡期内，鼓励有条件的地区，统筹使用衔接资金对2024年以来因市场价格波动大、导致增收困难的脱贫养殖户（</w:t>
      </w:r>
      <w:r>
        <w:rPr>
          <w:rFonts w:hint="eastAsia" w:ascii="方正仿宋_GBK" w:hAnsi="方正仿宋_GBK" w:eastAsia="方正仿宋_GBK" w:cs="方正仿宋_GBK"/>
          <w:color w:val="000000" w:themeColor="text1"/>
          <w:sz w:val="32"/>
          <w:szCs w:val="32"/>
          <w:shd w:val="clear" w:fill="FFFFFF"/>
          <w:lang w:val="en-US" w:eastAsia="zh-CN"/>
        </w:rPr>
        <w:t>含</w:t>
      </w:r>
      <w:r>
        <w:rPr>
          <w:rFonts w:hint="eastAsia" w:ascii="方正仿宋_GBK" w:hAnsi="方正仿宋_GBK" w:eastAsia="方正仿宋_GBK" w:cs="方正仿宋_GBK"/>
          <w:color w:val="000000" w:themeColor="text1"/>
          <w:sz w:val="32"/>
          <w:szCs w:val="32"/>
          <w:lang w:val="en-US" w:eastAsia="zh-CN"/>
        </w:rPr>
        <w:t>监测帮扶对象），分类给予一次性奖补，降低价格大幅下降导致的返贫风险。鼓励脱贫户及监测帮扶对象通过发展肉牛产业拓宽增收渠道，确保收入持续增长，进一步巩固</w:t>
      </w:r>
      <w:r>
        <w:rPr>
          <w:rFonts w:hint="eastAsia" w:ascii="方正仿宋_GBK" w:hAnsi="方正仿宋_GBK" w:eastAsia="方正仿宋_GBK" w:cs="方正仿宋_GBK"/>
          <w:color w:val="000000" w:themeColor="text1"/>
          <w:sz w:val="32"/>
          <w:szCs w:val="32"/>
          <w:shd w:val="clear" w:fill="FFFFFF"/>
          <w:lang w:val="en-US" w:eastAsia="zh-CN"/>
        </w:rPr>
        <w:t>脱贫攻坚成果</w:t>
      </w:r>
      <w:r>
        <w:rPr>
          <w:rFonts w:hint="eastAsia" w:ascii="方正仿宋_GBK" w:hAnsi="方正仿宋_GBK" w:eastAsia="方正仿宋_GBK" w:cs="方正仿宋_GBK"/>
          <w:color w:val="000000" w:themeColor="text1"/>
          <w:sz w:val="32"/>
          <w:szCs w:val="32"/>
          <w:lang w:val="en-US" w:eastAsia="zh-CN"/>
        </w:rPr>
        <w:t>目标。</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（二）资金情况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color w:val="auto"/>
          <w:sz w:val="32"/>
          <w:szCs w:val="32"/>
        </w:rPr>
        <w:t>根据</w:t>
      </w:r>
      <w:r>
        <w:rPr>
          <w:rFonts w:hint="eastAsia" w:ascii="方正仿宋_GBK" w:hAnsi="方正仿宋_GBK" w:eastAsia="方正仿宋_GBK" w:cs="方正仿宋_GBK"/>
          <w:color w:val="000000" w:themeColor="text1"/>
          <w:sz w:val="32"/>
          <w:szCs w:val="32"/>
        </w:rPr>
        <w:t>《中共盈江县委农村工作领导小组关于同意盈江县2025年度第一批次衔接资金（中央资金）项目计划及资金的批复》（</w:t>
      </w:r>
      <w:r>
        <w:rPr>
          <w:rFonts w:hint="eastAsia" w:ascii="方正仿宋_GBK" w:hAnsi="方正仿宋_GBK" w:eastAsia="方正仿宋_GBK" w:cs="方正仿宋_GBK"/>
          <w:color w:val="000000" w:themeColor="text1"/>
          <w:sz w:val="32"/>
          <w:szCs w:val="32"/>
          <w:shd w:val="clear" w:fill="FFFFFF"/>
        </w:rPr>
        <w:t>盈农领</w:t>
      </w:r>
      <w:r>
        <w:rPr>
          <w:rFonts w:hint="eastAsia" w:ascii="方正仿宋_GBK" w:hAnsi="方正仿宋_GBK" w:eastAsia="方正仿宋_GBK" w:cs="方正仿宋_GBK"/>
          <w:color w:val="000000" w:themeColor="text1"/>
          <w:sz w:val="32"/>
          <w:szCs w:val="32"/>
        </w:rPr>
        <w:t>发〔2025〕1号）</w:t>
      </w:r>
      <w:r>
        <w:rPr>
          <w:rFonts w:hint="eastAsia" w:ascii="方正仿宋_GBK" w:hAnsi="方正仿宋_GBK" w:eastAsia="方正仿宋_GBK" w:cs="方正仿宋_GBK"/>
          <w:color w:val="auto"/>
          <w:sz w:val="32"/>
          <w:szCs w:val="32"/>
        </w:rPr>
        <w:t>等文件精神</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项目到位资金85万元，全部为中央财政衔接资金，</w:t>
      </w:r>
      <w:r>
        <w:rPr>
          <w:rFonts w:hint="eastAsia" w:ascii="方正仿宋_GBK" w:hAnsi="方正仿宋_GBK" w:eastAsia="方正仿宋_GBK" w:cs="方正仿宋_GBK"/>
          <w:sz w:val="32"/>
          <w:szCs w:val="32"/>
          <w:lang w:val="en-US" w:eastAsia="zh-CN"/>
        </w:rPr>
        <w:t>资金到位率100%。均为补助资金。</w:t>
      </w:r>
      <w:r>
        <w:rPr>
          <w:rFonts w:hint="eastAsia" w:ascii="方正仿宋_GBK" w:hAnsi="方正仿宋_GBK" w:eastAsia="方正仿宋_GBK" w:cs="方正仿宋_GBK"/>
          <w:sz w:val="32"/>
          <w:szCs w:val="32"/>
          <w:shd w:val="clear" w:fill="FFFFFF"/>
          <w:lang w:val="en-US" w:eastAsia="zh-CN"/>
        </w:rPr>
        <w:t>截至目前</w:t>
      </w:r>
      <w:r>
        <w:rPr>
          <w:rFonts w:hint="eastAsia" w:ascii="方正仿宋_GBK" w:hAnsi="方正仿宋_GBK" w:eastAsia="方正仿宋_GBK" w:cs="方正仿宋_GBK"/>
          <w:sz w:val="32"/>
          <w:szCs w:val="32"/>
          <w:lang w:val="en-US" w:eastAsia="zh-CN"/>
        </w:rPr>
        <w:t>，资金已拨付85万元，拨付率100%。</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560" w:lineRule="exact"/>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项目主要内容和实施进展情况</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_GBK" w:hAnsi="方正仿宋_GBK" w:eastAsia="方正仿宋_GBK" w:cs="方正仿宋_GBK"/>
          <w:bCs/>
          <w:color w:val="000000" w:themeColor="text1"/>
          <w:sz w:val="32"/>
          <w:szCs w:val="32"/>
          <w:lang w:val="en-US" w:eastAsia="zh-CN"/>
        </w:rPr>
      </w:pPr>
      <w:r>
        <w:rPr>
          <w:rFonts w:hint="eastAsia" w:ascii="方正仿宋_GBK" w:hAnsi="方正仿宋_GBK" w:eastAsia="方正仿宋_GBK" w:cs="方正仿宋_GBK"/>
          <w:bCs/>
          <w:color w:val="000000" w:themeColor="text1"/>
          <w:sz w:val="32"/>
          <w:szCs w:val="32"/>
          <w:shd w:val="clear" w:fill="FFFFFF"/>
          <w:lang w:val="en-US" w:eastAsia="zh-CN"/>
        </w:rPr>
        <w:t>1.</w:t>
      </w:r>
      <w:r>
        <w:rPr>
          <w:rFonts w:hint="eastAsia" w:ascii="方正仿宋_GBK" w:hAnsi="方正仿宋_GBK" w:eastAsia="方正仿宋_GBK" w:cs="方正仿宋_GBK"/>
          <w:bCs/>
          <w:color w:val="000000" w:themeColor="text1"/>
          <w:sz w:val="32"/>
          <w:szCs w:val="32"/>
          <w:lang w:val="en-US" w:eastAsia="zh-CN"/>
        </w:rPr>
        <w:t>项目主要内容</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_GBK" w:hAnsi="方正仿宋_GBK" w:eastAsia="方正仿宋_GBK" w:cs="方正仿宋_GBK"/>
          <w:bCs/>
          <w:color w:val="000000" w:themeColor="text1"/>
          <w:sz w:val="32"/>
          <w:szCs w:val="32"/>
          <w:highlight w:val="none"/>
        </w:rPr>
      </w:pPr>
      <w:r>
        <w:rPr>
          <w:rFonts w:hint="eastAsia" w:ascii="方正仿宋_GBK" w:hAnsi="方正仿宋_GBK" w:eastAsia="方正仿宋_GBK" w:cs="方正仿宋_GBK"/>
          <w:bCs/>
          <w:color w:val="000000" w:themeColor="text1"/>
          <w:sz w:val="32"/>
          <w:szCs w:val="32"/>
          <w:lang w:val="en-US" w:eastAsia="zh-CN"/>
        </w:rPr>
        <w:t>项目在全县15个乡镇中实施，实施时间为2025年1月-12月。</w:t>
      </w:r>
      <w:r>
        <w:rPr>
          <w:rFonts w:hint="eastAsia" w:ascii="方正仿宋_GBK" w:hAnsi="方正仿宋_GBK" w:eastAsia="方正仿宋_GBK" w:cs="方正仿宋_GBK"/>
          <w:bCs/>
          <w:color w:val="000000" w:themeColor="text1"/>
          <w:sz w:val="32"/>
          <w:szCs w:val="32"/>
        </w:rPr>
        <w:t>对</w:t>
      </w:r>
      <w:r>
        <w:rPr>
          <w:rFonts w:hint="eastAsia" w:ascii="方正仿宋_GBK" w:hAnsi="方正仿宋_GBK" w:eastAsia="方正仿宋_GBK" w:cs="方正仿宋_GBK"/>
          <w:bCs/>
          <w:color w:val="000000" w:themeColor="text1"/>
          <w:sz w:val="32"/>
          <w:szCs w:val="32"/>
          <w:lang w:val="en-US" w:eastAsia="zh-CN"/>
        </w:rPr>
        <w:t>2024年以来因市场价格波动大、导致增收困难的脱贫养殖户（</w:t>
      </w:r>
      <w:r>
        <w:rPr>
          <w:rFonts w:hint="eastAsia" w:ascii="方正仿宋_GBK" w:hAnsi="方正仿宋_GBK" w:eastAsia="方正仿宋_GBK" w:cs="方正仿宋_GBK"/>
          <w:bCs/>
          <w:color w:val="000000" w:themeColor="text1"/>
          <w:sz w:val="32"/>
          <w:szCs w:val="32"/>
          <w:shd w:val="clear" w:fill="FFFFFF"/>
          <w:lang w:val="en-US" w:eastAsia="zh-CN"/>
        </w:rPr>
        <w:t>含</w:t>
      </w:r>
      <w:r>
        <w:rPr>
          <w:rFonts w:hint="eastAsia" w:ascii="方正仿宋_GBK" w:hAnsi="方正仿宋_GBK" w:eastAsia="方正仿宋_GBK" w:cs="方正仿宋_GBK"/>
          <w:bCs/>
          <w:color w:val="000000" w:themeColor="text1"/>
          <w:sz w:val="32"/>
          <w:szCs w:val="32"/>
        </w:rPr>
        <w:t>监测帮扶对象</w:t>
      </w:r>
      <w:r>
        <w:rPr>
          <w:rFonts w:hint="eastAsia" w:ascii="方正仿宋_GBK" w:hAnsi="方正仿宋_GBK" w:eastAsia="方正仿宋_GBK" w:cs="方正仿宋_GBK"/>
          <w:bCs/>
          <w:color w:val="000000" w:themeColor="text1"/>
          <w:sz w:val="32"/>
          <w:szCs w:val="32"/>
          <w:lang w:val="en-US" w:eastAsia="zh-CN"/>
        </w:rPr>
        <w:t>）分类给予一次性奖补，降低价格大幅导致的返贫风险。对</w:t>
      </w:r>
      <w:r>
        <w:rPr>
          <w:rFonts w:hint="eastAsia" w:ascii="方正仿宋_GBK" w:hAnsi="方正仿宋_GBK" w:eastAsia="方正仿宋_GBK" w:cs="方正仿宋_GBK"/>
          <w:bCs/>
          <w:color w:val="000000" w:themeColor="text1"/>
          <w:sz w:val="32"/>
          <w:szCs w:val="32"/>
        </w:rPr>
        <w:t>出栏出售饲养1年以上（饲养时间可追溯至2023年）能繁母牛、肉牛的监测帮扶对象、其他脱贫户，可分别给予每头1500元、1000元的一次性补贴；对2024年10月1日后出生</w:t>
      </w:r>
      <w:r>
        <w:rPr>
          <w:rFonts w:hint="eastAsia" w:ascii="方正仿宋_GBK" w:hAnsi="方正仿宋_GBK" w:eastAsia="方正仿宋_GBK" w:cs="方正仿宋_GBK"/>
          <w:bCs/>
          <w:color w:val="000000" w:themeColor="text1"/>
          <w:sz w:val="32"/>
          <w:szCs w:val="32"/>
          <w:shd w:val="clear" w:fill="FFFFFF"/>
        </w:rPr>
        <w:t>且</w:t>
      </w:r>
      <w:r>
        <w:rPr>
          <w:rFonts w:hint="eastAsia" w:ascii="方正仿宋_GBK" w:hAnsi="方正仿宋_GBK" w:eastAsia="方正仿宋_GBK" w:cs="方正仿宋_GBK"/>
          <w:bCs/>
          <w:color w:val="000000" w:themeColor="text1"/>
          <w:sz w:val="32"/>
          <w:szCs w:val="32"/>
        </w:rPr>
        <w:t>饲养3个月以上的新生犊牛，可采取“见</w:t>
      </w:r>
      <w:r>
        <w:rPr>
          <w:rFonts w:hint="eastAsia" w:ascii="方正仿宋_GBK" w:hAnsi="方正仿宋_GBK" w:eastAsia="方正仿宋_GBK" w:cs="方正仿宋_GBK"/>
          <w:bCs/>
          <w:color w:val="000000" w:themeColor="text1"/>
          <w:sz w:val="32"/>
          <w:szCs w:val="32"/>
          <w:shd w:val="clear" w:fill="FFFFFF"/>
        </w:rPr>
        <w:t>犊补母</w:t>
      </w:r>
      <w:r>
        <w:rPr>
          <w:rFonts w:hint="eastAsia" w:ascii="方正仿宋_GBK" w:hAnsi="方正仿宋_GBK" w:eastAsia="方正仿宋_GBK" w:cs="方正仿宋_GBK"/>
          <w:bCs/>
          <w:color w:val="000000" w:themeColor="text1"/>
          <w:sz w:val="32"/>
          <w:szCs w:val="32"/>
        </w:rPr>
        <w:t>”的方式，按每头母牛500元的标准给予补贴。两项政策监测帮扶对象、其他脱贫户每</w:t>
      </w:r>
      <w:r>
        <w:rPr>
          <w:rFonts w:hint="eastAsia" w:ascii="方正仿宋_GBK" w:hAnsi="方正仿宋_GBK" w:eastAsia="方正仿宋_GBK" w:cs="方正仿宋_GBK"/>
          <w:bCs/>
          <w:color w:val="000000" w:themeColor="text1"/>
          <w:sz w:val="32"/>
          <w:szCs w:val="32"/>
          <w:highlight w:val="none"/>
        </w:rPr>
        <w:t>户每年补贴合计最高分别不超过10000元和6000元。</w:t>
      </w:r>
    </w:p>
    <w:p>
      <w:pPr>
        <w:keepNext w:val="0"/>
        <w:keepLines w:val="0"/>
        <w:pageBreakBefore w:val="0"/>
        <w:widowControl/>
        <w:numPr>
          <w:ilvl w:val="0"/>
          <w:numId w:val="2"/>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实施进展情况</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项目严格批复及相关文件执行，于2025年6月底完结，补助资金分两批进行公示，无异议后再进行发放，其中第一批于2025年3月25日完成发放，涉及补助资金13.5万元。第二批于2025年6月25日完成发放，涉及补助资金71.5万元，共完成发放补助资金85万元，受益脱贫户、监测帮扶对象420户1941人，涉及补助牛1054头（其中：出栏能繁母牛253头，补助37.95万元；出栏肉牛140头，补助14万元；新生犊牛661头，补助33.05万元）。项目</w:t>
      </w:r>
      <w:r>
        <w:rPr>
          <w:rFonts w:hint="eastAsia" w:ascii="方正仿宋_GBK" w:hAnsi="方正仿宋_GBK" w:eastAsia="方正仿宋_GBK" w:cs="方正仿宋_GBK"/>
          <w:b w:val="0"/>
          <w:bCs w:val="0"/>
          <w:color w:val="auto"/>
          <w:sz w:val="32"/>
          <w:szCs w:val="32"/>
          <w:lang w:val="en-US" w:eastAsia="zh-CN"/>
        </w:rPr>
        <w:t>借助“云南防疫”、“云南省动物检疫监督管理系统”小程序进行溯源，组织“乡镇+县级抽查”进村入户现场核实养殖情况，确保精准锁定符合项目补助条件的脱贫户（</w:t>
      </w:r>
      <w:r>
        <w:rPr>
          <w:rFonts w:hint="eastAsia" w:ascii="方正仿宋_GBK" w:hAnsi="方正仿宋_GBK" w:eastAsia="方正仿宋_GBK" w:cs="方正仿宋_GBK"/>
          <w:b w:val="0"/>
          <w:bCs w:val="0"/>
          <w:color w:val="auto"/>
          <w:sz w:val="32"/>
          <w:szCs w:val="32"/>
          <w:shd w:val="clear" w:fill="FFFFFF"/>
          <w:lang w:val="en-US" w:eastAsia="zh-CN"/>
        </w:rPr>
        <w:t>含</w:t>
      </w:r>
      <w:r>
        <w:rPr>
          <w:rFonts w:hint="eastAsia" w:ascii="方正仿宋_GBK" w:hAnsi="方正仿宋_GBK" w:eastAsia="方正仿宋_GBK" w:cs="方正仿宋_GBK"/>
          <w:b w:val="0"/>
          <w:bCs w:val="0"/>
          <w:color w:val="auto"/>
          <w:sz w:val="32"/>
          <w:szCs w:val="32"/>
          <w:lang w:val="en-US" w:eastAsia="zh-CN"/>
        </w:rPr>
        <w:t>监测帮扶对象）。创新设置“追溯饲养年限+新生犊牛存活期”双重验证标准，通过耳标登记、防疫记录等实现饲养周期追溯，累计完成核查1214次其中县级核查160次，乡镇核查1054次，杜绝了虚报冒领，确保补助资金落到实处。</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三、项目绩效目标完成情况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（一）总体目标预期完成情况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kern w:val="0"/>
          <w:sz w:val="32"/>
          <w:szCs w:val="32"/>
          <w:lang w:val="en-US" w:eastAsia="zh-CN" w:bidi="ar-SA"/>
        </w:rPr>
      </w:pPr>
      <w:r>
        <w:rPr>
          <w:rFonts w:hint="eastAsia" w:ascii="方正仿宋_GBK" w:hAnsi="方正仿宋_GBK" w:eastAsia="方正仿宋_GBK" w:cs="方正仿宋_GBK"/>
          <w:kern w:val="0"/>
          <w:sz w:val="32"/>
          <w:szCs w:val="32"/>
          <w:lang w:val="en-US" w:eastAsia="zh-CN" w:bidi="ar-SA"/>
        </w:rPr>
        <w:t>目前项目已完结，共完成发放补助资金85万元，</w:t>
      </w:r>
      <w:r>
        <w:rPr>
          <w:rFonts w:hint="eastAsia" w:ascii="方正仿宋_GBK" w:hAnsi="方正仿宋_GBK" w:eastAsia="方正仿宋_GBK" w:cs="方正仿宋_GBK"/>
          <w:kern w:val="0"/>
          <w:sz w:val="32"/>
          <w:szCs w:val="32"/>
          <w:shd w:val="clear" w:fill="FFFFFF"/>
          <w:lang w:val="en-US" w:eastAsia="zh-CN" w:bidi="ar-SA"/>
        </w:rPr>
        <w:t>受益</w:t>
      </w:r>
      <w:r>
        <w:rPr>
          <w:rFonts w:hint="eastAsia" w:ascii="方正仿宋_GBK" w:hAnsi="方正仿宋_GBK" w:eastAsia="方正仿宋_GBK" w:cs="方正仿宋_GBK"/>
          <w:kern w:val="0"/>
          <w:sz w:val="32"/>
          <w:szCs w:val="32"/>
          <w:lang w:val="en-US" w:eastAsia="zh-CN" w:bidi="ar-SA"/>
        </w:rPr>
        <w:t>脱贫户、监测帮扶对象420户1941人，涉及补助牛1054头（其中：出栏能繁母牛253头，补助37.95万元；出栏肉牛140头，补助14万元；新生犊牛661头，补助33.05万元）。确保全县脱贫（</w:t>
      </w:r>
      <w:r>
        <w:rPr>
          <w:rFonts w:hint="eastAsia" w:ascii="方正仿宋_GBK" w:hAnsi="方正仿宋_GBK" w:eastAsia="方正仿宋_GBK" w:cs="方正仿宋_GBK"/>
          <w:kern w:val="0"/>
          <w:sz w:val="32"/>
          <w:szCs w:val="32"/>
          <w:shd w:val="clear" w:fill="FFFFFF"/>
          <w:lang w:val="en-US" w:eastAsia="zh-CN" w:bidi="ar-SA"/>
        </w:rPr>
        <w:t>含</w:t>
      </w:r>
      <w:r>
        <w:rPr>
          <w:rFonts w:hint="eastAsia" w:ascii="方正仿宋_GBK" w:hAnsi="方正仿宋_GBK" w:eastAsia="方正仿宋_GBK" w:cs="方正仿宋_GBK"/>
          <w:kern w:val="0"/>
          <w:sz w:val="32"/>
          <w:szCs w:val="32"/>
          <w:lang w:val="en-US" w:eastAsia="zh-CN" w:bidi="ar-SA"/>
        </w:rPr>
        <w:t>监测帮扶对象）肉牛养殖户收入达标，进一步巩固</w:t>
      </w:r>
      <w:r>
        <w:rPr>
          <w:rFonts w:hint="eastAsia" w:ascii="方正仿宋_GBK" w:hAnsi="方正仿宋_GBK" w:eastAsia="方正仿宋_GBK" w:cs="方正仿宋_GBK"/>
          <w:kern w:val="0"/>
          <w:sz w:val="32"/>
          <w:szCs w:val="32"/>
          <w:shd w:val="clear" w:fill="FFFFFF"/>
          <w:lang w:val="en-US" w:eastAsia="zh-CN" w:bidi="ar-SA"/>
        </w:rPr>
        <w:t>脱贫攻坚成果</w:t>
      </w:r>
      <w:r>
        <w:rPr>
          <w:rFonts w:hint="eastAsia" w:ascii="方正仿宋_GBK" w:hAnsi="方正仿宋_GBK" w:eastAsia="方正仿宋_GBK" w:cs="方正仿宋_GBK"/>
          <w:kern w:val="0"/>
          <w:sz w:val="32"/>
          <w:szCs w:val="32"/>
          <w:lang w:val="en-US" w:eastAsia="zh-CN" w:bidi="ar-SA"/>
        </w:rPr>
        <w:t>目标。</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（二）各项目绩效指标进展分析和完成情况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1.数量指标：</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（1）出栏出售能繁母牛≤1500元/头，执行标准1500元/头，完成任务量的100%。</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（2）出栏出售肉牛≤1000元/头，执行标准1000元/头，完成任务量的100%。</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bookmarkStart w:id="0" w:name="_GoBack"/>
      <w:r>
        <w:rPr>
          <w:rFonts w:hint="eastAsia" w:ascii="方正仿宋_GBK" w:hAnsi="方正仿宋_GBK" w:eastAsia="方正仿宋_GBK" w:cs="方正仿宋_GBK"/>
          <w:sz w:val="32"/>
          <w:szCs w:val="32"/>
          <w:lang w:val="en-US" w:eastAsia="zh-CN"/>
        </w:rPr>
        <w:t>（3）新生犊牛每头母牛≤1000元/头，执行标准1000元/头，完成任务量的100%。</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2.时效指标</w:t>
      </w:r>
    </w:p>
    <w:p>
      <w:pPr>
        <w:keepNext w:val="0"/>
        <w:keepLines w:val="0"/>
        <w:pageBreakBefore w:val="0"/>
        <w:widowControl/>
        <w:kinsoku/>
        <w:wordWrap/>
        <w:overflowPunct/>
        <w:topLinePunct w:val="0"/>
        <w:autoSpaceDE/>
        <w:autoSpaceDN/>
        <w:bidi w:val="0"/>
        <w:adjustRightInd w:val="0"/>
        <w:snapToGrid w:val="0"/>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项目完成及时率100%，于6月底已全部兑付完结，项目完成及时率为100%。</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3.成本指标</w:t>
      </w:r>
      <w:r>
        <w:rPr>
          <w:rFonts w:hint="eastAsia" w:ascii="方正仿宋_GBK" w:hAnsi="方正仿宋_GBK" w:eastAsia="方正仿宋_GBK" w:cs="方正仿宋_GBK"/>
          <w:sz w:val="32"/>
          <w:szCs w:val="32"/>
          <w:shd w:val="clear" w:fill="FFFFFF"/>
          <w:lang w:val="en-US" w:eastAsia="zh-CN"/>
        </w:rPr>
        <w:t>奖补</w:t>
      </w:r>
      <w:r>
        <w:rPr>
          <w:rFonts w:hint="eastAsia" w:ascii="方正仿宋_GBK" w:hAnsi="方正仿宋_GBK" w:eastAsia="方正仿宋_GBK" w:cs="方正仿宋_GBK"/>
          <w:sz w:val="32"/>
          <w:szCs w:val="32"/>
          <w:lang w:val="en-US" w:eastAsia="zh-CN"/>
        </w:rPr>
        <w:t>成本≤85万元，实际</w:t>
      </w:r>
      <w:r>
        <w:rPr>
          <w:rFonts w:hint="eastAsia" w:ascii="方正仿宋_GBK" w:hAnsi="方正仿宋_GBK" w:eastAsia="方正仿宋_GBK" w:cs="方正仿宋_GBK"/>
          <w:sz w:val="32"/>
          <w:szCs w:val="32"/>
          <w:shd w:val="clear" w:fill="FFFFFF"/>
          <w:lang w:val="en-US" w:eastAsia="zh-CN"/>
        </w:rPr>
        <w:t>奖补</w:t>
      </w:r>
      <w:r>
        <w:rPr>
          <w:rFonts w:hint="eastAsia" w:ascii="方正仿宋_GBK" w:hAnsi="方正仿宋_GBK" w:eastAsia="方正仿宋_GBK" w:cs="方正仿宋_GBK"/>
          <w:sz w:val="32"/>
          <w:szCs w:val="32"/>
          <w:lang w:val="en-US" w:eastAsia="zh-CN"/>
        </w:rPr>
        <w:t>成本85万元，完成任务量的100%。</w:t>
      </w:r>
    </w:p>
    <w:p>
      <w:pPr>
        <w:keepNext w:val="0"/>
        <w:keepLines w:val="0"/>
        <w:pageBreakBefore w:val="0"/>
        <w:widowControl/>
        <w:kinsoku/>
        <w:wordWrap/>
        <w:overflowPunct/>
        <w:topLinePunct w:val="0"/>
        <w:autoSpaceDE/>
        <w:autoSpaceDN/>
        <w:bidi w:val="0"/>
        <w:adjustRightInd w:val="0"/>
        <w:snapToGrid w:val="0"/>
        <w:spacing w:after="0"/>
        <w:ind w:firstLine="640" w:firstLineChars="200"/>
        <w:textAlignment w:val="auto"/>
        <w:rPr>
          <w:rFonts w:hint="eastAsia"/>
          <w:lang w:val="en-US" w:eastAsia="zh-CN"/>
        </w:rPr>
      </w:pPr>
      <w:r>
        <w:rPr>
          <w:rFonts w:hint="eastAsia" w:ascii="方正仿宋_GBK" w:hAnsi="方正仿宋_GBK" w:eastAsia="方正仿宋_GBK" w:cs="方正仿宋_GBK"/>
          <w:sz w:val="32"/>
          <w:szCs w:val="32"/>
          <w:lang w:val="en-US" w:eastAsia="zh-CN"/>
        </w:rPr>
        <w:t>4.社会效益指标受益养殖户≥110户，实际受益养殖户420户，完成任务量的381.8%。</w:t>
      </w:r>
    </w:p>
    <w:p>
      <w:pPr>
        <w:keepNext w:val="0"/>
        <w:keepLines w:val="0"/>
        <w:pageBreakBefore w:val="0"/>
        <w:widowControl/>
        <w:kinsoku/>
        <w:wordWrap/>
        <w:overflowPunct/>
        <w:topLinePunct w:val="0"/>
        <w:autoSpaceDE/>
        <w:autoSpaceDN/>
        <w:bidi w:val="0"/>
        <w:adjustRightInd w:val="0"/>
        <w:snapToGrid w:val="0"/>
        <w:spacing w:after="0"/>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5.可持续影响指标</w:t>
      </w:r>
    </w:p>
    <w:bookmarkEnd w:id="0"/>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脱贫养殖户（</w:t>
      </w:r>
      <w:r>
        <w:rPr>
          <w:rFonts w:hint="eastAsia" w:ascii="方正仿宋_GBK" w:hAnsi="方正仿宋_GBK" w:eastAsia="方正仿宋_GBK" w:cs="方正仿宋_GBK"/>
          <w:sz w:val="32"/>
          <w:szCs w:val="32"/>
          <w:shd w:val="clear" w:fill="FFFFFF"/>
          <w:lang w:val="en-US" w:eastAsia="zh-CN"/>
        </w:rPr>
        <w:t>含</w:t>
      </w:r>
      <w:r>
        <w:rPr>
          <w:rFonts w:hint="eastAsia" w:ascii="方正仿宋_GBK" w:hAnsi="方正仿宋_GBK" w:eastAsia="方正仿宋_GBK" w:cs="方正仿宋_GBK"/>
          <w:sz w:val="32"/>
          <w:szCs w:val="32"/>
          <w:lang w:val="en-US" w:eastAsia="zh-CN"/>
        </w:rPr>
        <w:t>监测帮扶对象）收入持续增长，实际脱贫养殖户（</w:t>
      </w:r>
      <w:r>
        <w:rPr>
          <w:rFonts w:hint="eastAsia" w:ascii="方正仿宋_GBK" w:hAnsi="方正仿宋_GBK" w:eastAsia="方正仿宋_GBK" w:cs="方正仿宋_GBK"/>
          <w:sz w:val="32"/>
          <w:szCs w:val="32"/>
          <w:shd w:val="clear" w:fill="FFFFFF"/>
          <w:lang w:val="en-US" w:eastAsia="zh-CN"/>
        </w:rPr>
        <w:t>含</w:t>
      </w:r>
      <w:r>
        <w:rPr>
          <w:rFonts w:hint="eastAsia" w:ascii="方正仿宋_GBK" w:hAnsi="方正仿宋_GBK" w:eastAsia="方正仿宋_GBK" w:cs="方正仿宋_GBK"/>
          <w:sz w:val="32"/>
          <w:szCs w:val="32"/>
          <w:lang w:val="en-US" w:eastAsia="zh-CN"/>
        </w:rPr>
        <w:t>监测帮扶对象）享受到了政策的红利，肉牛市场的回暖等因素的影响，养殖热情高涨，收入持续增长中。</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6.服务对象满意度指标</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受益群众满意度95%。受益群众满意度调查29户，均为非常满意，受益群众满意度调查100%。</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四、存在的问题及原因分析</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项目严格按照批复方案执行，项目推进井然有序，</w:t>
      </w:r>
      <w:r>
        <w:rPr>
          <w:rFonts w:hint="eastAsia" w:ascii="方正仿宋_GBK" w:hAnsi="方正仿宋_GBK" w:eastAsia="方正仿宋_GBK" w:cs="方正仿宋_GBK"/>
          <w:sz w:val="32"/>
          <w:szCs w:val="32"/>
          <w:shd w:val="clear" w:fill="FFFFFF"/>
          <w:lang w:val="en-US" w:eastAsia="zh-CN"/>
        </w:rPr>
        <w:t>及时足额地将</w:t>
      </w:r>
      <w:r>
        <w:rPr>
          <w:rFonts w:hint="eastAsia" w:ascii="方正仿宋_GBK" w:hAnsi="方正仿宋_GBK" w:eastAsia="方正仿宋_GBK" w:cs="方正仿宋_GBK"/>
          <w:sz w:val="32"/>
          <w:szCs w:val="32"/>
          <w:lang w:val="en-US" w:eastAsia="zh-CN"/>
        </w:rPr>
        <w:t>补助资金兑付到受益群众手中，未发现相关的问题。</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五、下一步工作措施</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w:t>
      </w:r>
      <w:r>
        <w:rPr>
          <w:rFonts w:hint="eastAsia" w:ascii="方正仿宋_GBK" w:hAnsi="方正仿宋_GBK" w:eastAsia="方正仿宋_GBK" w:cs="方正仿宋_GBK"/>
          <w:b/>
          <w:bCs/>
          <w:sz w:val="32"/>
          <w:szCs w:val="32"/>
          <w:lang w:val="en-US" w:eastAsia="zh-CN"/>
        </w:rPr>
        <w:t>查缺补漏，总结经验做法</w:t>
      </w:r>
      <w:r>
        <w:rPr>
          <w:rFonts w:hint="eastAsia" w:ascii="方正仿宋_GBK" w:hAnsi="方正仿宋_GBK" w:eastAsia="方正仿宋_GBK" w:cs="方正仿宋_GBK"/>
          <w:sz w:val="32"/>
          <w:szCs w:val="32"/>
          <w:lang w:val="en-US" w:eastAsia="zh-CN"/>
        </w:rPr>
        <w:t>。夯实工作作风，积极争取各级项目资金，让政策的红利惠及盈江千家万户。</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w:t>
      </w:r>
      <w:r>
        <w:rPr>
          <w:rFonts w:hint="eastAsia" w:ascii="方正仿宋_GBK" w:hAnsi="方正仿宋_GBK" w:eastAsia="方正仿宋_GBK" w:cs="方正仿宋_GBK"/>
          <w:b/>
          <w:bCs/>
          <w:color w:val="000000" w:themeColor="text1"/>
          <w:sz w:val="32"/>
          <w:szCs w:val="32"/>
        </w:rPr>
        <w:t>强化督促指导</w:t>
      </w:r>
      <w:r>
        <w:rPr>
          <w:rFonts w:hint="eastAsia" w:ascii="方正仿宋_GBK" w:hAnsi="方正仿宋_GBK" w:eastAsia="方正仿宋_GBK" w:cs="方正仿宋_GBK"/>
          <w:sz w:val="32"/>
          <w:szCs w:val="32"/>
          <w:lang w:val="en-US" w:eastAsia="zh-CN"/>
        </w:rPr>
        <w:t>。充分发挥党总揽全局、协调各方的核心作用，及时成立项目实施领导小组，统筹推进工作力量、组织保障、规划实施、项目建设等方面的有机结合，不断强化组织管理，明确分工，落实责任。</w:t>
      </w:r>
    </w:p>
    <w:p>
      <w:pPr>
        <w:keepNext w:val="0"/>
        <w:keepLines w:val="0"/>
        <w:pageBreakBefore w:val="0"/>
        <w:widowControl/>
        <w:kinsoku/>
        <w:wordWrap/>
        <w:overflowPunct/>
        <w:topLinePunct w:val="0"/>
        <w:autoSpaceDE/>
        <w:autoSpaceDN/>
        <w:bidi w:val="0"/>
        <w:adjustRightInd w:val="0"/>
        <w:snapToGrid w:val="0"/>
        <w:spacing w:line="560" w:lineRule="exact"/>
        <w:ind w:firstLine="627" w:firstLineChars="196"/>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sz w:val="32"/>
          <w:szCs w:val="32"/>
          <w:lang w:val="en-US" w:eastAsia="zh-CN"/>
        </w:rPr>
        <w:t>（三）</w:t>
      </w:r>
      <w:r>
        <w:rPr>
          <w:rFonts w:hint="eastAsia" w:ascii="方正仿宋_GBK" w:hAnsi="方正仿宋_GBK" w:eastAsia="方正仿宋_GBK" w:cs="方正仿宋_GBK"/>
          <w:b/>
          <w:bCs/>
          <w:color w:val="000000" w:themeColor="text1"/>
          <w:sz w:val="32"/>
          <w:szCs w:val="32"/>
        </w:rPr>
        <w:t>严格资金管理</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color w:val="000000" w:themeColor="text1"/>
          <w:sz w:val="32"/>
          <w:szCs w:val="32"/>
        </w:rPr>
        <w:t>在项目资金管理使用中，严格按照财政部等6部委《关于加强中央财政衔接推进乡村振兴补助资金使用管理的指导意见》（</w:t>
      </w:r>
      <w:r>
        <w:rPr>
          <w:rFonts w:hint="eastAsia" w:ascii="方正仿宋_GBK" w:hAnsi="方正仿宋_GBK" w:eastAsia="方正仿宋_GBK" w:cs="方正仿宋_GBK"/>
          <w:color w:val="000000" w:themeColor="text1"/>
          <w:sz w:val="32"/>
          <w:szCs w:val="32"/>
          <w:shd w:val="clear" w:fill="FFFFFF"/>
        </w:rPr>
        <w:t>财农</w:t>
      </w:r>
      <w:r>
        <w:rPr>
          <w:rFonts w:hint="eastAsia" w:ascii="方正仿宋_GBK" w:hAnsi="方正仿宋_GBK" w:eastAsia="方正仿宋_GBK" w:cs="方正仿宋_GBK"/>
          <w:color w:val="000000" w:themeColor="text1"/>
          <w:sz w:val="32"/>
          <w:szCs w:val="32"/>
        </w:rPr>
        <w:t>〔2022〕4号）、《云南省财政衔接推进乡村振兴补助资金管理办法》（</w:t>
      </w:r>
      <w:r>
        <w:rPr>
          <w:rFonts w:hint="eastAsia" w:ascii="方正仿宋_GBK" w:hAnsi="方正仿宋_GBK" w:eastAsia="方正仿宋_GBK" w:cs="方正仿宋_GBK"/>
          <w:color w:val="000000" w:themeColor="text1"/>
          <w:sz w:val="32"/>
          <w:szCs w:val="32"/>
          <w:shd w:val="clear" w:fill="FFFFFF"/>
        </w:rPr>
        <w:t>云财农</w:t>
      </w:r>
      <w:r>
        <w:rPr>
          <w:rFonts w:hint="eastAsia" w:ascii="方正仿宋_GBK" w:hAnsi="方正仿宋_GBK" w:eastAsia="方正仿宋_GBK" w:cs="方正仿宋_GBK"/>
          <w:color w:val="000000" w:themeColor="text1"/>
          <w:sz w:val="32"/>
          <w:szCs w:val="32"/>
        </w:rPr>
        <w:t>〔2021〕140号）、《云南省财政厅等六部门关于修订加强中央和省级财政衔接推进乡村振兴补助资金使用管理的实施意见的通知》（</w:t>
      </w:r>
      <w:r>
        <w:rPr>
          <w:rFonts w:hint="eastAsia" w:ascii="方正仿宋_GBK" w:hAnsi="方正仿宋_GBK" w:eastAsia="方正仿宋_GBK" w:cs="方正仿宋_GBK"/>
          <w:color w:val="000000" w:themeColor="text1"/>
          <w:sz w:val="32"/>
          <w:szCs w:val="32"/>
          <w:shd w:val="clear" w:fill="FFFFFF"/>
        </w:rPr>
        <w:t>云财规</w:t>
      </w:r>
      <w:r>
        <w:rPr>
          <w:rFonts w:hint="eastAsia" w:ascii="方正仿宋_GBK" w:hAnsi="方正仿宋_GBK" w:eastAsia="方正仿宋_GBK" w:cs="方正仿宋_GBK"/>
          <w:sz w:val="32"/>
          <w:szCs w:val="32"/>
        </w:rPr>
        <w:t>〔2024〕</w:t>
      </w:r>
      <w:r>
        <w:rPr>
          <w:rFonts w:hint="eastAsia" w:ascii="方正仿宋_GBK" w:hAnsi="方正仿宋_GBK" w:eastAsia="方正仿宋_GBK" w:cs="方正仿宋_GBK"/>
          <w:color w:val="000000" w:themeColor="text1"/>
          <w:sz w:val="32"/>
          <w:szCs w:val="32"/>
        </w:rPr>
        <w:t>10号）和《云南省财政厅等6部门关于印发云南省衔接资金项目资金管理操作手册的通知》</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shd w:val="clear" w:fill="FFFFFF"/>
        </w:rPr>
        <w:t>云财农</w:t>
      </w:r>
      <w:r>
        <w:rPr>
          <w:rFonts w:hint="eastAsia" w:ascii="方正仿宋_GBK" w:hAnsi="方正仿宋_GBK" w:eastAsia="方正仿宋_GBK" w:cs="方正仿宋_GBK"/>
          <w:sz w:val="32"/>
          <w:szCs w:val="32"/>
        </w:rPr>
        <w:t>〔2023〕191号）</w:t>
      </w:r>
      <w:r>
        <w:rPr>
          <w:rFonts w:hint="eastAsia" w:ascii="方正仿宋_GBK" w:hAnsi="方正仿宋_GBK" w:eastAsia="方正仿宋_GBK" w:cs="方正仿宋_GBK"/>
          <w:color w:val="000000" w:themeColor="text1"/>
          <w:sz w:val="32"/>
          <w:szCs w:val="32"/>
        </w:rPr>
        <w:t>规定安排使用资金，加强项目资金管理，按照项目建设内容及财政资金支持环节来严格使用，做到专款专用，严禁挤占、挪用、截留项目资金。</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六、其他需要说明的问题</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Chars="0" w:firstLine="1920" w:firstLineChars="6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无</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Chars="0"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附件：</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Chars="0" w:firstLine="1600" w:firstLineChars="5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1.项目绩效自评表</w:t>
      </w:r>
    </w:p>
    <w:p>
      <w:pPr>
        <w:pStyle w:val="2"/>
        <w:rPr>
          <w:rFonts w:hint="default"/>
          <w:lang w:val="en-US"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b w:val="0"/>
          <w:bCs/>
          <w:sz w:val="32"/>
          <w:szCs w:val="32"/>
          <w:lang w:val="en-US" w:eastAsia="zh-CN"/>
        </w:rPr>
        <w:t>2.绩效监控表</w:t>
      </w:r>
    </w:p>
    <w:p>
      <w:pPr>
        <w:pStyle w:val="6"/>
        <w:keepNext w:val="0"/>
        <w:keepLines w:val="0"/>
        <w:pageBreakBefore w:val="0"/>
        <w:widowControl/>
        <w:kinsoku/>
        <w:wordWrap/>
        <w:overflowPunct/>
        <w:topLinePunct w:val="0"/>
        <w:autoSpaceDE/>
        <w:autoSpaceDN/>
        <w:bidi w:val="0"/>
        <w:adjustRightInd w:val="0"/>
        <w:snapToGrid w:val="0"/>
        <w:spacing w:line="560" w:lineRule="exact"/>
        <w:textAlignment w:val="auto"/>
        <w:rPr>
          <w:rFonts w:hint="eastAsia" w:ascii="方正仿宋_GBK" w:hAnsi="方正仿宋_GBK" w:eastAsia="方正仿宋_GBK" w:cs="方正仿宋_GBK"/>
          <w:sz w:val="32"/>
          <w:szCs w:val="32"/>
          <w:lang w:val="en-US" w:eastAsia="zh-CN"/>
        </w:rPr>
      </w:pPr>
    </w:p>
    <w:p>
      <w:pPr>
        <w:pStyle w:val="7"/>
        <w:keepNext w:val="0"/>
        <w:keepLines w:val="0"/>
        <w:pageBreakBefore w:val="0"/>
        <w:widowControl/>
        <w:kinsoku/>
        <w:wordWrap/>
        <w:overflowPunct/>
        <w:topLinePunct w:val="0"/>
        <w:autoSpaceDE/>
        <w:autoSpaceDN/>
        <w:bidi w:val="0"/>
        <w:adjustRightInd w:val="0"/>
        <w:snapToGrid w:val="0"/>
        <w:spacing w:line="560" w:lineRule="exact"/>
        <w:textAlignment w:val="auto"/>
        <w:rPr>
          <w:rFonts w:hint="eastAsia" w:ascii="方正仿宋_GBK" w:hAnsi="方正仿宋_GBK" w:eastAsia="方正仿宋_GBK" w:cs="方正仿宋_GBK"/>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560" w:lineRule="exact"/>
        <w:textAlignment w:val="auto"/>
        <w:rPr>
          <w:rFonts w:hint="eastAsia" w:ascii="方正仿宋_GBK" w:hAnsi="方正仿宋_GBK" w:eastAsia="方正仿宋_GBK" w:cs="方正仿宋_GBK"/>
          <w:sz w:val="32"/>
          <w:szCs w:val="32"/>
          <w:lang w:val="en-US" w:eastAsia="zh-CN"/>
        </w:rPr>
      </w:pPr>
    </w:p>
    <w:p>
      <w:pPr>
        <w:pStyle w:val="6"/>
        <w:keepNext w:val="0"/>
        <w:keepLines w:val="0"/>
        <w:pageBreakBefore w:val="0"/>
        <w:widowControl/>
        <w:kinsoku/>
        <w:wordWrap/>
        <w:overflowPunct/>
        <w:topLinePunct w:val="0"/>
        <w:autoSpaceDE/>
        <w:autoSpaceDN/>
        <w:bidi w:val="0"/>
        <w:adjustRightInd w:val="0"/>
        <w:snapToGrid w:val="0"/>
        <w:spacing w:line="560" w:lineRule="exact"/>
        <w:textAlignment w:val="auto"/>
        <w:rPr>
          <w:rFonts w:hint="eastAsia" w:ascii="方正仿宋_GBK" w:hAnsi="方正仿宋_GBK" w:eastAsia="方正仿宋_GBK" w:cs="方正仿宋_GBK"/>
          <w:sz w:val="32"/>
          <w:szCs w:val="32"/>
          <w:lang w:val="en-US" w:eastAsia="zh-CN"/>
        </w:rPr>
      </w:pPr>
    </w:p>
    <w:p>
      <w:pPr>
        <w:pStyle w:val="7"/>
        <w:keepNext w:val="0"/>
        <w:keepLines w:val="0"/>
        <w:pageBreakBefore w:val="0"/>
        <w:widowControl/>
        <w:kinsoku/>
        <w:wordWrap/>
        <w:overflowPunct/>
        <w:topLinePunct w:val="0"/>
        <w:autoSpaceDE/>
        <w:autoSpaceDN/>
        <w:bidi w:val="0"/>
        <w:adjustRightInd w:val="0"/>
        <w:snapToGrid w:val="0"/>
        <w:spacing w:line="560" w:lineRule="exact"/>
        <w:textAlignment w:val="auto"/>
        <w:rPr>
          <w:rFonts w:hint="eastAsia" w:ascii="方正仿宋_GBK" w:hAnsi="方正仿宋_GBK" w:eastAsia="方正仿宋_GBK" w:cs="方正仿宋_GBK"/>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560" w:lineRule="exact"/>
        <w:ind w:firstLine="5120" w:firstLineChars="16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盈江县农业农村局</w:t>
      </w:r>
    </w:p>
    <w:p>
      <w:pPr>
        <w:pStyle w:val="6"/>
        <w:keepNext w:val="0"/>
        <w:keepLines w:val="0"/>
        <w:pageBreakBefore w:val="0"/>
        <w:widowControl/>
        <w:kinsoku/>
        <w:wordWrap/>
        <w:overflowPunct/>
        <w:topLinePunct w:val="0"/>
        <w:autoSpaceDE/>
        <w:autoSpaceDN/>
        <w:bidi w:val="0"/>
        <w:adjustRightInd w:val="0"/>
        <w:snapToGrid w:val="0"/>
        <w:spacing w:line="560" w:lineRule="exact"/>
        <w:ind w:firstLine="4800" w:firstLineChars="150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sz w:val="32"/>
          <w:szCs w:val="32"/>
          <w:lang w:val="en-US" w:eastAsia="zh-CN"/>
        </w:rPr>
        <w:t>2025年10月14日</w:t>
      </w:r>
    </w:p>
    <w:sectPr>
      <w:headerReference r:id="rId5" w:type="default"/>
      <w:footerReference r:id="rId6" w:type="default"/>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82194"/>
    <w:multiLevelType w:val="singleLevel"/>
    <w:tmpl w:val="BA782194"/>
    <w:lvl w:ilvl="0" w:tentative="0">
      <w:start w:val="2"/>
      <w:numFmt w:val="decimal"/>
      <w:suff w:val="nothing"/>
      <w:lvlText w:val="%1、"/>
      <w:lvlJc w:val="left"/>
    </w:lvl>
  </w:abstractNum>
  <w:abstractNum w:abstractNumId="1">
    <w:nsid w:val="57A5E594"/>
    <w:multiLevelType w:val="singleLevel"/>
    <w:tmpl w:val="57A5E59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2"/>
  </w:compat>
  <w:docVars>
    <w:docVar w:name="commondata" w:val="eyJoZGlkIjoiMDQzMGRhZjk2OTM2NjY4N2I2Y2Q4YjdmMTc4MmNhNzkifQ=="/>
    <w:docVar w:name="KSO_WPS_MARK_KEY" w:val="2e30689a-9167-4b57-a135-7234b828c932"/>
  </w:docVars>
  <w:rsids>
    <w:rsidRoot w:val="00D31D50"/>
    <w:rsid w:val="00323B43"/>
    <w:rsid w:val="003D37D8"/>
    <w:rsid w:val="00426133"/>
    <w:rsid w:val="004358AB"/>
    <w:rsid w:val="008B7726"/>
    <w:rsid w:val="00D31D50"/>
    <w:rsid w:val="01444A6E"/>
    <w:rsid w:val="09BE0E4E"/>
    <w:rsid w:val="0AC7576B"/>
    <w:rsid w:val="17D96724"/>
    <w:rsid w:val="2D553062"/>
    <w:rsid w:val="2E6C0F3C"/>
    <w:rsid w:val="3BAF7006"/>
    <w:rsid w:val="5261454B"/>
    <w:rsid w:val="54D738D4"/>
    <w:rsid w:val="55E6319B"/>
    <w:rsid w:val="569C6530"/>
    <w:rsid w:val="5EAD639D"/>
    <w:rsid w:val="5F762D8F"/>
    <w:rsid w:val="68604A70"/>
    <w:rsid w:val="6B9C444D"/>
    <w:rsid w:val="70D46ED4"/>
    <w:rsid w:val="73054102"/>
    <w:rsid w:val="74496AE9"/>
    <w:rsid w:val="74E018B8"/>
    <w:rsid w:val="760027C3"/>
    <w:rsid w:val="76146D96"/>
    <w:rsid w:val="77132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2"/>
    <w:basedOn w:val="1"/>
    <w:next w:val="1"/>
    <w:qFormat/>
    <w:uiPriority w:val="0"/>
    <w:pPr>
      <w:spacing w:before="280" w:after="280"/>
      <w:outlineLvl w:val="1"/>
    </w:pPr>
    <w:rPr>
      <w:rFonts w:ascii="宋体" w:eastAsia="宋体"/>
      <w:b/>
      <w:sz w:val="36"/>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line="240" w:lineRule="auto"/>
      <w:ind w:firstLine="0" w:firstLineChars="0"/>
      <w:jc w:val="both"/>
    </w:pPr>
  </w:style>
  <w:style w:type="paragraph" w:styleId="4">
    <w:name w:val="toc 5"/>
    <w:basedOn w:val="1"/>
    <w:next w:val="1"/>
    <w:qFormat/>
    <w:uiPriority w:val="0"/>
    <w:pPr>
      <w:wordWrap w:val="0"/>
      <w:ind w:left="1275"/>
    </w:pPr>
  </w:style>
  <w:style w:type="paragraph" w:styleId="5">
    <w:name w:val="Body Text Indent"/>
    <w:basedOn w:val="1"/>
    <w:next w:val="6"/>
    <w:qFormat/>
    <w:uiPriority w:val="0"/>
    <w:pPr>
      <w:ind w:firstLine="630"/>
    </w:pPr>
    <w:rPr>
      <w:kern w:val="0"/>
      <w:sz w:val="32"/>
    </w:rPr>
  </w:style>
  <w:style w:type="paragraph" w:styleId="6">
    <w:name w:val="Body Text First Indent 2"/>
    <w:basedOn w:val="5"/>
    <w:next w:val="7"/>
    <w:qFormat/>
    <w:uiPriority w:val="0"/>
    <w:pPr>
      <w:spacing w:after="120"/>
      <w:ind w:left="420" w:leftChars="200" w:firstLine="420" w:firstLineChars="200"/>
    </w:pPr>
    <w:rPr>
      <w:kern w:val="2"/>
      <w:sz w:val="21"/>
    </w:rPr>
  </w:style>
  <w:style w:type="paragraph" w:styleId="7">
    <w:name w:val="Body Text First Indent"/>
    <w:basedOn w:val="3"/>
    <w:next w:val="1"/>
    <w:qFormat/>
    <w:uiPriority w:val="0"/>
    <w:pPr>
      <w:spacing w:line="312" w:lineRule="auto"/>
      <w:ind w:firstLine="420"/>
    </w:pPr>
  </w:style>
  <w:style w:type="paragraph" w:styleId="8">
    <w:name w:val="footer"/>
    <w:basedOn w:val="1"/>
    <w:semiHidden/>
    <w:unhideWhenUsed/>
    <w:qFormat/>
    <w:uiPriority w:val="99"/>
    <w:pPr>
      <w:tabs>
        <w:tab w:val="center" w:pos="4153"/>
        <w:tab w:val="right" w:pos="8306"/>
      </w:tabs>
      <w:snapToGrid w:val="0"/>
      <w:jc w:val="left"/>
    </w:pPr>
    <w:rPr>
      <w:sz w:val="18"/>
    </w:rPr>
  </w:style>
  <w:style w:type="paragraph" w:styleId="9">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Strong"/>
    <w:basedOn w:val="11"/>
    <w:qFormat/>
    <w:uiPriority w:val="0"/>
    <w:rPr>
      <w:b/>
    </w:rPr>
  </w:style>
  <w:style w:type="paragraph" w:customStyle="1" w:styleId="13">
    <w:name w:val="No Spacing"/>
    <w:qFormat/>
    <w:uiPriority w:val="1"/>
    <w:pPr>
      <w:widowControl w:val="0"/>
      <w:jc w:val="both"/>
    </w:pPr>
    <w:rPr>
      <w:rFonts w:ascii="Calibri" w:hAnsi="Calibri"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1984</Words>
  <Characters>2135</Characters>
  <Lines>1</Lines>
  <Paragraphs>1</Paragraphs>
  <TotalTime>16</TotalTime>
  <ScaleCrop>false</ScaleCrop>
  <LinksUpToDate>false</LinksUpToDate>
  <CharactersWithSpaces>2138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2024-05-08T06:33:00Z</cp:lastPrinted>
  <dcterms:modified xsi:type="dcterms:W3CDTF">2025-10-22T02:05:40Z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566915731DA94E2BB4856B66CA9C3AC4</vt:lpwstr>
  </property>
  <property fmtid="{D5CDD505-2E9C-101B-9397-08002B2CF9AE}" pid="4" name="hmcheck_markmode">
    <vt:i4>0</vt:i4>
  </property>
</Properties>
</file>