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0" w:line="540" w:lineRule="exact"/>
        <w:ind w:firstLine="880" w:firstLineChars="200"/>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44"/>
          <w:szCs w:val="44"/>
          <w:lang w:val="en-US" w:eastAsia="zh-CN"/>
        </w:rPr>
        <w:t>太平镇</w:t>
      </w:r>
      <w:r>
        <w:rPr>
          <w:rFonts w:hint="eastAsia" w:ascii="方正小标宋简体" w:hAnsi="方正小标宋简体" w:eastAsia="方正小标宋简体" w:cs="方正小标宋简体"/>
          <w:sz w:val="44"/>
          <w:szCs w:val="44"/>
          <w:shd w:val="clear" w:fill="FFFFFF"/>
          <w:lang w:val="en-US" w:eastAsia="zh-CN"/>
        </w:rPr>
        <w:t>弄盏村</w:t>
      </w:r>
      <w:r>
        <w:rPr>
          <w:rFonts w:hint="eastAsia" w:ascii="方正小标宋简体" w:hAnsi="方正小标宋简体" w:eastAsia="方正小标宋简体" w:cs="方正小标宋简体"/>
          <w:sz w:val="44"/>
          <w:szCs w:val="44"/>
          <w:lang w:val="en-US" w:eastAsia="zh-CN"/>
        </w:rPr>
        <w:t>挡水坝建设绩效自评报告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黑体_GBK" w:hAnsi="方正黑体_GBK" w:eastAsia="方正黑体_GBK" w:cs="方正黑体_GBK"/>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一、项目绩效自评工作开展情况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为了确保</w:t>
      </w:r>
      <w:r>
        <w:rPr>
          <w:rFonts w:hint="eastAsia" w:ascii="Times New Roman" w:hAnsi="Times New Roman" w:eastAsia="方正仿宋_GBK" w:cs="Times New Roman"/>
          <w:sz w:val="32"/>
          <w:szCs w:val="32"/>
          <w:lang w:val="en-US" w:eastAsia="zh-CN"/>
        </w:rPr>
        <w:t>2025</w:t>
      </w:r>
      <w:r>
        <w:rPr>
          <w:rFonts w:hint="default" w:ascii="Times New Roman" w:hAnsi="Times New Roman" w:eastAsia="方正仿宋_GBK" w:cs="Times New Roman"/>
          <w:sz w:val="32"/>
          <w:szCs w:val="32"/>
          <w:lang w:val="en-US" w:eastAsia="zh-CN"/>
        </w:rPr>
        <w:t>年衔接资金项目的顺利实施和有效监控。我们选择了以下监控方法以确保项目绩效：</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定期报告：通过定期报告了解项目实施情况，包括进度、预算、质量等。</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现场检查：通过定期现场检查，了解项目实际情况，及时发现和解决问题。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数据分析：通过数据分析，评估项目绩效，为决策提供支持。</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二、项目基本情况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（一）项目背景</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太平镇地处盈江县西南部，距县城12千米，位于东经97°31′43″～97°54′12″，北纬24°26′11″～24°36′3″之间，海拔291.5～2596米，国土面积42218</w:t>
      </w:r>
      <w:r>
        <w:rPr>
          <w:rFonts w:hint="default"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平方米。东与</w:t>
      </w:r>
      <w:r>
        <w:rPr>
          <w:rFonts w:hint="eastAsia" w:ascii="Times New Roman" w:hAnsi="Times New Roman" w:eastAsia="方正仿宋_GBK" w:cs="Times New Roman"/>
          <w:sz w:val="32"/>
          <w:szCs w:val="32"/>
          <w:lang w:eastAsia="zh-CN"/>
        </w:rPr>
        <w:t>太平镇</w:t>
      </w:r>
      <w:r>
        <w:rPr>
          <w:rFonts w:hint="default" w:ascii="Times New Roman" w:hAnsi="Times New Roman" w:eastAsia="方正仿宋_GBK" w:cs="Times New Roman"/>
          <w:sz w:val="32"/>
          <w:szCs w:val="32"/>
        </w:rPr>
        <w:t>隔江相望，南与缅甸相邻，西与昔马、铜壁关接壤，北与平原镇毗邻。境内</w:t>
      </w:r>
      <w:r>
        <w:rPr>
          <w:rFonts w:hint="default" w:ascii="Times New Roman" w:hAnsi="Times New Roman" w:eastAsia="方正仿宋_GBK" w:cs="Times New Roman"/>
          <w:sz w:val="32"/>
          <w:szCs w:val="32"/>
          <w:shd w:val="clear" w:fill="FFFFFF"/>
        </w:rPr>
        <w:t>中、低山</w:t>
      </w:r>
      <w:r>
        <w:rPr>
          <w:rFonts w:hint="default" w:ascii="Times New Roman" w:hAnsi="Times New Roman" w:eastAsia="方正仿宋_GBK" w:cs="Times New Roman"/>
          <w:sz w:val="32"/>
          <w:szCs w:val="32"/>
        </w:rPr>
        <w:t>与宽窄谷盆地、热区交错相间，呈“两</w:t>
      </w:r>
      <w:r>
        <w:rPr>
          <w:rFonts w:hint="default" w:ascii="Times New Roman" w:hAnsi="Times New Roman" w:eastAsia="方正仿宋_GBK" w:cs="Times New Roman"/>
          <w:sz w:val="32"/>
          <w:szCs w:val="32"/>
          <w:shd w:val="clear" w:fill="FFFFFF"/>
        </w:rPr>
        <w:t>夹</w:t>
      </w:r>
      <w:r>
        <w:rPr>
          <w:rFonts w:hint="default" w:ascii="Times New Roman" w:hAnsi="Times New Roman" w:eastAsia="方正仿宋_GBK" w:cs="Times New Roman"/>
          <w:sz w:val="32"/>
          <w:szCs w:val="32"/>
        </w:rPr>
        <w:t>一</w:t>
      </w:r>
      <w:r>
        <w:rPr>
          <w:rFonts w:hint="default" w:ascii="Times New Roman" w:hAnsi="Times New Roman" w:eastAsia="方正仿宋_GBK" w:cs="Times New Roman"/>
          <w:sz w:val="32"/>
          <w:szCs w:val="32"/>
          <w:shd w:val="clear" w:fill="FFFFFF"/>
        </w:rPr>
        <w:t>坝</w:t>
      </w:r>
      <w:r>
        <w:rPr>
          <w:rFonts w:hint="default" w:ascii="Times New Roman" w:hAnsi="Times New Roman" w:eastAsia="方正仿宋_GBK" w:cs="Times New Roman"/>
          <w:sz w:val="32"/>
          <w:szCs w:val="32"/>
        </w:rPr>
        <w:t>一河”的地貌景象。国境线长24.7千米，森林覆</w:t>
      </w:r>
      <w:r>
        <w:rPr>
          <w:rFonts w:hint="default" w:ascii="Times New Roman" w:hAnsi="Times New Roman" w:eastAsia="方正仿宋_GBK" w:cs="Times New Roman"/>
          <w:color w:val="auto"/>
          <w:sz w:val="32"/>
          <w:szCs w:val="32"/>
        </w:rPr>
        <w:t>盖率为</w:t>
      </w:r>
      <w:r>
        <w:rPr>
          <w:rFonts w:hint="default" w:ascii="Times New Roman" w:hAnsi="Times New Roman" w:eastAsia="方正仿宋_GBK" w:cs="Times New Roman"/>
          <w:sz w:val="32"/>
          <w:szCs w:val="32"/>
          <w:lang w:val="en-US" w:eastAsia="zh-CN"/>
        </w:rPr>
        <w:t>70.64</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sz w:val="32"/>
          <w:szCs w:val="32"/>
        </w:rPr>
        <w:t>全镇</w:t>
      </w:r>
      <w:r>
        <w:rPr>
          <w:rFonts w:hint="default" w:ascii="Times New Roman" w:hAnsi="Times New Roman" w:eastAsia="方正仿宋_GBK" w:cs="Times New Roman"/>
          <w:sz w:val="32"/>
          <w:szCs w:val="32"/>
          <w:shd w:val="clear" w:fill="FFFFFF"/>
        </w:rPr>
        <w:t>辖</w:t>
      </w:r>
      <w:r>
        <w:rPr>
          <w:rFonts w:hint="default" w:ascii="Times New Roman" w:hAnsi="Times New Roman" w:eastAsia="方正仿宋_GBK" w:cs="Times New Roman"/>
          <w:sz w:val="32"/>
          <w:szCs w:val="32"/>
        </w:rPr>
        <w:t>太平、</w:t>
      </w:r>
      <w:r>
        <w:rPr>
          <w:rFonts w:hint="default" w:ascii="Times New Roman" w:hAnsi="Times New Roman" w:eastAsia="方正仿宋_GBK" w:cs="Times New Roman"/>
          <w:sz w:val="32"/>
          <w:szCs w:val="32"/>
          <w:shd w:val="clear" w:fill="FFFFFF"/>
        </w:rPr>
        <w:t>弄盏</w:t>
      </w:r>
      <w:r>
        <w:rPr>
          <w:rFonts w:hint="default" w:ascii="Times New Roman" w:hAnsi="Times New Roman" w:eastAsia="方正仿宋_GBK" w:cs="Times New Roman"/>
          <w:sz w:val="32"/>
          <w:szCs w:val="32"/>
        </w:rPr>
        <w:t>、黄龙、龙盆、卡</w:t>
      </w:r>
      <w:r>
        <w:rPr>
          <w:rFonts w:hint="default" w:ascii="Times New Roman" w:hAnsi="Times New Roman" w:eastAsia="方正仿宋_GBK" w:cs="Times New Roman"/>
          <w:sz w:val="32"/>
          <w:szCs w:val="32"/>
          <w:shd w:val="clear" w:fill="FFFFFF"/>
        </w:rPr>
        <w:t>牙</w:t>
      </w:r>
      <w:r>
        <w:rPr>
          <w:rFonts w:hint="default" w:ascii="Times New Roman" w:hAnsi="Times New Roman" w:eastAsia="方正仿宋_GBK" w:cs="Times New Roman"/>
          <w:sz w:val="32"/>
          <w:szCs w:val="32"/>
        </w:rPr>
        <w:t>、大寨、</w:t>
      </w:r>
      <w:r>
        <w:rPr>
          <w:rFonts w:hint="default" w:ascii="Times New Roman" w:hAnsi="Times New Roman" w:eastAsia="方正仿宋_GBK" w:cs="Times New Roman"/>
          <w:sz w:val="32"/>
          <w:szCs w:val="32"/>
          <w:shd w:val="clear" w:fill="FFFFFF"/>
        </w:rPr>
        <w:t>贺</w:t>
      </w:r>
      <w:r>
        <w:rPr>
          <w:rFonts w:hint="default" w:ascii="Times New Roman" w:hAnsi="Times New Roman" w:eastAsia="方正仿宋_GBK" w:cs="Times New Roman"/>
          <w:sz w:val="32"/>
          <w:szCs w:val="32"/>
        </w:rPr>
        <w:t>回、</w:t>
      </w:r>
      <w:r>
        <w:rPr>
          <w:rFonts w:hint="default" w:ascii="Times New Roman" w:hAnsi="Times New Roman" w:eastAsia="方正仿宋_GBK" w:cs="Times New Roman"/>
          <w:sz w:val="32"/>
          <w:szCs w:val="32"/>
          <w:shd w:val="clear" w:fill="FFFFFF"/>
        </w:rPr>
        <w:t>璋</w:t>
      </w:r>
      <w:r>
        <w:rPr>
          <w:rFonts w:hint="default" w:ascii="Times New Roman" w:hAnsi="Times New Roman" w:eastAsia="方正仿宋_GBK" w:cs="Times New Roman"/>
          <w:sz w:val="32"/>
          <w:szCs w:val="32"/>
        </w:rPr>
        <w:t>西、</w:t>
      </w:r>
      <w:r>
        <w:rPr>
          <w:rFonts w:hint="default" w:ascii="Times New Roman" w:hAnsi="Times New Roman" w:eastAsia="方正仿宋_GBK" w:cs="Times New Roman"/>
          <w:sz w:val="32"/>
          <w:szCs w:val="32"/>
          <w:shd w:val="clear" w:fill="FFFFFF"/>
        </w:rPr>
        <w:t>芒允</w:t>
      </w:r>
      <w:r>
        <w:rPr>
          <w:rFonts w:hint="default" w:ascii="Times New Roman" w:hAnsi="Times New Roman" w:eastAsia="方正仿宋_GBK" w:cs="Times New Roman"/>
          <w:sz w:val="32"/>
          <w:szCs w:val="32"/>
        </w:rPr>
        <w:t>、拉丙、雪梨11个村委会，110个村民小组</w:t>
      </w:r>
      <w:r>
        <w:rPr>
          <w:rFonts w:hint="default" w:ascii="Times New Roman" w:hAnsi="Times New Roman" w:eastAsia="方正仿宋_GBK" w:cs="Times New Roman"/>
          <w:b w:val="0"/>
          <w:bCs/>
          <w:color w:val="auto"/>
          <w:sz w:val="32"/>
          <w:szCs w:val="32"/>
          <w:lang w:val="en-US" w:eastAsia="zh-CN"/>
        </w:rPr>
        <w:t>6118</w:t>
      </w:r>
      <w:r>
        <w:rPr>
          <w:rFonts w:hint="default" w:ascii="Times New Roman" w:hAnsi="Times New Roman" w:eastAsia="方正仿宋_GBK" w:cs="Times New Roman"/>
          <w:b w:val="0"/>
          <w:bCs/>
          <w:color w:val="auto"/>
          <w:sz w:val="32"/>
          <w:szCs w:val="32"/>
        </w:rPr>
        <w:t>户</w:t>
      </w:r>
      <w:r>
        <w:rPr>
          <w:rFonts w:hint="default" w:ascii="Times New Roman" w:hAnsi="Times New Roman" w:eastAsia="方正仿宋_GBK" w:cs="Times New Roman"/>
          <w:b w:val="0"/>
          <w:bCs/>
          <w:color w:val="auto"/>
          <w:sz w:val="32"/>
          <w:szCs w:val="32"/>
          <w:lang w:val="en-US" w:eastAsia="zh-CN"/>
        </w:rPr>
        <w:t>27146</w:t>
      </w:r>
      <w:r>
        <w:rPr>
          <w:rFonts w:hint="default" w:ascii="Times New Roman" w:hAnsi="Times New Roman" w:eastAsia="方正仿宋_GBK" w:cs="Times New Roman"/>
          <w:b w:val="0"/>
          <w:bCs/>
          <w:color w:val="auto"/>
          <w:sz w:val="32"/>
          <w:szCs w:val="32"/>
        </w:rPr>
        <w:t>人，</w:t>
      </w:r>
      <w:r>
        <w:rPr>
          <w:rFonts w:hint="default" w:ascii="Times New Roman" w:hAnsi="Times New Roman" w:eastAsia="方正仿宋_GBK" w:cs="Times New Roman"/>
          <w:b w:val="0"/>
          <w:bCs/>
          <w:color w:val="auto"/>
          <w:sz w:val="32"/>
          <w:szCs w:val="32"/>
          <w:lang w:eastAsia="zh-CN"/>
        </w:rPr>
        <w:t>汉族、</w:t>
      </w:r>
      <w:r>
        <w:rPr>
          <w:rFonts w:hint="default" w:ascii="Times New Roman" w:hAnsi="Times New Roman" w:eastAsia="方正仿宋_GBK" w:cs="Times New Roman"/>
          <w:b w:val="0"/>
          <w:bCs/>
          <w:color w:val="auto"/>
          <w:sz w:val="32"/>
          <w:szCs w:val="32"/>
        </w:rPr>
        <w:t>傣族、景颇族、傈僳族</w:t>
      </w:r>
      <w:r>
        <w:rPr>
          <w:rFonts w:hint="default" w:ascii="Times New Roman" w:hAnsi="Times New Roman" w:eastAsia="方正仿宋_GBK" w:cs="Times New Roman"/>
          <w:b w:val="0"/>
          <w:bCs/>
          <w:color w:val="auto"/>
          <w:sz w:val="32"/>
          <w:szCs w:val="32"/>
          <w:lang w:eastAsia="zh-CN"/>
        </w:rPr>
        <w:t>等</w:t>
      </w:r>
      <w:r>
        <w:rPr>
          <w:rFonts w:hint="default" w:ascii="Times New Roman" w:hAnsi="Times New Roman" w:eastAsia="方正仿宋_GBK" w:cs="Times New Roman"/>
          <w:b w:val="0"/>
          <w:bCs/>
          <w:color w:val="auto"/>
          <w:sz w:val="32"/>
          <w:szCs w:val="32"/>
        </w:rPr>
        <w:t>民族世代和谐居住于此。</w:t>
      </w:r>
      <w:r>
        <w:rPr>
          <w:rFonts w:hint="default" w:ascii="Times New Roman" w:hAnsi="Times New Roman" w:eastAsia="方正仿宋_GBK" w:cs="Times New Roman"/>
          <w:b w:val="0"/>
          <w:bCs/>
          <w:color w:val="auto"/>
          <w:sz w:val="32"/>
          <w:szCs w:val="32"/>
          <w:lang w:val="en-US" w:eastAsia="zh-CN"/>
        </w:rPr>
        <w:t>是</w:t>
      </w:r>
      <w:r>
        <w:rPr>
          <w:rFonts w:hint="default" w:ascii="Times New Roman" w:hAnsi="Times New Roman" w:eastAsia="方正仿宋_GBK" w:cs="Times New Roman"/>
          <w:b w:val="0"/>
          <w:bCs/>
          <w:color w:val="auto"/>
          <w:kern w:val="2"/>
          <w:sz w:val="32"/>
          <w:szCs w:val="32"/>
          <w:lang w:val="en-US" w:eastAsia="zh-CN" w:bidi="ar-SA"/>
        </w:rPr>
        <w:t>“西南古丝绸之路”的重要出口通道和震惊中外的“马嘉里”事件发生地。辖区大盈江穿流而过，江岸绿树成荫、芦花飞雪；有鸟类500余种，占全国鸟类数量的1/3以上，最容易观测到3种犀鸟的中国犀鸟谷热带雨林位于其中，是开发绿色产业的宝地；有通往邻国缅甸北方重镇八莫的</w:t>
      </w:r>
      <w:r>
        <w:rPr>
          <w:rFonts w:hint="default" w:ascii="Times New Roman" w:hAnsi="Times New Roman" w:eastAsia="方正仿宋_GBK" w:cs="Times New Roman"/>
          <w:b w:val="0"/>
          <w:bCs/>
          <w:color w:val="auto"/>
          <w:kern w:val="2"/>
          <w:sz w:val="32"/>
          <w:szCs w:val="32"/>
          <w:shd w:val="clear" w:fill="FFFFFF"/>
          <w:lang w:val="en-US" w:eastAsia="zh-CN" w:bidi="ar-SA"/>
        </w:rPr>
        <w:t>盈</w:t>
      </w:r>
      <w:r>
        <w:rPr>
          <w:rFonts w:hint="default" w:ascii="Times New Roman" w:hAnsi="Times New Roman" w:eastAsia="方正仿宋_GBK" w:cs="Times New Roman"/>
          <w:b w:val="0"/>
          <w:bCs/>
          <w:color w:val="auto"/>
          <w:kern w:val="2"/>
          <w:sz w:val="32"/>
          <w:szCs w:val="32"/>
          <w:lang w:val="en-US" w:eastAsia="zh-CN" w:bidi="ar-SA"/>
        </w:rPr>
        <w:t>八公路，是盈江县至缅甸八莫、密</w:t>
      </w:r>
      <w:r>
        <w:rPr>
          <w:rFonts w:hint="default" w:ascii="Times New Roman" w:hAnsi="Times New Roman" w:eastAsia="方正仿宋_GBK" w:cs="Times New Roman"/>
          <w:b w:val="0"/>
          <w:bCs/>
          <w:color w:val="auto"/>
          <w:kern w:val="2"/>
          <w:sz w:val="32"/>
          <w:szCs w:val="32"/>
          <w:shd w:val="clear" w:fill="FFFFFF"/>
          <w:lang w:val="en-US" w:eastAsia="zh-CN" w:bidi="ar-SA"/>
        </w:rPr>
        <w:t>支那的</w:t>
      </w:r>
      <w:r>
        <w:rPr>
          <w:rFonts w:hint="default" w:ascii="Times New Roman" w:hAnsi="Times New Roman" w:eastAsia="方正仿宋_GBK" w:cs="Times New Roman"/>
          <w:b w:val="0"/>
          <w:bCs/>
          <w:color w:val="auto"/>
          <w:kern w:val="2"/>
          <w:sz w:val="32"/>
          <w:szCs w:val="32"/>
          <w:lang w:val="en-US" w:eastAsia="zh-CN" w:bidi="ar-SA"/>
        </w:rPr>
        <w:t>交通要道。</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（二）资金情况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lang w:val="en-US" w:eastAsia="zh-CN"/>
        </w:rPr>
        <w:t>资金安排、支持环节、支出情况根据《中共盈江县委农村工作领导小组关于同意盈江县2025年度第一批衔接资金（中央资金）项目计划及资金的批复》（</w:t>
      </w:r>
      <w:r>
        <w:rPr>
          <w:rFonts w:hint="default" w:ascii="Times New Roman" w:hAnsi="Times New Roman" w:eastAsia="方正仿宋_GBK" w:cs="Times New Roman"/>
          <w:color w:val="auto"/>
          <w:sz w:val="32"/>
          <w:szCs w:val="32"/>
          <w:shd w:val="clear" w:fill="FFFFFF"/>
        </w:rPr>
        <w:t>盈农</w:t>
      </w:r>
      <w:r>
        <w:rPr>
          <w:rFonts w:hint="eastAsia" w:ascii="Times New Roman" w:hAnsi="Times New Roman" w:eastAsia="方正仿宋_GBK" w:cs="Times New Roman"/>
          <w:color w:val="auto"/>
          <w:sz w:val="32"/>
          <w:szCs w:val="32"/>
          <w:shd w:val="clear" w:fill="FFFFFF"/>
          <w:lang w:eastAsia="zh-CN"/>
        </w:rPr>
        <w:t>领</w:t>
      </w:r>
      <w:r>
        <w:rPr>
          <w:rFonts w:hint="eastAsia" w:ascii="Times New Roman" w:hAnsi="Times New Roman" w:eastAsia="方正仿宋_GBK" w:cs="Times New Roman"/>
          <w:color w:val="auto"/>
          <w:sz w:val="32"/>
          <w:szCs w:val="32"/>
          <w:lang w:eastAsia="zh-CN"/>
        </w:rPr>
        <w:t>发</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20</w:t>
      </w:r>
      <w:r>
        <w:rPr>
          <w:rFonts w:hint="eastAsia" w:ascii="Times New Roman" w:hAnsi="Times New Roman" w:eastAsia="方正仿宋_GBK" w:cs="Times New Roman"/>
          <w:color w:val="auto"/>
          <w:sz w:val="32"/>
          <w:szCs w:val="32"/>
          <w:lang w:val="en-US" w:eastAsia="zh-CN"/>
        </w:rPr>
        <w:t>25</w:t>
      </w: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号</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文件和</w:t>
      </w:r>
      <w:r>
        <w:rPr>
          <w:rFonts w:hint="default" w:ascii="Times New Roman" w:hAnsi="Times New Roman" w:eastAsia="方正仿宋_GBK" w:cs="Times New Roman"/>
          <w:sz w:val="32"/>
          <w:szCs w:val="32"/>
          <w:lang w:val="en-US" w:eastAsia="zh-CN"/>
        </w:rPr>
        <w:t>《德宏州财政局关于提前下达2025年中央财政衔接推进乡村振兴补助资金的通知》（德财</w:t>
      </w:r>
      <w:r>
        <w:rPr>
          <w:rFonts w:hint="default" w:ascii="Times New Roman" w:hAnsi="Times New Roman" w:eastAsia="方正仿宋_GBK" w:cs="Times New Roman"/>
          <w:sz w:val="32"/>
          <w:szCs w:val="32"/>
          <w:shd w:val="clear" w:fill="FFFFFF"/>
          <w:lang w:val="en-US" w:eastAsia="zh-CN"/>
        </w:rPr>
        <w:t>农</w:t>
      </w:r>
      <w:r>
        <w:rPr>
          <w:rFonts w:hint="default" w:ascii="Times New Roman" w:hAnsi="Times New Roman" w:eastAsia="方正仿宋_GBK" w:cs="Times New Roman"/>
          <w:sz w:val="32"/>
          <w:szCs w:val="32"/>
          <w:lang w:val="en-US" w:eastAsia="zh-CN"/>
        </w:rPr>
        <w:t>〔2024〕128号）文件要求，</w:t>
      </w:r>
      <w:r>
        <w:rPr>
          <w:rFonts w:hint="default" w:ascii="Times New Roman" w:hAnsi="Times New Roman" w:eastAsia="方正仿宋_GBK" w:cs="Times New Roman"/>
          <w:sz w:val="32"/>
          <w:szCs w:val="32"/>
          <w:highlight w:val="none"/>
          <w:lang w:val="en-US" w:eastAsia="zh-CN"/>
        </w:rPr>
        <w:t>县财政局向</w:t>
      </w:r>
      <w:r>
        <w:rPr>
          <w:rFonts w:hint="eastAsia" w:ascii="Times New Roman" w:hAnsi="Times New Roman" w:eastAsia="方正仿宋_GBK" w:cs="Times New Roman"/>
          <w:sz w:val="32"/>
          <w:szCs w:val="32"/>
          <w:highlight w:val="none"/>
          <w:lang w:val="en-US" w:eastAsia="zh-CN"/>
        </w:rPr>
        <w:t>太平</w:t>
      </w:r>
      <w:r>
        <w:rPr>
          <w:rFonts w:hint="default" w:ascii="Times New Roman" w:hAnsi="Times New Roman" w:eastAsia="方正仿宋_GBK" w:cs="Times New Roman"/>
          <w:sz w:val="32"/>
          <w:szCs w:val="32"/>
          <w:highlight w:val="none"/>
          <w:lang w:val="en-US" w:eastAsia="zh-CN"/>
        </w:rPr>
        <w:t>镇人民政府下达</w:t>
      </w:r>
      <w:r>
        <w:rPr>
          <w:rFonts w:hint="eastAsia" w:ascii="Times New Roman" w:hAnsi="Times New Roman" w:eastAsia="方正仿宋_GBK" w:cs="Times New Roman"/>
          <w:sz w:val="32"/>
          <w:szCs w:val="32"/>
          <w:highlight w:val="none"/>
          <w:lang w:val="en-US" w:eastAsia="zh-CN"/>
        </w:rPr>
        <w:t>2025</w:t>
      </w:r>
      <w:r>
        <w:rPr>
          <w:rFonts w:hint="default" w:ascii="Times New Roman" w:hAnsi="Times New Roman" w:eastAsia="方正仿宋_GBK" w:cs="Times New Roman"/>
          <w:sz w:val="32"/>
          <w:szCs w:val="32"/>
          <w:highlight w:val="none"/>
          <w:lang w:val="en-US" w:eastAsia="zh-CN"/>
        </w:rPr>
        <w:t>年</w:t>
      </w:r>
      <w:r>
        <w:rPr>
          <w:rFonts w:hint="eastAsia" w:ascii="Times New Roman" w:hAnsi="Times New Roman" w:eastAsia="方正仿宋_GBK" w:cs="Times New Roman"/>
          <w:sz w:val="32"/>
          <w:szCs w:val="32"/>
          <w:highlight w:val="none"/>
          <w:lang w:val="en-US" w:eastAsia="zh-CN"/>
        </w:rPr>
        <w:t>第一批</w:t>
      </w:r>
      <w:r>
        <w:rPr>
          <w:rFonts w:hint="default" w:ascii="Times New Roman" w:hAnsi="Times New Roman" w:eastAsia="方正仿宋_GBK" w:cs="Times New Roman"/>
          <w:sz w:val="32"/>
          <w:szCs w:val="32"/>
          <w:highlight w:val="none"/>
          <w:lang w:val="en-US" w:eastAsia="zh-CN"/>
        </w:rPr>
        <w:t>衔接资金</w:t>
      </w:r>
      <w:r>
        <w:rPr>
          <w:rFonts w:hint="default" w:ascii="Times New Roman" w:hAnsi="Times New Roman" w:eastAsia="方正仿宋_GBK" w:cs="Times New Roman"/>
          <w:sz w:val="32"/>
          <w:szCs w:val="32"/>
          <w:lang w:val="en-US" w:eastAsia="zh-CN"/>
        </w:rPr>
        <w:t>（中央资金）</w:t>
      </w:r>
      <w:r>
        <w:rPr>
          <w:rFonts w:hint="eastAsia" w:ascii="Times New Roman" w:hAnsi="Times New Roman" w:eastAsia="方正仿宋_GBK" w:cs="Times New Roman"/>
          <w:sz w:val="32"/>
          <w:szCs w:val="32"/>
          <w:highlight w:val="none"/>
          <w:lang w:val="en-US" w:eastAsia="zh-CN"/>
        </w:rPr>
        <w:t>694</w:t>
      </w:r>
      <w:r>
        <w:rPr>
          <w:rFonts w:hint="default" w:ascii="Times New Roman" w:hAnsi="Times New Roman" w:eastAsia="方正仿宋_GBK" w:cs="Times New Roman"/>
          <w:sz w:val="32"/>
          <w:szCs w:val="32"/>
          <w:highlight w:val="none"/>
          <w:shd w:val="clear" w:fill="FFFFFF"/>
          <w:lang w:val="en-US" w:eastAsia="zh-CN"/>
        </w:rPr>
        <w:t>万</w:t>
      </w:r>
      <w:r>
        <w:rPr>
          <w:rFonts w:hint="default" w:ascii="Times New Roman" w:hAnsi="Times New Roman" w:eastAsia="方正仿宋_GBK" w:cs="Times New Roman"/>
          <w:sz w:val="32"/>
          <w:szCs w:val="32"/>
          <w:highlight w:val="none"/>
          <w:lang w:val="en-US" w:eastAsia="zh-CN"/>
        </w:rPr>
        <w:t>，其中</w:t>
      </w:r>
      <w:r>
        <w:rPr>
          <w:rFonts w:hint="eastAsia" w:ascii="Times New Roman" w:hAnsi="Times New Roman" w:eastAsia="方正仿宋_GBK" w:cs="Times New Roman"/>
          <w:sz w:val="32"/>
          <w:szCs w:val="32"/>
          <w:highlight w:val="none"/>
          <w:lang w:val="en-US" w:eastAsia="zh-CN"/>
        </w:rPr>
        <w:t>30</w:t>
      </w:r>
      <w:r>
        <w:rPr>
          <w:rFonts w:hint="default" w:ascii="Times New Roman" w:hAnsi="Times New Roman" w:eastAsia="方正仿宋_GBK" w:cs="Times New Roman"/>
          <w:sz w:val="32"/>
          <w:szCs w:val="32"/>
          <w:highlight w:val="none"/>
          <w:lang w:val="en-US" w:eastAsia="zh-CN"/>
        </w:rPr>
        <w:t>万用于太平镇</w:t>
      </w:r>
      <w:r>
        <w:rPr>
          <w:rFonts w:hint="default" w:ascii="Times New Roman" w:hAnsi="Times New Roman" w:eastAsia="方正仿宋_GBK" w:cs="Times New Roman"/>
          <w:sz w:val="32"/>
          <w:szCs w:val="32"/>
          <w:highlight w:val="none"/>
          <w:shd w:val="clear" w:fill="FFFFFF"/>
          <w:lang w:val="en-US" w:eastAsia="zh-CN"/>
        </w:rPr>
        <w:t>弄盏村</w:t>
      </w:r>
      <w:r>
        <w:rPr>
          <w:rFonts w:hint="default" w:ascii="Times New Roman" w:hAnsi="Times New Roman" w:eastAsia="方正仿宋_GBK" w:cs="Times New Roman"/>
          <w:sz w:val="32"/>
          <w:szCs w:val="32"/>
          <w:highlight w:val="none"/>
          <w:lang w:val="en-US" w:eastAsia="zh-CN"/>
        </w:rPr>
        <w:t>挡水坝建设</w:t>
      </w:r>
      <w:r>
        <w:rPr>
          <w:rFonts w:hint="eastAsia" w:ascii="Times New Roman" w:hAnsi="Times New Roman" w:eastAsia="方正仿宋_GBK"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（三）项目主要内容和实施进展情况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highlight w:val="none"/>
          <w:lang w:val="en-US" w:eastAsia="zh-CN"/>
        </w:rPr>
        <w:t>太平镇</w:t>
      </w:r>
      <w:r>
        <w:rPr>
          <w:rFonts w:hint="eastAsia" w:ascii="Times New Roman" w:hAnsi="Times New Roman" w:eastAsia="方正仿宋_GBK" w:cs="Times New Roman"/>
          <w:sz w:val="32"/>
          <w:szCs w:val="32"/>
          <w:highlight w:val="none"/>
          <w:shd w:val="clear" w:fill="FFFFFF"/>
          <w:lang w:val="en-US" w:eastAsia="zh-CN"/>
        </w:rPr>
        <w:t>弄盏村</w:t>
      </w:r>
      <w:r>
        <w:rPr>
          <w:rFonts w:hint="eastAsia" w:ascii="Times New Roman" w:hAnsi="Times New Roman" w:eastAsia="方正仿宋_GBK" w:cs="Times New Roman"/>
          <w:sz w:val="32"/>
          <w:szCs w:val="32"/>
          <w:highlight w:val="none"/>
          <w:lang w:val="en-US" w:eastAsia="zh-CN"/>
        </w:rPr>
        <w:t>挡水坝建设</w:t>
      </w:r>
      <w:r>
        <w:rPr>
          <w:rFonts w:hint="default" w:ascii="Times New Roman" w:hAnsi="Times New Roman" w:eastAsia="方正仿宋_GBK" w:cs="Times New Roman"/>
          <w:sz w:val="32"/>
          <w:szCs w:val="32"/>
          <w:lang w:val="en-US" w:eastAsia="zh-CN"/>
        </w:rPr>
        <w:t>主要内容：</w:t>
      </w:r>
      <w:r>
        <w:rPr>
          <w:rFonts w:hint="eastAsia" w:ascii="Times New Roman" w:hAnsi="Times New Roman" w:eastAsia="方正仿宋_GBK" w:cs="Times New Roman"/>
          <w:sz w:val="32"/>
          <w:szCs w:val="32"/>
          <w:lang w:val="en-US" w:eastAsia="zh-CN"/>
        </w:rPr>
        <w:t>1.挡水坝基座开挖一般土方1500m³；2.新建长30m，高4米C25毛石混凝土拦水坝390m³；3.新建一垛</w:t>
      </w:r>
      <w:r>
        <w:rPr>
          <w:rFonts w:hint="eastAsia" w:ascii="Times New Roman" w:hAnsi="Times New Roman" w:eastAsia="方正仿宋_GBK" w:cs="Times New Roman"/>
          <w:sz w:val="32"/>
          <w:szCs w:val="32"/>
          <w:shd w:val="clear" w:fill="FFFFFF"/>
          <w:lang w:val="en-US" w:eastAsia="zh-CN"/>
        </w:rPr>
        <w:t>直</w:t>
      </w:r>
      <w:r>
        <w:rPr>
          <w:rFonts w:hint="eastAsia" w:ascii="Times New Roman" w:hAnsi="Times New Roman" w:eastAsia="方正仿宋_GBK" w:cs="Times New Roman"/>
          <w:sz w:val="32"/>
          <w:szCs w:val="32"/>
          <w:lang w:val="en-US" w:eastAsia="zh-CN"/>
        </w:rPr>
        <w:t>形</w:t>
      </w:r>
      <w:r>
        <w:rPr>
          <w:rFonts w:hint="eastAsia" w:ascii="Times New Roman" w:hAnsi="Times New Roman" w:eastAsia="方正仿宋_GBK" w:cs="Times New Roman"/>
          <w:sz w:val="32"/>
          <w:szCs w:val="32"/>
          <w:shd w:val="clear" w:fill="FFFFFF"/>
          <w:lang w:val="en-US" w:eastAsia="zh-CN"/>
        </w:rPr>
        <w:t>墙</w:t>
      </w:r>
      <w:r>
        <w:rPr>
          <w:rFonts w:hint="eastAsia" w:ascii="Times New Roman" w:hAnsi="Times New Roman" w:eastAsia="方正仿宋_GBK" w:cs="Times New Roman"/>
          <w:sz w:val="32"/>
          <w:szCs w:val="32"/>
          <w:lang w:val="en-US" w:eastAsia="zh-CN"/>
        </w:rPr>
        <w:t>223m²。</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项目建设期为：</w:t>
      </w:r>
      <w:r>
        <w:rPr>
          <w:rFonts w:hint="eastAsia" w:ascii="Times New Roman" w:hAnsi="Times New Roman" w:eastAsia="方正仿宋_GBK" w:cs="Times New Roman"/>
          <w:sz w:val="32"/>
          <w:szCs w:val="32"/>
          <w:highlight w:val="none"/>
          <w:lang w:eastAsia="zh-CN"/>
        </w:rPr>
        <w:t>2025</w:t>
      </w:r>
      <w:r>
        <w:rPr>
          <w:rFonts w:hint="default" w:ascii="Times New Roman" w:hAnsi="Times New Roman" w:eastAsia="方正仿宋_GBK" w:cs="Times New Roman"/>
          <w:sz w:val="32"/>
          <w:szCs w:val="32"/>
          <w:highlight w:val="none"/>
        </w:rPr>
        <w:t>年</w:t>
      </w:r>
      <w:r>
        <w:rPr>
          <w:rFonts w:hint="eastAsia"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rPr>
        <w:t>月</w:t>
      </w:r>
      <w:r>
        <w:rPr>
          <w:rFonts w:hint="eastAsia" w:ascii="Times New Roman" w:hAnsi="Times New Roman" w:eastAsia="方正仿宋_GBK" w:cs="Times New Roman"/>
          <w:sz w:val="32"/>
          <w:szCs w:val="32"/>
          <w:highlight w:val="none"/>
          <w:lang w:eastAsia="zh-CN"/>
        </w:rPr>
        <w:t>—2025</w:t>
      </w:r>
      <w:r>
        <w:rPr>
          <w:rFonts w:hint="default" w:ascii="Times New Roman" w:hAnsi="Times New Roman" w:eastAsia="方正仿宋_GBK" w:cs="Times New Roman"/>
          <w:sz w:val="32"/>
          <w:szCs w:val="32"/>
          <w:highlight w:val="none"/>
        </w:rPr>
        <w:t>年</w:t>
      </w:r>
      <w:r>
        <w:rPr>
          <w:rFonts w:hint="eastAsia" w:ascii="Times New Roman" w:hAnsi="Times New Roman"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月。具体建设计划为：</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第一阶段：20</w:t>
      </w:r>
      <w:r>
        <w:rPr>
          <w:rFonts w:hint="default" w:ascii="Times New Roman" w:hAnsi="Times New Roman" w:eastAsia="方正仿宋_GBK" w:cs="Times New Roman"/>
          <w:sz w:val="32"/>
          <w:szCs w:val="32"/>
          <w:highlight w:val="none"/>
          <w:lang w:val="en-US" w:eastAsia="zh-CN"/>
        </w:rPr>
        <w:t>2</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w:t>
      </w:r>
      <w:r>
        <w:rPr>
          <w:rFonts w:hint="eastAsia" w:ascii="Times New Roman" w:hAnsi="Times New Roman" w:eastAsia="方正仿宋_GBK" w:cs="Times New Roman"/>
          <w:sz w:val="32"/>
          <w:szCs w:val="32"/>
          <w:highlight w:val="none"/>
          <w:lang w:val="en-US" w:eastAsia="zh-CN"/>
        </w:rPr>
        <w:t>8</w:t>
      </w:r>
      <w:r>
        <w:rPr>
          <w:rFonts w:hint="default" w:ascii="Times New Roman" w:hAnsi="Times New Roman" w:eastAsia="方正仿宋_GBK" w:cs="Times New Roman"/>
          <w:sz w:val="32"/>
          <w:szCs w:val="32"/>
          <w:highlight w:val="none"/>
        </w:rPr>
        <w:t>月—</w:t>
      </w:r>
      <w:r>
        <w:rPr>
          <w:rFonts w:hint="eastAsia" w:ascii="Times New Roman" w:hAnsi="Times New Roman" w:eastAsia="方正仿宋_GBK" w:cs="Times New Roman"/>
          <w:sz w:val="32"/>
          <w:szCs w:val="32"/>
          <w:highlight w:val="none"/>
          <w:lang w:eastAsia="zh-CN"/>
        </w:rPr>
        <w:t>2025</w:t>
      </w:r>
      <w:r>
        <w:rPr>
          <w:rFonts w:hint="default" w:ascii="Times New Roman" w:hAnsi="Times New Roman" w:eastAsia="方正仿宋_GBK" w:cs="Times New Roman"/>
          <w:sz w:val="32"/>
          <w:szCs w:val="32"/>
          <w:highlight w:val="none"/>
        </w:rPr>
        <w:t>年</w:t>
      </w:r>
      <w:r>
        <w:rPr>
          <w:rFonts w:hint="eastAsia"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月，建立健全项目组织机构，成立项目建设领导小组及办公室，做好项目建设</w:t>
      </w:r>
      <w:r>
        <w:rPr>
          <w:rFonts w:hint="default" w:ascii="Times New Roman" w:hAnsi="Times New Roman" w:eastAsia="方正仿宋_GBK" w:cs="Times New Roman"/>
          <w:sz w:val="32"/>
          <w:szCs w:val="32"/>
          <w:highlight w:val="none"/>
          <w:lang w:val="en-US" w:eastAsia="zh-CN"/>
        </w:rPr>
        <w:t>前期</w:t>
      </w:r>
      <w:r>
        <w:rPr>
          <w:rFonts w:hint="default" w:ascii="Times New Roman" w:hAnsi="Times New Roman" w:eastAsia="方正仿宋_GBK" w:cs="Times New Roman"/>
          <w:sz w:val="32"/>
          <w:szCs w:val="32"/>
          <w:highlight w:val="none"/>
        </w:rPr>
        <w:t>工作并编制上报项目实施方案</w:t>
      </w:r>
      <w:r>
        <w:rPr>
          <w:rFonts w:hint="eastAsia" w:ascii="Times New Roman" w:hAnsi="Times New Roman" w:eastAsia="方正仿宋_GBK" w:cs="Times New Roman"/>
          <w:sz w:val="32"/>
          <w:szCs w:val="32"/>
          <w:highlight w:val="none"/>
          <w:lang w:eastAsia="zh-CN"/>
        </w:rPr>
        <w:t>、县级审查等程序</w:t>
      </w:r>
      <w:r>
        <w:rPr>
          <w:rFonts w:hint="default" w:ascii="Times New Roman" w:hAnsi="Times New Roman" w:eastAsia="方正仿宋_GBK" w:cs="Times New Roman"/>
          <w:sz w:val="32"/>
          <w:szCs w:val="32"/>
          <w:highlight w:val="none"/>
        </w:rPr>
        <w:t>。</w:t>
      </w:r>
    </w:p>
    <w:p>
      <w:pPr>
        <w:pStyle w:val="3"/>
        <w:keepNext w:val="0"/>
        <w:keepLines w:val="0"/>
        <w:pageBreakBefore w:val="0"/>
        <w:kinsoku/>
        <w:overflowPunct/>
        <w:topLinePunct w:val="0"/>
        <w:autoSpaceDE/>
        <w:autoSpaceDN/>
        <w:bidi w:val="0"/>
        <w:spacing w:beforeLines="0" w:after="0" w:afterLines="0" w:line="540" w:lineRule="exact"/>
        <w:ind w:firstLine="640" w:firstLineChars="200"/>
        <w:textAlignment w:val="auto"/>
        <w:rPr>
          <w:rFonts w:hint="eastAsia" w:eastAsia="方正仿宋_GBK"/>
          <w:highlight w:val="none"/>
          <w:lang w:val="en-US" w:eastAsia="zh-CN"/>
        </w:rPr>
      </w:pPr>
      <w:r>
        <w:rPr>
          <w:rFonts w:hint="default" w:ascii="Times New Roman" w:hAnsi="Times New Roman" w:eastAsia="方正仿宋_GBK" w:cs="Times New Roman"/>
          <w:sz w:val="32"/>
          <w:szCs w:val="32"/>
          <w:highlight w:val="none"/>
        </w:rPr>
        <w:t>第二阶段：</w:t>
      </w:r>
      <w:r>
        <w:rPr>
          <w:rFonts w:hint="eastAsia" w:eastAsia="方正仿宋_GBK" w:cs="Times New Roman"/>
          <w:sz w:val="32"/>
          <w:szCs w:val="32"/>
          <w:highlight w:val="none"/>
          <w:lang w:val="en-US" w:eastAsia="zh-CN"/>
        </w:rPr>
        <w:t>2025</w:t>
      </w:r>
      <w:r>
        <w:rPr>
          <w:rFonts w:hint="eastAsia" w:ascii="Times New Roman" w:hAnsi="Times New Roman" w:eastAsia="方正仿宋_GBK" w:cs="Times New Roman"/>
          <w:sz w:val="32"/>
          <w:szCs w:val="32"/>
          <w:highlight w:val="none"/>
          <w:lang w:val="en-US" w:eastAsia="zh-CN"/>
        </w:rPr>
        <w:t>年</w:t>
      </w:r>
      <w:r>
        <w:rPr>
          <w:rFonts w:hint="eastAsia" w:eastAsia="方正仿宋_GBK" w:cs="Times New Roman"/>
          <w:sz w:val="32"/>
          <w:szCs w:val="32"/>
          <w:highlight w:val="none"/>
          <w:lang w:val="en-US" w:eastAsia="zh-CN"/>
        </w:rPr>
        <w:t>3</w:t>
      </w:r>
      <w:r>
        <w:rPr>
          <w:rFonts w:hint="eastAsia" w:ascii="Times New Roman" w:hAnsi="Times New Roman" w:eastAsia="方正仿宋_GBK" w:cs="Times New Roman"/>
          <w:sz w:val="32"/>
          <w:szCs w:val="32"/>
          <w:highlight w:val="none"/>
          <w:lang w:val="en-US" w:eastAsia="zh-CN"/>
        </w:rPr>
        <w:t>月</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val="en-US" w:eastAsia="zh-CN"/>
        </w:rPr>
        <w:t>4月为项目资金安排项目招标、签订合同、</w:t>
      </w:r>
      <w:r>
        <w:rPr>
          <w:rFonts w:hint="default" w:ascii="Times New Roman" w:hAnsi="Times New Roman" w:eastAsia="方正仿宋_GBK" w:cs="Times New Roman"/>
          <w:sz w:val="32"/>
          <w:szCs w:val="32"/>
          <w:highlight w:val="none"/>
        </w:rPr>
        <w:t>项目实施</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组织项目</w:t>
      </w:r>
      <w:r>
        <w:rPr>
          <w:rFonts w:hint="eastAsia" w:ascii="Times New Roman" w:hAnsi="Times New Roman" w:eastAsia="方正仿宋_GBK" w:cs="Times New Roman"/>
          <w:sz w:val="32"/>
          <w:szCs w:val="32"/>
          <w:highlight w:val="none"/>
          <w:lang w:eastAsia="zh-CN"/>
        </w:rPr>
        <w:t>竣工</w:t>
      </w:r>
      <w:r>
        <w:rPr>
          <w:rFonts w:hint="default" w:ascii="Times New Roman" w:hAnsi="Times New Roman" w:eastAsia="方正仿宋_GBK" w:cs="Times New Roman"/>
          <w:sz w:val="32"/>
          <w:szCs w:val="32"/>
          <w:highlight w:val="none"/>
        </w:rPr>
        <w:t>验收</w:t>
      </w:r>
      <w:r>
        <w:rPr>
          <w:rFonts w:hint="eastAsia" w:ascii="Times New Roman" w:hAnsi="Times New Roman" w:eastAsia="方正仿宋_GBK" w:cs="Times New Roman"/>
          <w:sz w:val="32"/>
          <w:szCs w:val="32"/>
          <w:highlight w:val="none"/>
          <w:lang w:eastAsia="zh-CN"/>
        </w:rPr>
        <w:t>结算</w:t>
      </w:r>
      <w:r>
        <w:rPr>
          <w:rFonts w:hint="default" w:ascii="Times New Roman" w:hAnsi="Times New Roman" w:eastAsia="方正仿宋_GBK" w:cs="Times New Roman"/>
          <w:sz w:val="32"/>
          <w:szCs w:val="32"/>
          <w:highlight w:val="none"/>
          <w:lang w:eastAsia="zh-CN"/>
        </w:rPr>
        <w:t>、</w:t>
      </w:r>
      <w:r>
        <w:rPr>
          <w:rFonts w:hint="eastAsia" w:ascii="Times New Roman" w:hAnsi="Times New Roman" w:eastAsia="方正仿宋_GBK" w:cs="Times New Roman"/>
          <w:sz w:val="32"/>
          <w:szCs w:val="32"/>
          <w:highlight w:val="none"/>
          <w:lang w:eastAsia="zh-CN"/>
        </w:rPr>
        <w:t>项目</w:t>
      </w:r>
      <w:r>
        <w:rPr>
          <w:rFonts w:hint="eastAsia" w:ascii="Times New Roman" w:hAnsi="Times New Roman" w:eastAsia="方正仿宋_GBK" w:cs="Times New Roman"/>
          <w:sz w:val="32"/>
          <w:szCs w:val="32"/>
          <w:highlight w:val="none"/>
          <w:lang w:val="en-US" w:eastAsia="zh-CN"/>
        </w:rPr>
        <w:t>资产移交、项目资产后续管理阶段。</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540" w:lineRule="exact"/>
        <w:ind w:firstLine="640" w:firstLineChars="200"/>
        <w:textAlignment w:val="auto"/>
        <w:rPr>
          <w:rFonts w:hint="default" w:ascii="Times New Roman" w:hAnsi="Times New Roman" w:eastAsia="方正仿宋_GBK" w:cs="Times New Roman"/>
          <w:color w:val="auto"/>
          <w:sz w:val="32"/>
          <w:szCs w:val="32"/>
          <w:highlight w:val="none"/>
          <w:lang w:val="en-US" w:eastAsia="zh-CN"/>
        </w:rPr>
      </w:pP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组织管理</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color w:val="auto"/>
          <w:sz w:val="32"/>
          <w:szCs w:val="32"/>
          <w:highlight w:val="none"/>
          <w:lang w:val="en-US" w:eastAsia="zh-CN"/>
        </w:rPr>
        <w:t>镇乡村振兴办负责项目入库程序，项目入库均履行村申报、乡审核、县审定的程序，项目办负责项目实施的进度跟进、项目组织验收情况，财务室负责项目的资金管理，资金的收支情况均按照衔接资金管理办法进行管理，项目实施过程中资金使用情况、项目开工竣工、项目库入库情况均进行公示公告。</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项目管理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建立规范化、制度化的项目管理机制，严格按照基本建设程序，实行项目法人制，</w:t>
      </w:r>
      <w:r>
        <w:rPr>
          <w:rFonts w:hint="default" w:ascii="Times New Roman" w:hAnsi="Times New Roman" w:eastAsia="方正仿宋_GBK" w:cs="Times New Roman"/>
          <w:sz w:val="32"/>
          <w:szCs w:val="32"/>
          <w:shd w:val="clear" w:fill="FFFFFF"/>
          <w:lang w:val="en-US" w:eastAsia="zh-CN"/>
        </w:rPr>
        <w:t>物质采购</w:t>
      </w:r>
      <w:r>
        <w:rPr>
          <w:rFonts w:hint="default" w:ascii="Times New Roman" w:hAnsi="Times New Roman" w:eastAsia="方正仿宋_GBK" w:cs="Times New Roman"/>
          <w:sz w:val="32"/>
          <w:szCs w:val="32"/>
          <w:lang w:val="en-US" w:eastAsia="zh-CN"/>
        </w:rPr>
        <w:t>招投标制、公示公告制。加大项目监管力度，切实按照文件批复内容及规模组织实施项目建设，严禁随意变更建设内容、建设规模和改变资金用途。强化项目发展质量管理，确保项目建设效益。</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eastAsia="zh-CN"/>
        </w:rPr>
        <w:t>项目档案</w:t>
      </w:r>
      <w:r>
        <w:rPr>
          <w:rFonts w:hint="default" w:ascii="Times New Roman" w:hAnsi="Times New Roman" w:eastAsia="方正仿宋_GBK" w:cs="Times New Roman"/>
          <w:sz w:val="32"/>
          <w:szCs w:val="32"/>
        </w:rPr>
        <w:t>管理</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建立健全项目档案管理制度，由项目实施单位安排专人负责，收集整理相关文件、票据等材料的分类建档和管理工作，确保项目竣工后审计、验收工作的顺利开展。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方正黑体_GBK" w:hAnsi="方正黑体_GBK" w:eastAsia="方正黑体_GBK" w:cs="方正黑体_GBK"/>
          <w:sz w:val="32"/>
          <w:szCs w:val="32"/>
          <w:lang w:val="en-US" w:eastAsia="zh-CN"/>
        </w:rPr>
        <w:t>三、项目绩效目标完成情况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1.在汛期，能够有效阻挡洪水泥石流，保护村庄和农田免受洪水泥石流侵袭。减少洪水对村民生命财产和基础设施的破坏，降低灾害损失。</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2.形成的水域可以改善周边生态环境，为水生生物提供栖息地。促进水域生态系统的恢复和发展，增加生物多样性。</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四、原因分析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五、下一步工作措施</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3" w:firstLineChars="200"/>
        <w:jc w:val="both"/>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rPr>
        <w:t>一是</w:t>
      </w:r>
      <w:r>
        <w:rPr>
          <w:rFonts w:hint="eastAsia" w:ascii="Times New Roman" w:hAnsi="Times New Roman" w:eastAsia="方正仿宋_GBK" w:cs="Times New Roman"/>
          <w:sz w:val="32"/>
          <w:szCs w:val="32"/>
          <w:lang w:val="en-US" w:eastAsia="zh-CN"/>
        </w:rPr>
        <w:t>在竣工验收结算阶段组织设计、施工、监理等相关单位进行项目竣工验收，严格按照项目实施方案和建设标准核对各项工程完成情况。</w:t>
      </w:r>
      <w:r>
        <w:rPr>
          <w:rFonts w:hint="eastAsia" w:ascii="Times New Roman" w:hAnsi="Times New Roman" w:eastAsia="方正仿宋_GBK" w:cs="Times New Roman"/>
          <w:b/>
          <w:bCs/>
          <w:sz w:val="32"/>
          <w:szCs w:val="32"/>
          <w:lang w:val="en-US" w:eastAsia="zh-CN"/>
        </w:rPr>
        <w:t>二是</w:t>
      </w:r>
      <w:r>
        <w:rPr>
          <w:rFonts w:hint="eastAsia" w:ascii="Times New Roman" w:hAnsi="Times New Roman" w:eastAsia="方正仿宋_GBK" w:cs="Times New Roman"/>
          <w:sz w:val="32"/>
          <w:szCs w:val="32"/>
          <w:lang w:val="en-US" w:eastAsia="zh-CN"/>
        </w:rPr>
        <w:t>对项目资金使用情况进行全面审计结算，确保资金使用合理、合规，账目清晰。</w:t>
      </w:r>
      <w:r>
        <w:rPr>
          <w:rFonts w:hint="eastAsia" w:ascii="Times New Roman" w:hAnsi="Times New Roman" w:eastAsia="方正仿宋_GBK" w:cs="Times New Roman"/>
          <w:b/>
          <w:bCs/>
          <w:sz w:val="32"/>
          <w:szCs w:val="32"/>
          <w:lang w:val="en-US" w:eastAsia="zh-CN"/>
        </w:rPr>
        <w:t>三是</w:t>
      </w:r>
      <w:r>
        <w:rPr>
          <w:rFonts w:hint="eastAsia" w:ascii="Times New Roman" w:hAnsi="Times New Roman" w:eastAsia="方正仿宋_GBK" w:cs="Times New Roman"/>
          <w:sz w:val="32"/>
          <w:szCs w:val="32"/>
          <w:lang w:val="en-US" w:eastAsia="zh-CN"/>
        </w:rPr>
        <w:t>完成项目资产移交手续，明确后续管理责任主体，同时制定项目资产后续管理制度和维护计划。</w:t>
      </w:r>
      <w:r>
        <w:rPr>
          <w:rFonts w:hint="eastAsia" w:ascii="Times New Roman" w:hAnsi="Times New Roman" w:eastAsia="方正仿宋_GBK" w:cs="Times New Roman"/>
          <w:b/>
          <w:bCs/>
          <w:sz w:val="32"/>
          <w:szCs w:val="32"/>
          <w:lang w:val="en-US" w:eastAsia="zh-CN"/>
        </w:rPr>
        <w:t>四是</w:t>
      </w:r>
      <w:r>
        <w:rPr>
          <w:rFonts w:hint="eastAsia" w:ascii="Times New Roman" w:hAnsi="Times New Roman" w:eastAsia="方正仿宋_GBK" w:cs="Times New Roman"/>
          <w:sz w:val="32"/>
          <w:szCs w:val="32"/>
          <w:lang w:val="en-US" w:eastAsia="zh-CN"/>
        </w:rPr>
        <w:t>持续监督与优化，</w:t>
      </w:r>
      <w:r>
        <w:rPr>
          <w:rFonts w:hint="eastAsia" w:ascii="Times New Roman" w:hAnsi="Times New Roman" w:eastAsia="方正仿宋_GBK" w:cs="Times New Roman"/>
          <w:sz w:val="32"/>
          <w:szCs w:val="32"/>
          <w:shd w:val="clear" w:fill="FFFFFF"/>
          <w:lang w:val="en-US" w:eastAsia="zh-CN"/>
        </w:rPr>
        <w:t>镇</w:t>
      </w:r>
      <w:r>
        <w:rPr>
          <w:rFonts w:hint="eastAsia" w:ascii="Times New Roman" w:hAnsi="Times New Roman" w:eastAsia="方正仿宋_GBK" w:cs="Times New Roman"/>
          <w:sz w:val="32"/>
          <w:szCs w:val="32"/>
          <w:lang w:val="en-US" w:eastAsia="zh-CN"/>
        </w:rPr>
        <w:t>项目办加强对项目整体的监督，包括项目库信息更新，确保项目实施全过程信息准确、公开透明，尤其是资金使用、项目进度等公示公告内容的更新。</w:t>
      </w:r>
      <w:r>
        <w:rPr>
          <w:rFonts w:hint="eastAsia" w:ascii="Times New Roman" w:hAnsi="Times New Roman" w:eastAsia="方正仿宋_GBK" w:cs="Times New Roman"/>
          <w:b/>
          <w:bCs/>
          <w:sz w:val="32"/>
          <w:szCs w:val="32"/>
          <w:lang w:val="en-US" w:eastAsia="zh-CN"/>
        </w:rPr>
        <w:t>五是</w:t>
      </w:r>
      <w:r>
        <w:rPr>
          <w:rFonts w:hint="eastAsia" w:ascii="Times New Roman" w:hAnsi="Times New Roman" w:eastAsia="方正仿宋_GBK" w:cs="Times New Roman"/>
          <w:sz w:val="32"/>
          <w:szCs w:val="32"/>
          <w:lang w:val="en-US" w:eastAsia="zh-CN"/>
        </w:rPr>
        <w:t>项目办与财务室协作，总结项目管理经验，为后续类似项目提供参考，优化项目管理流程和机制，提高项目实施效率和质量。</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六、其他需要说明的问题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640" w:firstLineChars="200"/>
        <w:jc w:val="both"/>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附件：项目绩效自评</w:t>
      </w:r>
      <w:r>
        <w:rPr>
          <w:rFonts w:hint="eastAsia" w:ascii="Times New Roman" w:hAnsi="Times New Roman" w:eastAsia="方正仿宋_GBK" w:cs="Times New Roman"/>
          <w:sz w:val="32"/>
          <w:szCs w:val="32"/>
          <w:lang w:val="en-US" w:eastAsia="zh-CN"/>
        </w:rPr>
        <w:t>表</w:t>
      </w:r>
    </w:p>
    <w:p>
      <w:pPr>
        <w:pStyle w:val="3"/>
        <w:keepNext w:val="0"/>
        <w:keepLines w:val="0"/>
        <w:pageBreakBefore w:val="0"/>
        <w:kinsoku/>
        <w:overflowPunct/>
        <w:topLinePunct w:val="0"/>
        <w:autoSpaceDE/>
        <w:autoSpaceDN/>
        <w:bidi w:val="0"/>
        <w:spacing w:beforeLines="0" w:after="0" w:afterLines="0" w:line="540" w:lineRule="exact"/>
        <w:ind w:firstLine="640" w:firstLineChars="200"/>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spacing w:after="0" w:line="540" w:lineRule="exact"/>
        <w:ind w:firstLine="440" w:firstLineChars="200"/>
        <w:textAlignment w:val="auto"/>
        <w:rPr>
          <w:rFonts w:hint="eastAsia"/>
          <w:lang w:val="en-US" w:eastAsia="zh-CN"/>
        </w:rPr>
      </w:pPr>
    </w:p>
    <w:p>
      <w:pPr>
        <w:keepNext w:val="0"/>
        <w:keepLines w:val="0"/>
        <w:pageBreakBefore w:val="0"/>
        <w:kinsoku/>
        <w:overflowPunct/>
        <w:topLinePunct w:val="0"/>
        <w:autoSpaceDE/>
        <w:autoSpaceDN/>
        <w:bidi w:val="0"/>
        <w:spacing w:after="0" w:line="540" w:lineRule="exact"/>
        <w:ind w:firstLine="440" w:firstLineChars="200"/>
        <w:textAlignment w:val="auto"/>
        <w:rPr>
          <w:rFonts w:hint="eastAsia"/>
          <w:lang w:val="en-US" w:eastAsia="zh-CN"/>
        </w:rPr>
      </w:pPr>
    </w:p>
    <w:p>
      <w:pPr>
        <w:pStyle w:val="3"/>
        <w:keepNext w:val="0"/>
        <w:keepLines w:val="0"/>
        <w:pageBreakBefore w:val="0"/>
        <w:widowControl w:val="0"/>
        <w:numPr>
          <w:ilvl w:val="0"/>
          <w:numId w:val="0"/>
        </w:numPr>
        <w:kinsoku/>
        <w:wordWrap w:val="0"/>
        <w:overflowPunct/>
        <w:topLinePunct w:val="0"/>
        <w:autoSpaceDE/>
        <w:autoSpaceDN/>
        <w:bidi w:val="0"/>
        <w:adjustRightInd/>
        <w:snapToGrid/>
        <w:spacing w:beforeLines="0" w:after="0" w:afterLines="0" w:line="540" w:lineRule="exact"/>
        <w:ind w:firstLine="640" w:firstLineChars="200"/>
        <w:jc w:val="right"/>
        <w:textAlignment w:val="auto"/>
        <w:rPr>
          <w:rFonts w:hint="default" w:ascii="Times New Roman" w:hAnsi="Times New Roman" w:eastAsia="方正仿宋_GB2312" w:cs="Times New Roman"/>
          <w:kern w:val="2"/>
          <w:sz w:val="32"/>
          <w:szCs w:val="32"/>
          <w:lang w:val="en-US" w:eastAsia="zh-CN" w:bidi="ar-SA"/>
        </w:rPr>
      </w:pPr>
      <w:r>
        <w:rPr>
          <w:rFonts w:hint="eastAsia" w:eastAsia="方正仿宋_GB2312" w:cs="Times New Roman"/>
          <w:kern w:val="2"/>
          <w:sz w:val="32"/>
          <w:szCs w:val="32"/>
          <w:lang w:val="en-US" w:eastAsia="zh-CN" w:bidi="ar-SA"/>
        </w:rPr>
        <w:t>盈江县</w:t>
      </w:r>
      <w:r>
        <w:rPr>
          <w:rFonts w:hint="default" w:ascii="Times New Roman" w:hAnsi="Times New Roman" w:eastAsia="方正仿宋_GB2312" w:cs="Times New Roman"/>
          <w:kern w:val="2"/>
          <w:sz w:val="32"/>
          <w:szCs w:val="32"/>
          <w:lang w:val="en-US" w:eastAsia="zh-CN" w:bidi="ar-SA"/>
        </w:rPr>
        <w:t>太平镇人民政府</w:t>
      </w:r>
      <w:r>
        <w:rPr>
          <w:rFonts w:hint="eastAsia" w:eastAsia="方正仿宋_GB2312" w:cs="Times New Roman"/>
          <w:kern w:val="2"/>
          <w:sz w:val="32"/>
          <w:szCs w:val="32"/>
          <w:lang w:val="en-US" w:eastAsia="zh-CN" w:bidi="ar-SA"/>
        </w:rPr>
        <w:t xml:space="preserve">        </w:t>
      </w:r>
      <w:r>
        <w:rPr>
          <w:rFonts w:hint="eastAsia" w:ascii="Times New Roman" w:hAnsi="Times New Roman" w:eastAsia="方正仿宋_GB2312" w:cs="Times New Roman"/>
          <w:kern w:val="2"/>
          <w:sz w:val="32"/>
          <w:szCs w:val="32"/>
          <w:lang w:val="en-US" w:eastAsia="zh-CN" w:bidi="ar-SA"/>
        </w:rPr>
        <w:t xml:space="preserve">                       </w:t>
      </w:r>
    </w:p>
    <w:p>
      <w:pPr>
        <w:pStyle w:val="3"/>
        <w:keepNext w:val="0"/>
        <w:keepLines w:val="0"/>
        <w:pageBreakBefore w:val="0"/>
        <w:widowControl w:val="0"/>
        <w:numPr>
          <w:ilvl w:val="0"/>
          <w:numId w:val="0"/>
        </w:numPr>
        <w:kinsoku/>
        <w:wordWrap w:val="0"/>
        <w:overflowPunct/>
        <w:topLinePunct w:val="0"/>
        <w:autoSpaceDE/>
        <w:autoSpaceDN/>
        <w:bidi w:val="0"/>
        <w:adjustRightInd/>
        <w:snapToGrid/>
        <w:spacing w:beforeLines="0" w:after="0" w:afterLines="0" w:line="540" w:lineRule="exact"/>
        <w:ind w:firstLine="640" w:firstLineChars="200"/>
        <w:jc w:val="right"/>
        <w:textAlignment w:val="auto"/>
        <w:rPr>
          <w:rFonts w:hint="default" w:ascii="Times New Roman" w:hAnsi="Times New Roman" w:eastAsia="方正仿宋_GB2312" w:cs="Times New Roman"/>
          <w:kern w:val="2"/>
          <w:sz w:val="32"/>
          <w:szCs w:val="32"/>
          <w:lang w:val="en-US" w:eastAsia="zh-CN" w:bidi="ar-SA"/>
        </w:rPr>
      </w:pPr>
      <w:r>
        <w:rPr>
          <w:rFonts w:hint="eastAsia" w:eastAsia="方正仿宋_GB2312" w:cs="Times New Roman"/>
          <w:kern w:val="2"/>
          <w:sz w:val="32"/>
          <w:szCs w:val="32"/>
          <w:lang w:val="en-US" w:eastAsia="zh-CN" w:bidi="ar-SA"/>
        </w:rPr>
        <w:t>2025</w:t>
      </w:r>
      <w:r>
        <w:rPr>
          <w:rFonts w:hint="default" w:ascii="Times New Roman" w:hAnsi="Times New Roman" w:eastAsia="方正仿宋_GB2312" w:cs="Times New Roman"/>
          <w:kern w:val="2"/>
          <w:sz w:val="32"/>
          <w:szCs w:val="32"/>
          <w:lang w:val="en-US" w:eastAsia="zh-CN" w:bidi="ar-SA"/>
        </w:rPr>
        <w:t>年</w:t>
      </w:r>
      <w:r>
        <w:rPr>
          <w:rFonts w:hint="eastAsia" w:eastAsia="方正仿宋_GB2312" w:cs="Times New Roman"/>
          <w:kern w:val="2"/>
          <w:sz w:val="32"/>
          <w:szCs w:val="32"/>
          <w:lang w:val="en-US" w:eastAsia="zh-CN" w:bidi="ar-SA"/>
        </w:rPr>
        <w:t>4</w:t>
      </w:r>
      <w:r>
        <w:rPr>
          <w:rFonts w:hint="default" w:ascii="Times New Roman" w:hAnsi="Times New Roman" w:eastAsia="方正仿宋_GB2312" w:cs="Times New Roman"/>
          <w:kern w:val="2"/>
          <w:sz w:val="32"/>
          <w:szCs w:val="32"/>
          <w:lang w:val="en-US" w:eastAsia="zh-CN" w:bidi="ar-SA"/>
        </w:rPr>
        <w:t>月</w:t>
      </w:r>
      <w:r>
        <w:rPr>
          <w:rFonts w:hint="eastAsia" w:eastAsia="方正仿宋_GB2312" w:cs="Times New Roman"/>
          <w:kern w:val="2"/>
          <w:sz w:val="32"/>
          <w:szCs w:val="32"/>
          <w:lang w:val="en-US" w:eastAsia="zh-CN" w:bidi="ar-SA"/>
        </w:rPr>
        <w:t>10</w:t>
      </w:r>
      <w:r>
        <w:rPr>
          <w:rFonts w:hint="default" w:ascii="Times New Roman" w:hAnsi="Times New Roman" w:eastAsia="方正仿宋_GB2312" w:cs="Times New Roman"/>
          <w:kern w:val="2"/>
          <w:sz w:val="32"/>
          <w:szCs w:val="32"/>
          <w:lang w:val="en-US" w:eastAsia="zh-CN" w:bidi="ar-SA"/>
        </w:rPr>
        <w:t>日</w:t>
      </w:r>
      <w:r>
        <w:rPr>
          <w:rFonts w:hint="eastAsia" w:eastAsia="方正仿宋_GB2312" w:cs="Times New Roman"/>
          <w:kern w:val="2"/>
          <w:sz w:val="32"/>
          <w:szCs w:val="32"/>
          <w:lang w:val="en-US" w:eastAsia="zh-CN" w:bidi="ar-SA"/>
        </w:rPr>
        <w:t xml:space="preserve">                               </w:t>
      </w:r>
    </w:p>
    <w:sectPr>
      <w:footerReference r:id="rId5" w:type="default"/>
      <w:pgSz w:w="11906" w:h="16838"/>
      <w:pgMar w:top="2211" w:right="1474" w:bottom="1871" w:left="1587" w:header="708" w:footer="708" w:gutter="0"/>
      <w:pgNumType w:fmt="decimal"/>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4886960</wp:posOffset>
              </wp:positionH>
              <wp:positionV relativeFrom="paragraph">
                <wp:posOffset>-201295</wp:posOffset>
              </wp:positionV>
              <wp:extent cx="728980" cy="52451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728980" cy="524510"/>
                      </a:xfrm>
                      <a:prstGeom prst="rect">
                        <a:avLst/>
                      </a:prstGeom>
                      <a:noFill/>
                      <a:ln>
                        <a:noFill/>
                      </a:ln>
                    </wps:spPr>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lIns="0" tIns="0" rIns="0" bIns="0" upright="0"/>
                  </wps:wsp>
                </a:graphicData>
              </a:graphic>
            </wp:anchor>
          </w:drawing>
        </mc:Choice>
        <mc:Fallback>
          <w:pict>
            <v:shape id="文本框 1025" o:spid="_x0000_s1026" o:spt="202" type="#_x0000_t202" style="position:absolute;left:0pt;margin-left:384.8pt;margin-top:-15.85pt;height:41.3pt;width:57.4pt;mso-position-horizontal-relative:margin;z-index:251659264;mso-width-relative:page;mso-height-relative:page;" filled="f" stroked="f" coordsize="21600,21600" o:gfxdata="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IWG3m2gAAAAoBAAAPAAAAAAAAAAEAIAAAACIAAABkcnMvZG93bnJldi54bWxQ&#10;SwECFAAUAAAACACHTuJA2YWUtLwBAAB0AwAADgAAAAAAAAABACAAAAApAQAAZHJzL2Uyb0RvYy54&#10;bWxQSwUGAAAAAAYABgBZAQAAVwUAAAAA&#10;">
              <v:fill on="f" focussize="0,0"/>
              <v:stroke on="f"/>
              <v:imagedata o:title=""/>
              <o:lock v:ext="edit" aspectratio="f"/>
              <v:textbox inset="0mm,0mm,0mm,0mm">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hdrShapeDefaults>
    <o:shapelayout v:ext="edit">
      <o:idmap v:ext="edit" data="3,4"/>
    </o:shapelayout>
  </w:hdrShapeDefault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yOWNhM2U0ZWNlMzY0NDNlNjdhMGQzMTMyYmQ0MGUifQ=="/>
  </w:docVars>
  <w:rsids>
    <w:rsidRoot w:val="00D31D50"/>
    <w:rsid w:val="00323B43"/>
    <w:rsid w:val="003D37D8"/>
    <w:rsid w:val="00426133"/>
    <w:rsid w:val="004358AB"/>
    <w:rsid w:val="008B7726"/>
    <w:rsid w:val="00D31D50"/>
    <w:rsid w:val="01A4418E"/>
    <w:rsid w:val="090A6061"/>
    <w:rsid w:val="0B203ABD"/>
    <w:rsid w:val="0D3007C6"/>
    <w:rsid w:val="16326E75"/>
    <w:rsid w:val="181202A0"/>
    <w:rsid w:val="1EB22950"/>
    <w:rsid w:val="20301DA3"/>
    <w:rsid w:val="21470C8B"/>
    <w:rsid w:val="23DF33FD"/>
    <w:rsid w:val="27832720"/>
    <w:rsid w:val="2D446037"/>
    <w:rsid w:val="31637755"/>
    <w:rsid w:val="39200B2E"/>
    <w:rsid w:val="46E02155"/>
    <w:rsid w:val="48FF7BDB"/>
    <w:rsid w:val="4EAD338D"/>
    <w:rsid w:val="5FDD6DAE"/>
    <w:rsid w:val="6028310E"/>
    <w:rsid w:val="652607AF"/>
    <w:rsid w:val="66FC3707"/>
    <w:rsid w:val="6BB54C0C"/>
    <w:rsid w:val="700E33AC"/>
    <w:rsid w:val="70D46ED4"/>
    <w:rsid w:val="73054102"/>
    <w:rsid w:val="760027C3"/>
    <w:rsid w:val="76146D96"/>
    <w:rsid w:val="76787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spacing w:before="100" w:beforeAutospacing="1" w:after="100" w:afterAutospacing="1"/>
      <w:ind w:left="117"/>
    </w:pPr>
    <w:rPr>
      <w:rFonts w:ascii="方正仿宋_GB2312" w:hAnsi="方正仿宋_GB2312" w:cs="宋体"/>
      <w:sz w:val="32"/>
      <w:szCs w:val="32"/>
    </w:rPr>
  </w:style>
  <w:style w:type="paragraph" w:styleId="3">
    <w:name w:val="Normal Indent"/>
    <w:basedOn w:val="1"/>
    <w:next w:val="1"/>
    <w:qFormat/>
    <w:uiPriority w:val="0"/>
    <w:pPr>
      <w:spacing w:beforeLines="0" w:afterLines="0"/>
      <w:ind w:firstLine="420" w:firstLineChars="200"/>
    </w:pPr>
    <w:rPr>
      <w:rFonts w:hint="eastAsia" w:ascii="Times New Roman" w:hAnsi="Times New Roman" w:eastAsia="宋体" w:cs="Times New Roman"/>
      <w:sz w:val="21"/>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table of figures"/>
    <w:basedOn w:val="9"/>
    <w:next w:val="9"/>
    <w:qFormat/>
    <w:uiPriority w:val="0"/>
    <w:pPr>
      <w:ind w:left="200" w:leftChars="200" w:hanging="200" w:hangingChars="200"/>
    </w:p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8"/>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1911</Words>
  <Characters>2126</Characters>
  <Lines>1</Lines>
  <Paragraphs>1</Paragraphs>
  <TotalTime>0</TotalTime>
  <ScaleCrop>false</ScaleCrop>
  <LinksUpToDate>false</LinksUpToDate>
  <CharactersWithSpaces>2126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2025-10-22T02:13:01Z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7FCD74C8BC2A42F7BCC9BF22FF29F0A3_13</vt:lpwstr>
  </property>
  <property fmtid="{D5CDD505-2E9C-101B-9397-08002B2CF9AE}" pid="4" name="hmcheck_markmode">
    <vt:i4>0</vt:i4>
  </property>
</Properties>
</file>