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盈江县人力资源和社会保障局</w:t>
      </w:r>
      <w:r>
        <w:rPr>
          <w:rFonts w:ascii="方正小标宋_GBK" w:hAnsi="方正小标宋_GBK" w:eastAsia="方正小标宋_GBK" w:cs="方正小标宋_GBK"/>
          <w:sz w:val="44"/>
          <w:szCs w:val="44"/>
        </w:rPr>
        <w:t>2017</w:t>
      </w:r>
      <w:r>
        <w:rPr>
          <w:rFonts w:hint="eastAsia" w:ascii="方正小标宋_GBK" w:hAnsi="方正小标宋_GBK" w:eastAsia="方正小标宋_GBK" w:cs="方正小标宋_GBK"/>
          <w:sz w:val="44"/>
          <w:szCs w:val="44"/>
        </w:rPr>
        <w:t>年部门预算重要事项情况说明及名词解释</w:t>
      </w:r>
    </w:p>
    <w:p>
      <w:pPr>
        <w:spacing w:line="580" w:lineRule="exact"/>
        <w:ind w:firstLine="480" w:firstLineChars="150"/>
        <w:rPr>
          <w:rFonts w:ascii="仿宋" w:hAnsi="仿宋" w:eastAsia="仿宋"/>
          <w:sz w:val="32"/>
          <w:szCs w:val="32"/>
        </w:rPr>
      </w:pPr>
      <w:r>
        <w:rPr>
          <w:rFonts w:hint="eastAsia" w:ascii="仿宋" w:hAnsi="仿宋" w:eastAsia="仿宋"/>
          <w:sz w:val="32"/>
          <w:szCs w:val="32"/>
        </w:rPr>
        <w:t>一、预算收支增减变化情况说明</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盈江县人社局</w:t>
      </w:r>
      <w:r>
        <w:rPr>
          <w:rFonts w:ascii="仿宋" w:hAnsi="仿宋" w:eastAsia="仿宋"/>
          <w:sz w:val="32"/>
          <w:szCs w:val="32"/>
        </w:rPr>
        <w:t>2017</w:t>
      </w:r>
      <w:r>
        <w:rPr>
          <w:rFonts w:hint="eastAsia" w:ascii="仿宋" w:hAnsi="仿宋" w:eastAsia="仿宋"/>
          <w:sz w:val="32"/>
          <w:szCs w:val="32"/>
        </w:rPr>
        <w:t>年收入预算总额为</w:t>
      </w:r>
      <w:r>
        <w:rPr>
          <w:rFonts w:ascii="仿宋" w:hAnsi="仿宋" w:eastAsia="仿宋"/>
          <w:sz w:val="32"/>
          <w:szCs w:val="32"/>
          <w:u w:val="single"/>
        </w:rPr>
        <w:t>6512.36</w:t>
      </w:r>
      <w:r>
        <w:rPr>
          <w:rFonts w:hint="eastAsia" w:ascii="仿宋" w:hAnsi="仿宋" w:eastAsia="仿宋"/>
          <w:sz w:val="32"/>
          <w:szCs w:val="32"/>
        </w:rPr>
        <w:t>万元，</w:t>
      </w:r>
      <w:r>
        <w:rPr>
          <w:rFonts w:hint="eastAsia" w:ascii="仿宋" w:hAnsi="仿宋" w:eastAsia="仿宋"/>
          <w:kern w:val="0"/>
          <w:sz w:val="32"/>
          <w:szCs w:val="32"/>
        </w:rPr>
        <w:t>与上年对比</w:t>
      </w:r>
      <w:r>
        <w:rPr>
          <w:rFonts w:ascii="仿宋" w:hAnsi="仿宋" w:eastAsia="仿宋"/>
          <w:kern w:val="0"/>
          <w:sz w:val="32"/>
          <w:szCs w:val="32"/>
        </w:rPr>
        <w:t>655.25</w:t>
      </w:r>
      <w:r>
        <w:rPr>
          <w:rFonts w:hint="eastAsia" w:ascii="仿宋" w:hAnsi="仿宋" w:eastAsia="仿宋"/>
          <w:kern w:val="0"/>
          <w:sz w:val="32"/>
          <w:szCs w:val="32"/>
        </w:rPr>
        <w:t>万元增加</w:t>
      </w:r>
      <w:r>
        <w:rPr>
          <w:rFonts w:ascii="仿宋" w:hAnsi="仿宋" w:eastAsia="仿宋"/>
          <w:kern w:val="0"/>
          <w:sz w:val="32"/>
          <w:szCs w:val="32"/>
        </w:rPr>
        <w:t>5857.11</w:t>
      </w:r>
      <w:r>
        <w:rPr>
          <w:rFonts w:hint="eastAsia" w:ascii="仿宋" w:hAnsi="仿宋" w:eastAsia="仿宋"/>
          <w:kern w:val="0"/>
          <w:sz w:val="32"/>
          <w:szCs w:val="32"/>
        </w:rPr>
        <w:t>万元增加</w:t>
      </w:r>
      <w:r>
        <w:rPr>
          <w:rFonts w:ascii="仿宋" w:hAnsi="仿宋" w:eastAsia="仿宋"/>
          <w:kern w:val="0"/>
          <w:sz w:val="32"/>
          <w:szCs w:val="32"/>
        </w:rPr>
        <w:t>893.87%</w:t>
      </w:r>
      <w:r>
        <w:rPr>
          <w:rFonts w:ascii="仿宋" w:hAnsi="仿宋" w:eastAsia="仿宋"/>
          <w:sz w:val="32"/>
          <w:szCs w:val="32"/>
        </w:rPr>
        <w:t>,</w:t>
      </w:r>
      <w:r>
        <w:rPr>
          <w:rFonts w:hint="eastAsia" w:ascii="仿宋" w:hAnsi="仿宋" w:eastAsia="仿宋"/>
          <w:sz w:val="32"/>
          <w:szCs w:val="32"/>
        </w:rPr>
        <w:t>主要</w:t>
      </w:r>
      <w:r>
        <w:rPr>
          <w:rFonts w:hint="eastAsia" w:ascii="仿宋" w:hAnsi="仿宋" w:eastAsia="仿宋"/>
          <w:kern w:val="0"/>
          <w:sz w:val="32"/>
          <w:szCs w:val="32"/>
        </w:rPr>
        <w:t>原因城乡居民养老保险经费、城镇职工医疗保险、</w:t>
      </w:r>
      <w:r>
        <w:rPr>
          <w:rFonts w:hint="eastAsia" w:ascii="仿宋" w:hAnsi="仿宋" w:eastAsia="仿宋"/>
          <w:kern w:val="0"/>
          <w:sz w:val="32"/>
          <w:szCs w:val="32"/>
          <w:lang w:eastAsia="zh-CN"/>
        </w:rPr>
        <w:t>城乡居民基本医疗保险</w:t>
      </w:r>
      <w:r>
        <w:rPr>
          <w:rFonts w:hint="eastAsia" w:ascii="仿宋" w:hAnsi="仿宋" w:eastAsia="仿宋"/>
          <w:kern w:val="0"/>
          <w:sz w:val="32"/>
          <w:szCs w:val="32"/>
        </w:rPr>
        <w:t>、就业资金县级拼配预算统一由人社局财务室预算</w:t>
      </w:r>
    </w:p>
    <w:p>
      <w:pPr>
        <w:spacing w:line="580" w:lineRule="atLeast"/>
        <w:ind w:firstLine="640" w:firstLineChars="200"/>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年支出预算总额为</w:t>
      </w:r>
      <w:r>
        <w:rPr>
          <w:rFonts w:ascii="仿宋" w:hAnsi="仿宋" w:eastAsia="仿宋"/>
          <w:sz w:val="32"/>
          <w:szCs w:val="32"/>
          <w:u w:val="single"/>
        </w:rPr>
        <w:t>6512.36</w:t>
      </w:r>
      <w:r>
        <w:rPr>
          <w:rFonts w:hint="eastAsia" w:ascii="仿宋" w:hAnsi="仿宋" w:eastAsia="仿宋"/>
          <w:sz w:val="32"/>
          <w:szCs w:val="32"/>
        </w:rPr>
        <w:t>万元，其中：财政拨款（补助）安排的支出</w:t>
      </w:r>
      <w:r>
        <w:rPr>
          <w:rFonts w:ascii="仿宋" w:hAnsi="仿宋" w:eastAsia="仿宋"/>
          <w:sz w:val="32"/>
          <w:szCs w:val="32"/>
          <w:u w:val="single"/>
        </w:rPr>
        <w:t>6512.36</w:t>
      </w:r>
      <w:r>
        <w:rPr>
          <w:rFonts w:hint="eastAsia" w:ascii="仿宋" w:hAnsi="仿宋" w:eastAsia="仿宋"/>
          <w:sz w:val="32"/>
          <w:szCs w:val="32"/>
        </w:rPr>
        <w:t>万元（其中：基本支出</w:t>
      </w:r>
      <w:r>
        <w:rPr>
          <w:rFonts w:ascii="仿宋" w:hAnsi="仿宋" w:eastAsia="仿宋"/>
          <w:sz w:val="32"/>
          <w:szCs w:val="32"/>
          <w:u w:val="single"/>
        </w:rPr>
        <w:t>747.46</w:t>
      </w:r>
      <w:r>
        <w:rPr>
          <w:rFonts w:hint="eastAsia" w:ascii="仿宋" w:hAnsi="仿宋" w:eastAsia="仿宋"/>
          <w:sz w:val="32"/>
          <w:szCs w:val="32"/>
        </w:rPr>
        <w:t>万元。主要是在职人员经费、公用经费、离退休人员经费等。项目支出</w:t>
      </w:r>
      <w:r>
        <w:rPr>
          <w:rFonts w:ascii="仿宋" w:hAnsi="仿宋" w:eastAsia="仿宋"/>
          <w:sz w:val="32"/>
          <w:szCs w:val="32"/>
          <w:u w:val="single"/>
        </w:rPr>
        <w:t>5764.90</w:t>
      </w:r>
      <w:r>
        <w:rPr>
          <w:rFonts w:hint="eastAsia" w:ascii="仿宋" w:hAnsi="仿宋" w:eastAsia="仿宋"/>
          <w:sz w:val="32"/>
          <w:szCs w:val="32"/>
        </w:rPr>
        <w:t>万元。主要项目是三支一扶大学生、大学生村官社会保险、就业办经费、医保办各项医疗开支、新农合医疗保险开支等）。</w:t>
      </w:r>
    </w:p>
    <w:p>
      <w:pPr>
        <w:widowControl/>
        <w:snapToGrid w:val="0"/>
        <w:spacing w:before="100" w:after="100" w:line="600" w:lineRule="exact"/>
        <w:ind w:firstLine="640" w:firstLineChars="200"/>
        <w:jc w:val="left"/>
        <w:rPr>
          <w:rFonts w:ascii="仿宋" w:hAnsi="仿宋" w:eastAsia="仿宋" w:cs="方正黑体_GBK"/>
          <w:sz w:val="32"/>
          <w:szCs w:val="32"/>
        </w:rPr>
      </w:pPr>
      <w:r>
        <w:rPr>
          <w:rFonts w:hint="eastAsia" w:ascii="仿宋" w:hAnsi="仿宋" w:eastAsia="仿宋" w:cs="方正黑体_GBK"/>
          <w:sz w:val="32"/>
          <w:szCs w:val="32"/>
        </w:rPr>
        <w:t>二、机关运行经费支出情况</w:t>
      </w:r>
    </w:p>
    <w:p>
      <w:pPr>
        <w:widowControl/>
        <w:snapToGrid w:val="0"/>
        <w:spacing w:before="100" w:after="100" w:line="360" w:lineRule="auto"/>
        <w:jc w:val="left"/>
        <w:rPr>
          <w:rFonts w:ascii="仿宋" w:hAnsi="仿宋" w:eastAsia="仿宋"/>
          <w:kern w:val="0"/>
          <w:sz w:val="32"/>
          <w:szCs w:val="32"/>
        </w:rPr>
      </w:pPr>
      <w:r>
        <w:rPr>
          <w:rFonts w:hint="eastAsia" w:ascii="仿宋" w:hAnsi="仿宋" w:eastAsia="仿宋"/>
          <w:sz w:val="32"/>
          <w:szCs w:val="32"/>
        </w:rPr>
        <w:t>盈江县人社局</w:t>
      </w:r>
      <w:r>
        <w:rPr>
          <w:rFonts w:ascii="仿宋" w:hAnsi="仿宋" w:eastAsia="仿宋"/>
          <w:sz w:val="32"/>
          <w:szCs w:val="32"/>
        </w:rPr>
        <w:t>2017</w:t>
      </w:r>
      <w:r>
        <w:rPr>
          <w:rFonts w:hint="eastAsia" w:ascii="仿宋" w:hAnsi="仿宋" w:eastAsia="仿宋"/>
          <w:sz w:val="32"/>
          <w:szCs w:val="32"/>
        </w:rPr>
        <w:t>年部门预算机关运行经费支出</w:t>
      </w:r>
      <w:r>
        <w:rPr>
          <w:rFonts w:ascii="仿宋" w:hAnsi="仿宋" w:eastAsia="仿宋"/>
          <w:sz w:val="32"/>
          <w:szCs w:val="32"/>
        </w:rPr>
        <w:t>747.46</w:t>
      </w:r>
      <w:r>
        <w:rPr>
          <w:rFonts w:hint="eastAsia" w:ascii="仿宋" w:hAnsi="仿宋" w:eastAsia="仿宋"/>
          <w:sz w:val="32"/>
          <w:szCs w:val="32"/>
        </w:rPr>
        <w:t>万元，</w:t>
      </w:r>
      <w:r>
        <w:rPr>
          <w:rFonts w:hint="eastAsia" w:ascii="仿宋" w:hAnsi="仿宋" w:eastAsia="仿宋"/>
          <w:kern w:val="0"/>
          <w:sz w:val="32"/>
          <w:szCs w:val="32"/>
        </w:rPr>
        <w:t>与上年对比</w:t>
      </w:r>
      <w:r>
        <w:rPr>
          <w:rFonts w:ascii="仿宋" w:hAnsi="仿宋" w:eastAsia="仿宋"/>
          <w:kern w:val="0"/>
          <w:sz w:val="32"/>
          <w:szCs w:val="32"/>
        </w:rPr>
        <w:t>551.42</w:t>
      </w:r>
      <w:r>
        <w:rPr>
          <w:rFonts w:hint="eastAsia" w:ascii="仿宋" w:hAnsi="仿宋" w:eastAsia="仿宋"/>
          <w:kern w:val="0"/>
          <w:sz w:val="32"/>
          <w:szCs w:val="32"/>
        </w:rPr>
        <w:t>增加</w:t>
      </w:r>
      <w:r>
        <w:rPr>
          <w:rFonts w:ascii="仿宋" w:hAnsi="仿宋" w:eastAsia="仿宋"/>
          <w:kern w:val="0"/>
          <w:sz w:val="32"/>
          <w:szCs w:val="32"/>
        </w:rPr>
        <w:t>196.04</w:t>
      </w:r>
      <w:r>
        <w:rPr>
          <w:rFonts w:hint="eastAsia" w:ascii="仿宋" w:hAnsi="仿宋" w:eastAsia="仿宋"/>
          <w:kern w:val="0"/>
          <w:sz w:val="32"/>
          <w:szCs w:val="32"/>
        </w:rPr>
        <w:t>万元</w:t>
      </w:r>
      <w:r>
        <w:rPr>
          <w:rFonts w:ascii="仿宋" w:hAnsi="仿宋" w:eastAsia="仿宋"/>
          <w:sz w:val="32"/>
          <w:szCs w:val="32"/>
        </w:rPr>
        <w:t>,</w:t>
      </w:r>
      <w:r>
        <w:rPr>
          <w:rFonts w:hint="eastAsia" w:ascii="仿宋" w:hAnsi="仿宋" w:eastAsia="仿宋"/>
          <w:sz w:val="32"/>
          <w:szCs w:val="32"/>
        </w:rPr>
        <w:t>主要</w:t>
      </w:r>
      <w:r>
        <w:rPr>
          <w:rFonts w:hint="eastAsia" w:ascii="仿宋" w:hAnsi="仿宋" w:eastAsia="仿宋"/>
          <w:kern w:val="0"/>
          <w:sz w:val="32"/>
          <w:szCs w:val="32"/>
        </w:rPr>
        <w:t>原因分析人员经费增加。部门机关运行经费主要用于</w:t>
      </w:r>
      <w:r>
        <w:rPr>
          <w:rFonts w:hint="eastAsia" w:ascii="仿宋" w:hAnsi="仿宋" w:eastAsia="仿宋"/>
          <w:sz w:val="32"/>
          <w:szCs w:val="32"/>
        </w:rPr>
        <w:t>主要是在职人员经费、公务经费、离退休人员经费等</w:t>
      </w:r>
      <w:r>
        <w:rPr>
          <w:rFonts w:hint="eastAsia" w:ascii="仿宋" w:hAnsi="仿宋" w:eastAsia="仿宋"/>
          <w:kern w:val="0"/>
          <w:sz w:val="32"/>
          <w:szCs w:val="32"/>
        </w:rPr>
        <w:t>。</w:t>
      </w:r>
    </w:p>
    <w:p>
      <w:pPr>
        <w:widowControl/>
        <w:snapToGrid w:val="0"/>
        <w:spacing w:before="100" w:after="100" w:line="360" w:lineRule="auto"/>
        <w:ind w:firstLine="480" w:firstLineChars="150"/>
        <w:jc w:val="left"/>
        <w:rPr>
          <w:rFonts w:ascii="仿宋" w:hAnsi="仿宋" w:eastAsia="仿宋" w:cs="方正黑体_GBK"/>
          <w:sz w:val="32"/>
          <w:szCs w:val="32"/>
        </w:rPr>
      </w:pPr>
      <w:r>
        <w:rPr>
          <w:rFonts w:hint="eastAsia" w:ascii="仿宋" w:hAnsi="仿宋" w:eastAsia="仿宋" w:cs="方正黑体_GBK"/>
          <w:sz w:val="32"/>
          <w:szCs w:val="32"/>
        </w:rPr>
        <w:t>三、政府采购情况说明</w:t>
      </w:r>
    </w:p>
    <w:p>
      <w:pPr>
        <w:widowControl/>
        <w:snapToGrid w:val="0"/>
        <w:spacing w:before="100" w:after="100" w:line="360" w:lineRule="auto"/>
        <w:ind w:firstLine="600"/>
        <w:jc w:val="left"/>
        <w:rPr>
          <w:rFonts w:ascii="仿宋" w:hAnsi="仿宋" w:eastAsia="仿宋"/>
          <w:sz w:val="32"/>
          <w:szCs w:val="32"/>
        </w:rPr>
      </w:pPr>
      <w:r>
        <w:rPr>
          <w:rFonts w:hint="eastAsia" w:ascii="仿宋" w:hAnsi="仿宋" w:eastAsia="仿宋"/>
          <w:sz w:val="32"/>
          <w:szCs w:val="32"/>
        </w:rPr>
        <w:t>盈江县人社局2016年、</w:t>
      </w:r>
      <w:r>
        <w:rPr>
          <w:rFonts w:ascii="仿宋" w:hAnsi="仿宋" w:eastAsia="仿宋"/>
          <w:sz w:val="32"/>
          <w:szCs w:val="32"/>
        </w:rPr>
        <w:t>2017</w:t>
      </w:r>
      <w:r>
        <w:rPr>
          <w:rFonts w:hint="eastAsia" w:ascii="仿宋" w:hAnsi="仿宋" w:eastAsia="仿宋"/>
          <w:sz w:val="32"/>
          <w:szCs w:val="32"/>
        </w:rPr>
        <w:t>年部门预算政府采购经费</w:t>
      </w:r>
      <w:r>
        <w:rPr>
          <w:rFonts w:ascii="仿宋" w:hAnsi="仿宋" w:eastAsia="仿宋"/>
          <w:sz w:val="32"/>
          <w:szCs w:val="32"/>
        </w:rPr>
        <w:t>0</w:t>
      </w:r>
      <w:r>
        <w:rPr>
          <w:rFonts w:hint="eastAsia" w:ascii="仿宋" w:hAnsi="仿宋" w:eastAsia="仿宋"/>
          <w:sz w:val="32"/>
          <w:szCs w:val="32"/>
        </w:rPr>
        <w:t>万元。</w:t>
      </w:r>
    </w:p>
    <w:p>
      <w:pPr>
        <w:widowControl/>
        <w:snapToGrid w:val="0"/>
        <w:spacing w:before="100" w:after="100" w:line="360" w:lineRule="auto"/>
        <w:ind w:firstLine="432" w:firstLineChars="135"/>
        <w:jc w:val="left"/>
        <w:rPr>
          <w:rFonts w:ascii="仿宋" w:hAnsi="仿宋" w:eastAsia="仿宋" w:cs="方正黑体_GBK"/>
          <w:kern w:val="0"/>
          <w:sz w:val="32"/>
          <w:szCs w:val="32"/>
        </w:rPr>
      </w:pPr>
      <w:r>
        <w:rPr>
          <w:rFonts w:hint="eastAsia" w:ascii="仿宋" w:hAnsi="仿宋" w:eastAsia="仿宋" w:cs="方正黑体_GBK"/>
          <w:kern w:val="0"/>
          <w:sz w:val="32"/>
          <w:szCs w:val="32"/>
        </w:rPr>
        <w:t>四、名词解释</w:t>
      </w:r>
    </w:p>
    <w:p>
      <w:pPr>
        <w:pStyle w:val="4"/>
        <w:widowControl/>
        <w:spacing w:beforeAutospacing="0" w:after="225" w:afterAutospacing="0" w:line="360" w:lineRule="atLeast"/>
        <w:jc w:val="both"/>
        <w:rPr>
          <w:rFonts w:ascii="仿宋" w:hAnsi="仿宋" w:eastAsia="仿宋"/>
          <w:sz w:val="32"/>
          <w:szCs w:val="32"/>
        </w:rPr>
      </w:pPr>
      <w:r>
        <w:rPr>
          <w:rFonts w:ascii="仿宋" w:hAnsi="仿宋" w:eastAsia="仿宋"/>
          <w:sz w:val="32"/>
          <w:szCs w:val="32"/>
        </w:rPr>
        <w:t>1.</w:t>
      </w:r>
      <w:r>
        <w:rPr>
          <w:rStyle w:val="7"/>
          <w:rFonts w:hint="eastAsia" w:ascii="仿宋" w:hAnsi="仿宋" w:eastAsia="仿宋"/>
          <w:b w:val="0"/>
          <w:color w:val="000000"/>
          <w:sz w:val="32"/>
          <w:szCs w:val="32"/>
        </w:rPr>
        <w:t>财政拨款（补助）收入</w:t>
      </w:r>
      <w:r>
        <w:rPr>
          <w:rFonts w:hint="eastAsia" w:ascii="仿宋" w:hAnsi="仿宋" w:eastAsia="仿宋"/>
          <w:color w:val="000000"/>
          <w:sz w:val="32"/>
          <w:szCs w:val="32"/>
        </w:rPr>
        <w:t>指财政部门当年拨付的资金。</w:t>
      </w:r>
      <w:r>
        <w:rPr>
          <w:rFonts w:ascii="仿宋" w:hAnsi="仿宋" w:eastAsia="仿宋"/>
          <w:color w:val="000000"/>
          <w:sz w:val="32"/>
          <w:szCs w:val="32"/>
        </w:rPr>
        <w:t xml:space="preserve"> </w:t>
      </w:r>
    </w:p>
    <w:p>
      <w:pPr>
        <w:pStyle w:val="4"/>
        <w:widowControl/>
        <w:spacing w:beforeAutospacing="0" w:after="225" w:afterAutospacing="0" w:line="360" w:lineRule="atLeast"/>
        <w:jc w:val="both"/>
        <w:rPr>
          <w:rFonts w:ascii="仿宋" w:hAnsi="仿宋" w:eastAsia="仿宋"/>
          <w:sz w:val="32"/>
          <w:szCs w:val="32"/>
        </w:rPr>
      </w:pPr>
      <w:r>
        <w:rPr>
          <w:rStyle w:val="7"/>
          <w:rFonts w:ascii="仿宋" w:hAnsi="仿宋" w:eastAsia="仿宋"/>
          <w:b w:val="0"/>
          <w:bCs/>
          <w:color w:val="000000"/>
          <w:sz w:val="32"/>
          <w:szCs w:val="32"/>
        </w:rPr>
        <w:t>2.</w:t>
      </w:r>
      <w:r>
        <w:rPr>
          <w:rStyle w:val="7"/>
          <w:rFonts w:hint="eastAsia" w:ascii="仿宋" w:hAnsi="仿宋" w:eastAsia="仿宋"/>
          <w:b w:val="0"/>
          <w:bCs/>
          <w:color w:val="000000"/>
          <w:sz w:val="32"/>
          <w:szCs w:val="32"/>
        </w:rPr>
        <w:t>事业收入</w:t>
      </w:r>
      <w:r>
        <w:rPr>
          <w:rFonts w:hint="eastAsia" w:ascii="仿宋" w:hAnsi="仿宋" w:eastAsia="仿宋"/>
          <w:color w:val="000000"/>
          <w:sz w:val="32"/>
          <w:szCs w:val="32"/>
        </w:rPr>
        <w:t>指事业单位开展业</w:t>
      </w:r>
      <w:bookmarkStart w:id="0" w:name="_GoBack"/>
      <w:bookmarkEnd w:id="0"/>
      <w:r>
        <w:rPr>
          <w:rFonts w:hint="eastAsia" w:ascii="仿宋" w:hAnsi="仿宋" w:eastAsia="仿宋"/>
          <w:color w:val="000000"/>
          <w:sz w:val="32"/>
          <w:szCs w:val="32"/>
        </w:rPr>
        <w:t>务活动取得的收入。</w:t>
      </w:r>
    </w:p>
    <w:p>
      <w:pPr>
        <w:pStyle w:val="4"/>
        <w:widowControl/>
        <w:spacing w:beforeAutospacing="0" w:after="225" w:afterAutospacing="0" w:line="360" w:lineRule="atLeast"/>
        <w:jc w:val="both"/>
        <w:rPr>
          <w:rFonts w:ascii="仿宋" w:hAnsi="仿宋" w:eastAsia="仿宋"/>
          <w:sz w:val="32"/>
          <w:szCs w:val="32"/>
        </w:rPr>
      </w:pPr>
      <w:r>
        <w:rPr>
          <w:rStyle w:val="7"/>
          <w:rFonts w:ascii="仿宋" w:hAnsi="仿宋" w:eastAsia="仿宋"/>
          <w:b w:val="0"/>
          <w:bCs/>
          <w:color w:val="000000"/>
          <w:sz w:val="32"/>
          <w:szCs w:val="32"/>
        </w:rPr>
        <w:t>3.</w:t>
      </w:r>
      <w:r>
        <w:rPr>
          <w:rStyle w:val="7"/>
          <w:rFonts w:hint="eastAsia" w:ascii="仿宋" w:hAnsi="仿宋" w:eastAsia="仿宋"/>
          <w:b w:val="0"/>
          <w:bCs/>
          <w:color w:val="000000"/>
          <w:sz w:val="32"/>
          <w:szCs w:val="32"/>
        </w:rPr>
        <w:t>事业单位经营收入</w:t>
      </w:r>
      <w:r>
        <w:rPr>
          <w:rFonts w:hint="eastAsia" w:ascii="仿宋" w:hAnsi="仿宋" w:eastAsia="仿宋"/>
          <w:color w:val="000000"/>
          <w:sz w:val="32"/>
          <w:szCs w:val="32"/>
        </w:rPr>
        <w:t>指事业单位在业务活动之外开展非独立核算经营活动取得的收入。</w:t>
      </w:r>
      <w:r>
        <w:rPr>
          <w:rFonts w:ascii="仿宋" w:hAnsi="仿宋" w:eastAsia="仿宋"/>
          <w:color w:val="000000"/>
          <w:sz w:val="32"/>
          <w:szCs w:val="32"/>
        </w:rPr>
        <w:t xml:space="preserve"> </w:t>
      </w:r>
    </w:p>
    <w:p>
      <w:pPr>
        <w:pStyle w:val="4"/>
        <w:widowControl/>
        <w:spacing w:beforeAutospacing="0" w:after="225" w:afterAutospacing="0" w:line="360" w:lineRule="atLeast"/>
        <w:jc w:val="both"/>
        <w:rPr>
          <w:rFonts w:ascii="仿宋" w:hAnsi="仿宋" w:eastAsia="仿宋"/>
          <w:color w:val="000000"/>
          <w:sz w:val="32"/>
          <w:szCs w:val="32"/>
        </w:rPr>
      </w:pPr>
      <w:r>
        <w:rPr>
          <w:rStyle w:val="7"/>
          <w:rFonts w:ascii="仿宋" w:hAnsi="仿宋" w:eastAsia="仿宋"/>
          <w:b w:val="0"/>
          <w:bCs/>
          <w:color w:val="000000"/>
          <w:sz w:val="32"/>
          <w:szCs w:val="32"/>
        </w:rPr>
        <w:t>4.</w:t>
      </w:r>
      <w:r>
        <w:rPr>
          <w:rStyle w:val="7"/>
          <w:rFonts w:hint="eastAsia" w:ascii="仿宋" w:hAnsi="仿宋" w:eastAsia="仿宋"/>
          <w:b w:val="0"/>
          <w:bCs/>
          <w:color w:val="000000"/>
          <w:sz w:val="32"/>
          <w:szCs w:val="32"/>
        </w:rPr>
        <w:t>其他收入</w:t>
      </w:r>
      <w:r>
        <w:rPr>
          <w:rFonts w:hint="eastAsia" w:ascii="仿宋" w:hAnsi="仿宋" w:eastAsia="仿宋"/>
          <w:color w:val="000000"/>
          <w:sz w:val="32"/>
          <w:szCs w:val="32"/>
        </w:rPr>
        <w:t>指预算单位在</w:t>
      </w:r>
      <w:r>
        <w:rPr>
          <w:rFonts w:ascii="仿宋" w:hAnsi="仿宋" w:eastAsia="仿宋"/>
          <w:color w:val="000000"/>
          <w:sz w:val="32"/>
          <w:szCs w:val="32"/>
        </w:rPr>
        <w:t>“</w:t>
      </w:r>
      <w:r>
        <w:rPr>
          <w:rFonts w:hint="eastAsia" w:ascii="仿宋" w:hAnsi="仿宋" w:eastAsia="仿宋"/>
          <w:color w:val="000000"/>
          <w:sz w:val="32"/>
          <w:szCs w:val="32"/>
        </w:rPr>
        <w:t>财政拨款收入</w:t>
      </w:r>
      <w:r>
        <w:rPr>
          <w:rFonts w:ascii="仿宋" w:hAnsi="仿宋" w:eastAsia="仿宋"/>
          <w:color w:val="000000"/>
          <w:sz w:val="32"/>
          <w:szCs w:val="32"/>
        </w:rPr>
        <w:t>”</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事业收入</w:t>
      </w:r>
      <w:r>
        <w:rPr>
          <w:rFonts w:ascii="仿宋" w:hAnsi="仿宋" w:eastAsia="仿宋"/>
          <w:color w:val="000000"/>
          <w:sz w:val="32"/>
          <w:szCs w:val="32"/>
        </w:rPr>
        <w:t>”</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经营收入</w:t>
      </w:r>
      <w:r>
        <w:rPr>
          <w:rFonts w:ascii="仿宋" w:hAnsi="仿宋" w:eastAsia="仿宋"/>
          <w:color w:val="000000"/>
          <w:sz w:val="32"/>
          <w:szCs w:val="32"/>
        </w:rPr>
        <w:t>”</w:t>
      </w:r>
      <w:r>
        <w:rPr>
          <w:rFonts w:hint="eastAsia" w:ascii="仿宋" w:hAnsi="仿宋" w:eastAsia="仿宋"/>
          <w:color w:val="000000"/>
          <w:sz w:val="32"/>
          <w:szCs w:val="32"/>
        </w:rPr>
        <w:t>之外取得的收入。</w:t>
      </w:r>
      <w:r>
        <w:rPr>
          <w:rFonts w:ascii="仿宋" w:hAnsi="仿宋" w:eastAsia="仿宋"/>
          <w:color w:val="000000"/>
          <w:sz w:val="32"/>
          <w:szCs w:val="32"/>
        </w:rPr>
        <w:t xml:space="preserve"> </w:t>
      </w:r>
    </w:p>
    <w:p>
      <w:pPr>
        <w:pStyle w:val="4"/>
        <w:widowControl/>
        <w:spacing w:beforeAutospacing="0" w:after="225" w:afterAutospacing="0" w:line="360" w:lineRule="atLeast"/>
        <w:jc w:val="both"/>
        <w:rPr>
          <w:rFonts w:ascii="仿宋" w:hAnsi="仿宋" w:eastAsia="仿宋"/>
          <w:color w:val="000000"/>
          <w:sz w:val="32"/>
          <w:szCs w:val="32"/>
        </w:rPr>
      </w:pPr>
      <w:r>
        <w:rPr>
          <w:rStyle w:val="7"/>
          <w:rFonts w:ascii="仿宋" w:hAnsi="仿宋" w:eastAsia="仿宋"/>
          <w:b w:val="0"/>
          <w:bCs/>
          <w:color w:val="000000"/>
          <w:sz w:val="32"/>
          <w:szCs w:val="32"/>
        </w:rPr>
        <w:t>5.</w:t>
      </w:r>
      <w:r>
        <w:rPr>
          <w:rStyle w:val="7"/>
          <w:rFonts w:hint="eastAsia" w:ascii="仿宋" w:hAnsi="仿宋" w:eastAsia="仿宋"/>
          <w:b w:val="0"/>
          <w:bCs/>
          <w:color w:val="000000"/>
          <w:sz w:val="32"/>
          <w:szCs w:val="32"/>
        </w:rPr>
        <w:t>基本支出</w:t>
      </w:r>
      <w:r>
        <w:rPr>
          <w:rFonts w:hint="eastAsia" w:ascii="仿宋" w:hAnsi="仿宋" w:eastAsia="仿宋"/>
          <w:color w:val="000000"/>
          <w:sz w:val="32"/>
          <w:szCs w:val="32"/>
        </w:rPr>
        <w:t>指为保障机构正常运转、完成日常工作任务而发生的人员支出和公用支出。</w:t>
      </w:r>
    </w:p>
    <w:p>
      <w:pPr>
        <w:pStyle w:val="4"/>
        <w:widowControl/>
        <w:spacing w:beforeAutospacing="0" w:after="225" w:afterAutospacing="0" w:line="360" w:lineRule="atLeast"/>
        <w:jc w:val="both"/>
        <w:rPr>
          <w:rFonts w:ascii="仿宋" w:hAnsi="仿宋" w:eastAsia="仿宋"/>
          <w:color w:val="000000"/>
          <w:sz w:val="32"/>
          <w:szCs w:val="32"/>
        </w:rPr>
      </w:pPr>
      <w:r>
        <w:rPr>
          <w:rStyle w:val="7"/>
          <w:rFonts w:ascii="仿宋" w:hAnsi="仿宋" w:eastAsia="仿宋"/>
          <w:b w:val="0"/>
          <w:bCs/>
          <w:color w:val="000000"/>
          <w:sz w:val="32"/>
          <w:szCs w:val="32"/>
        </w:rPr>
        <w:t>6.</w:t>
      </w:r>
      <w:r>
        <w:rPr>
          <w:rStyle w:val="7"/>
          <w:rFonts w:hint="eastAsia" w:ascii="仿宋" w:hAnsi="仿宋" w:eastAsia="仿宋"/>
          <w:b w:val="0"/>
          <w:bCs/>
          <w:color w:val="000000"/>
          <w:sz w:val="32"/>
          <w:szCs w:val="32"/>
        </w:rPr>
        <w:t>项目支出</w:t>
      </w:r>
      <w:r>
        <w:rPr>
          <w:rFonts w:hint="eastAsia" w:ascii="仿宋" w:hAnsi="仿宋" w:eastAsia="仿宋"/>
          <w:color w:val="000000"/>
          <w:sz w:val="32"/>
          <w:szCs w:val="32"/>
        </w:rPr>
        <w:t>指在基本支出之外为完成相关行政任务和事业发展目标所发生的支出。</w:t>
      </w:r>
      <w:r>
        <w:rPr>
          <w:rFonts w:ascii="仿宋" w:hAnsi="仿宋" w:eastAsia="仿宋"/>
          <w:color w:val="000000"/>
          <w:sz w:val="32"/>
          <w:szCs w:val="32"/>
        </w:rPr>
        <w:t xml:space="preserve"> </w:t>
      </w:r>
    </w:p>
    <w:p>
      <w:pPr>
        <w:widowControl/>
        <w:snapToGrid w:val="0"/>
        <w:spacing w:before="100" w:after="100" w:line="360" w:lineRule="auto"/>
        <w:ind w:firstLine="600"/>
        <w:jc w:val="left"/>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机关运行经费指行政单位和参照公务员法管理的事业单位使用一般公共预算财政拨款安排的基本支出中的日常公用经费支出。</w:t>
      </w:r>
      <w:r>
        <w:rPr>
          <w:rFonts w:hint="eastAsia" w:ascii="仿宋" w:hAnsi="仿宋" w:eastAsia="仿宋"/>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“三公</w:t>
      </w:r>
      <w:r>
        <w:rPr>
          <w:rFonts w:ascii="仿宋" w:hAnsi="仿宋" w:eastAsia="仿宋"/>
          <w:sz w:val="32"/>
          <w:szCs w:val="32"/>
        </w:rPr>
        <w:t>”</w:t>
      </w:r>
      <w:r>
        <w:rPr>
          <w:rFonts w:hint="eastAsia" w:ascii="仿宋" w:hAnsi="仿宋" w:eastAsia="仿宋"/>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ascii="仿宋" w:hAnsi="仿宋" w:eastAsia="仿宋"/>
          <w:sz w:val="32"/>
          <w:szCs w:val="32"/>
        </w:rPr>
      </w:pPr>
      <w:r>
        <w:rPr>
          <w:rFonts w:ascii="仿宋" w:hAnsi="仿宋" w:eastAsia="仿宋"/>
          <w:sz w:val="32"/>
          <w:szCs w:val="32"/>
        </w:rPr>
        <w:t>13.</w:t>
      </w:r>
      <w:r>
        <w:rPr>
          <w:rFonts w:hint="eastAsia" w:ascii="仿宋" w:hAnsi="仿宋" w:eastAsia="仿宋"/>
          <w:sz w:val="32"/>
          <w:szCs w:val="32"/>
        </w:rPr>
        <w:t>对个人和家庭的补助反映政府用于对个人和家庭的补助支出。</w:t>
      </w:r>
    </w:p>
    <w:p>
      <w:pPr>
        <w:widowControl/>
        <w:snapToGrid w:val="0"/>
        <w:spacing w:before="100" w:after="100" w:line="360" w:lineRule="auto"/>
        <w:ind w:firstLine="640" w:firstLineChars="200"/>
        <w:jc w:val="left"/>
        <w:rPr>
          <w:rFonts w:ascii="仿宋" w:hAnsi="仿宋" w:eastAsia="仿宋"/>
          <w:kern w:val="0"/>
          <w:sz w:val="32"/>
          <w:szCs w:val="32"/>
        </w:rPr>
      </w:pPr>
      <w:r>
        <w:rPr>
          <w:rFonts w:ascii="仿宋" w:hAnsi="仿宋" w:eastAsia="仿宋"/>
          <w:sz w:val="32"/>
          <w:szCs w:val="32"/>
        </w:rPr>
        <w:t>14.</w:t>
      </w:r>
      <w:r>
        <w:rPr>
          <w:rFonts w:hint="eastAsia" w:ascii="仿宋" w:hAnsi="仿宋" w:eastAsia="仿宋"/>
          <w:sz w:val="32"/>
          <w:szCs w:val="32"/>
        </w:rPr>
        <w:t>政府采购是指各级国家机关、事业单位和团体组织，使用财政性资金采购依法制定的集中采购目录以内的或者采购限额标准以上的货物、工程和服务的行为。</w:t>
      </w:r>
    </w:p>
    <w:p>
      <w:pPr>
        <w:rPr>
          <w:rFonts w:ascii="仿宋" w:hAnsi="仿宋" w:eastAsia="仿宋"/>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315CC"/>
    <w:rsid w:val="00086773"/>
    <w:rsid w:val="0015790D"/>
    <w:rsid w:val="001C24A5"/>
    <w:rsid w:val="001C4A35"/>
    <w:rsid w:val="002A191A"/>
    <w:rsid w:val="00382EBA"/>
    <w:rsid w:val="0045728A"/>
    <w:rsid w:val="004A6FC3"/>
    <w:rsid w:val="005830FD"/>
    <w:rsid w:val="00656D82"/>
    <w:rsid w:val="00793149"/>
    <w:rsid w:val="00892937"/>
    <w:rsid w:val="009740F2"/>
    <w:rsid w:val="009B0DDF"/>
    <w:rsid w:val="009F4B7B"/>
    <w:rsid w:val="00B96931"/>
    <w:rsid w:val="00EB1F01"/>
    <w:rsid w:val="00FA4FFC"/>
    <w:rsid w:val="236567A0"/>
    <w:rsid w:val="2BEE3D88"/>
    <w:rsid w:val="30607584"/>
    <w:rsid w:val="3AF62DDC"/>
    <w:rsid w:val="3B7B21B7"/>
    <w:rsid w:val="41583A8E"/>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spacing w:beforeAutospacing="1" w:afterAutospacing="1"/>
      <w:ind w:firstLine="420"/>
      <w:jc w:val="left"/>
    </w:pPr>
    <w:rPr>
      <w:kern w:val="0"/>
      <w:sz w:val="24"/>
    </w:rPr>
  </w:style>
  <w:style w:type="character" w:styleId="7">
    <w:name w:val="Strong"/>
    <w:qFormat/>
    <w:uiPriority w:val="99"/>
    <w:rPr>
      <w:rFonts w:cs="Times New Roman"/>
      <w:b/>
    </w:rPr>
  </w:style>
  <w:style w:type="character" w:customStyle="1" w:styleId="8">
    <w:name w:val="页脚 Char"/>
    <w:link w:val="2"/>
    <w:semiHidden/>
    <w:qFormat/>
    <w:locked/>
    <w:uiPriority w:val="99"/>
    <w:rPr>
      <w:rFonts w:cs="Times New Roman"/>
      <w:sz w:val="18"/>
      <w:szCs w:val="18"/>
    </w:rPr>
  </w:style>
  <w:style w:type="character" w:customStyle="1" w:styleId="9">
    <w:name w:val="页眉 Char"/>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德宏州盈江县党政机关单位</Company>
  <Pages>4</Pages>
  <Words>213</Words>
  <Characters>1218</Characters>
  <Lines>10</Lines>
  <Paragraphs>2</Paragraphs>
  <TotalTime>70</TotalTime>
  <ScaleCrop>false</ScaleCrop>
  <LinksUpToDate>false</LinksUpToDate>
  <CharactersWithSpaces>1429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Administrator</cp:lastModifiedBy>
  <cp:lastPrinted>2017-11-01T13:36:00Z</cp:lastPrinted>
  <dcterms:modified xsi:type="dcterms:W3CDTF">2026-02-27T09:25:50Z</dcterms:modified>
  <dc:title>盈江县***2017年部门预算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E13FAECFA4D64F009ED1BD22B1429A48</vt:lpwstr>
  </property>
</Properties>
</file>