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before="100" w:after="100" w:line="360" w:lineRule="auto"/>
        <w:ind w:firstLine="883" w:firstLineChars="200"/>
        <w:jc w:val="both"/>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盈江县司法局2017年部门预算</w:t>
      </w:r>
    </w:p>
    <w:p>
      <w:pPr>
        <w:widowControl/>
        <w:snapToGrid w:val="0"/>
        <w:spacing w:before="100" w:after="100" w:line="360" w:lineRule="auto"/>
        <w:ind w:firstLine="883" w:firstLineChars="200"/>
        <w:jc w:val="both"/>
        <w:rPr>
          <w:rFonts w:hint="eastAsia" w:ascii="宋体" w:hAnsi="宋体" w:eastAsia="宋体" w:cs="宋体"/>
          <w:b/>
          <w:bCs/>
          <w:sz w:val="44"/>
          <w:szCs w:val="44"/>
        </w:rPr>
      </w:pPr>
      <w:r>
        <w:rPr>
          <w:rFonts w:hint="eastAsia" w:ascii="宋体" w:hAnsi="宋体" w:eastAsia="宋体" w:cs="宋体"/>
          <w:b/>
          <w:bCs/>
          <w:sz w:val="44"/>
          <w:szCs w:val="44"/>
        </w:rPr>
        <w:t>重要事项情况说明及</w:t>
      </w:r>
      <w:r>
        <w:rPr>
          <w:rFonts w:hint="eastAsia" w:ascii="宋体" w:hAnsi="宋体" w:eastAsia="宋体" w:cs="宋体"/>
          <w:b/>
          <w:bCs/>
          <w:sz w:val="44"/>
          <w:szCs w:val="44"/>
          <w:lang w:eastAsia="zh-CN"/>
        </w:rPr>
        <w:t>名词解释</w:t>
      </w:r>
    </w:p>
    <w:p>
      <w:pPr>
        <w:widowControl/>
        <w:snapToGrid w:val="0"/>
        <w:spacing w:before="100" w:after="100" w:line="600" w:lineRule="exact"/>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(一)机关运行经费支出情况</w:t>
      </w:r>
    </w:p>
    <w:p>
      <w:pPr>
        <w:widowControl/>
        <w:numPr>
          <w:ilvl w:val="0"/>
          <w:numId w:val="0"/>
        </w:numPr>
        <w:snapToGrid w:val="0"/>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盈江县司法局</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部门预算</w:t>
      </w:r>
      <w:r>
        <w:rPr>
          <w:rFonts w:hint="eastAsia" w:ascii="仿宋_GB2312" w:hAnsi="仿宋_GB2312" w:eastAsia="仿宋_GB2312" w:cs="仿宋_GB2312"/>
          <w:sz w:val="32"/>
          <w:szCs w:val="32"/>
        </w:rPr>
        <w:t>机关运行经费</w:t>
      </w:r>
      <w:r>
        <w:rPr>
          <w:rFonts w:hint="eastAsia" w:ascii="仿宋_GB2312" w:hAnsi="仿宋_GB2312" w:eastAsia="仿宋_GB2312" w:cs="仿宋_GB2312"/>
          <w:sz w:val="32"/>
          <w:szCs w:val="32"/>
          <w:lang w:val="en-US" w:eastAsia="zh-CN"/>
        </w:rPr>
        <w:t>117.65</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val="en-US" w:eastAsia="zh-CN"/>
        </w:rPr>
        <w:t>126.70万元</w:t>
      </w:r>
      <w:r>
        <w:rPr>
          <w:rFonts w:hint="eastAsia" w:ascii="仿宋_GB2312" w:hAnsi="仿宋_GB2312" w:eastAsia="仿宋_GB2312" w:cs="仿宋_GB2312"/>
          <w:kern w:val="0"/>
          <w:sz w:val="32"/>
          <w:szCs w:val="32"/>
        </w:rPr>
        <w:t>对比</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9.05万元</w:t>
      </w:r>
      <w:r>
        <w:rPr>
          <w:rFonts w:hint="eastAsia" w:ascii="仿宋_GB2312" w:hAnsi="仿宋_GB2312" w:eastAsia="仿宋_GB2312" w:cs="仿宋_GB2312"/>
          <w:sz w:val="32"/>
          <w:szCs w:val="32"/>
        </w:rPr>
        <w:t>,主要</w:t>
      </w:r>
      <w:r>
        <w:rPr>
          <w:rFonts w:hint="eastAsia" w:ascii="仿宋_GB2312" w:hAnsi="仿宋_GB2312" w:eastAsia="仿宋_GB2312" w:cs="仿宋_GB2312"/>
          <w:kern w:val="0"/>
          <w:sz w:val="32"/>
          <w:szCs w:val="32"/>
        </w:rPr>
        <w:t>原因分析</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2017年人数比2016年减少5人，</w:t>
      </w:r>
      <w:r>
        <w:rPr>
          <w:rFonts w:hint="eastAsia" w:ascii="仿宋_GB2312" w:hAnsi="仿宋_GB2312" w:eastAsia="仿宋_GB2312" w:cs="仿宋_GB2312"/>
          <w:sz w:val="32"/>
          <w:szCs w:val="32"/>
        </w:rPr>
        <w:t>机关运行经费</w:t>
      </w:r>
      <w:r>
        <w:rPr>
          <w:rFonts w:hint="eastAsia" w:ascii="仿宋_GB2312" w:hAnsi="仿宋_GB2312" w:eastAsia="仿宋_GB2312" w:cs="仿宋_GB2312"/>
          <w:sz w:val="32"/>
          <w:szCs w:val="32"/>
          <w:lang w:eastAsia="zh-CN"/>
        </w:rPr>
        <w:t>也减少</w:t>
      </w:r>
      <w:r>
        <w:rPr>
          <w:rFonts w:hint="eastAsia" w:ascii="仿宋_GB2312" w:hAnsi="仿宋_GB2312" w:eastAsia="仿宋_GB2312" w:cs="仿宋_GB2312"/>
          <w:kern w:val="0"/>
          <w:sz w:val="32"/>
          <w:szCs w:val="32"/>
        </w:rPr>
        <w:t>。部门机关运行经费主要用</w:t>
      </w:r>
      <w:r>
        <w:rPr>
          <w:rFonts w:hint="eastAsia" w:ascii="仿宋_GB2312" w:hAnsi="仿宋_GB2312" w:eastAsia="仿宋_GB2312" w:cs="仿宋_GB2312"/>
          <w:kern w:val="0"/>
          <w:sz w:val="32"/>
          <w:szCs w:val="32"/>
          <w:lang w:eastAsia="zh-CN"/>
        </w:rPr>
        <w:t>于</w:t>
      </w:r>
      <w:r>
        <w:rPr>
          <w:rFonts w:hint="eastAsia" w:ascii="仿宋_GB2312" w:hAnsi="仿宋_GB2312" w:eastAsia="仿宋_GB2312" w:cs="仿宋_GB2312"/>
          <w:sz w:val="32"/>
          <w:szCs w:val="32"/>
        </w:rPr>
        <w:t>基本支出中的日常公用经费支出</w:t>
      </w:r>
      <w:r>
        <w:rPr>
          <w:rFonts w:hint="eastAsia" w:ascii="仿宋_GB2312" w:hAnsi="仿宋_GB2312" w:eastAsia="仿宋_GB2312" w:cs="仿宋_GB2312"/>
          <w:kern w:val="0"/>
          <w:sz w:val="32"/>
          <w:szCs w:val="32"/>
        </w:rPr>
        <w:t>。</w:t>
      </w:r>
      <w:r>
        <w:rPr>
          <w:rFonts w:hint="eastAsia" w:ascii="仿宋_GB2312" w:hAnsi="仿宋_GB2312" w:eastAsia="仿宋_GB2312" w:cs="仿宋_GB2312"/>
          <w:color w:val="000000"/>
          <w:sz w:val="32"/>
          <w:szCs w:val="32"/>
        </w:rPr>
        <w:t>包括办公</w:t>
      </w:r>
      <w:r>
        <w:rPr>
          <w:rFonts w:hint="eastAsia" w:ascii="仿宋_GB2312" w:hAnsi="仿宋_GB2312" w:eastAsia="仿宋_GB2312" w:cs="仿宋_GB2312"/>
          <w:color w:val="000000"/>
          <w:sz w:val="32"/>
          <w:szCs w:val="32"/>
          <w:lang w:eastAsia="zh-CN"/>
        </w:rPr>
        <w:t>费</w:t>
      </w:r>
      <w:r>
        <w:rPr>
          <w:rFonts w:hint="eastAsia" w:ascii="仿宋_GB2312" w:hAnsi="仿宋_GB2312" w:eastAsia="仿宋_GB2312" w:cs="仿宋_GB2312"/>
          <w:color w:val="000000"/>
          <w:sz w:val="32"/>
          <w:szCs w:val="32"/>
          <w:lang w:val="en-US" w:eastAsia="zh-CN"/>
        </w:rPr>
        <w:t>88.65万元、</w:t>
      </w:r>
      <w:r>
        <w:rPr>
          <w:rFonts w:hint="eastAsia" w:ascii="仿宋_GB2312" w:hAnsi="仿宋_GB2312" w:eastAsia="仿宋_GB2312" w:cs="仿宋_GB2312"/>
          <w:color w:val="000000"/>
          <w:sz w:val="32"/>
          <w:szCs w:val="32"/>
        </w:rPr>
        <w:t>印刷费</w:t>
      </w:r>
      <w:r>
        <w:rPr>
          <w:rFonts w:hint="eastAsia" w:ascii="仿宋_GB2312" w:hAnsi="仿宋_GB2312" w:eastAsia="仿宋_GB2312" w:cs="仿宋_GB2312"/>
          <w:color w:val="000000"/>
          <w:sz w:val="32"/>
          <w:szCs w:val="32"/>
          <w:lang w:val="en-US" w:eastAsia="zh-CN"/>
        </w:rPr>
        <w:t>4万元</w:t>
      </w:r>
      <w:r>
        <w:rPr>
          <w:rFonts w:hint="eastAsia" w:ascii="仿宋_GB2312" w:hAnsi="仿宋_GB2312" w:eastAsia="仿宋_GB2312" w:cs="仿宋_GB2312"/>
          <w:color w:val="000000"/>
          <w:sz w:val="32"/>
          <w:szCs w:val="32"/>
        </w:rPr>
        <w:t>、邮电费</w:t>
      </w:r>
      <w:r>
        <w:rPr>
          <w:rFonts w:hint="eastAsia" w:ascii="仿宋_GB2312" w:hAnsi="仿宋_GB2312" w:eastAsia="仿宋_GB2312" w:cs="仿宋_GB2312"/>
          <w:color w:val="000000"/>
          <w:sz w:val="32"/>
          <w:szCs w:val="32"/>
          <w:lang w:val="en-US" w:eastAsia="zh-CN"/>
        </w:rPr>
        <w:t>12万元</w:t>
      </w:r>
      <w:r>
        <w:rPr>
          <w:rFonts w:hint="eastAsia" w:ascii="仿宋_GB2312" w:hAnsi="仿宋_GB2312" w:eastAsia="仿宋_GB2312" w:cs="仿宋_GB2312"/>
          <w:color w:val="000000"/>
          <w:sz w:val="32"/>
          <w:szCs w:val="32"/>
        </w:rPr>
        <w:t>、差旅费</w:t>
      </w:r>
      <w:r>
        <w:rPr>
          <w:rFonts w:hint="eastAsia" w:ascii="仿宋_GB2312" w:hAnsi="仿宋_GB2312" w:eastAsia="仿宋_GB2312" w:cs="仿宋_GB2312"/>
          <w:color w:val="000000"/>
          <w:sz w:val="32"/>
          <w:szCs w:val="32"/>
          <w:lang w:val="en-US" w:eastAsia="zh-CN"/>
        </w:rPr>
        <w:t>13万元</w:t>
      </w:r>
      <w:r>
        <w:rPr>
          <w:rFonts w:hint="eastAsia" w:ascii="仿宋_GB2312" w:hAnsi="仿宋_GB2312" w:eastAsia="仿宋_GB2312" w:cs="仿宋_GB2312"/>
          <w:color w:val="000000"/>
          <w:sz w:val="32"/>
          <w:szCs w:val="32"/>
        </w:rPr>
        <w:t>。</w:t>
      </w:r>
    </w:p>
    <w:p>
      <w:pPr>
        <w:widowControl/>
        <w:snapToGrid w:val="0"/>
        <w:spacing w:before="100" w:after="100" w:line="360" w:lineRule="auto"/>
        <w:jc w:val="left"/>
        <w:rPr>
          <w:rFonts w:hint="eastAsia" w:ascii="仿宋_GB2312" w:hAnsi="仿宋_GB2312" w:eastAsia="仿宋_GB2312" w:cs="仿宋_GB2312"/>
          <w:sz w:val="32"/>
          <w:szCs w:val="32"/>
        </w:rPr>
      </w:pP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sz w:val="32"/>
          <w:szCs w:val="32"/>
          <w:lang w:eastAsia="zh-CN"/>
        </w:rPr>
        <w:t>政府采购</w:t>
      </w:r>
      <w:r>
        <w:rPr>
          <w:rFonts w:hint="eastAsia" w:ascii="仿宋_GB2312" w:hAnsi="仿宋_GB2312" w:eastAsia="仿宋_GB2312" w:cs="仿宋_GB2312"/>
          <w:b/>
          <w:bCs/>
          <w:sz w:val="32"/>
          <w:szCs w:val="32"/>
        </w:rPr>
        <w:t>情况说明</w:t>
      </w:r>
    </w:p>
    <w:p>
      <w:pPr>
        <w:widowControl/>
        <w:numPr>
          <w:ilvl w:val="0"/>
          <w:numId w:val="0"/>
        </w:numPr>
        <w:snapToGrid w:val="0"/>
        <w:spacing w:before="100" w:after="100" w:line="360" w:lineRule="auto"/>
        <w:ind w:firstLine="6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eastAsia="zh-CN"/>
        </w:rPr>
        <w:t>司法局</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部门预算政府采购</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部门预算政府采购</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eastAsia="zh-CN"/>
        </w:rPr>
        <w:t>：无</w:t>
      </w:r>
    </w:p>
    <w:p>
      <w:pPr>
        <w:widowControl/>
        <w:numPr>
          <w:ilvl w:val="0"/>
          <w:numId w:val="0"/>
        </w:numPr>
        <w:snapToGrid w:val="0"/>
        <w:spacing w:before="100" w:after="100" w:line="360" w:lineRule="auto"/>
        <w:jc w:val="left"/>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eastAsia="zh-CN"/>
        </w:rPr>
        <w:t>（三）</w:t>
      </w:r>
      <w:r>
        <w:rPr>
          <w:rFonts w:hint="eastAsia" w:ascii="仿宋_GB2312" w:hAnsi="仿宋_GB2312" w:eastAsia="仿宋_GB2312" w:cs="仿宋_GB2312"/>
          <w:b/>
          <w:bCs/>
          <w:kern w:val="0"/>
          <w:sz w:val="32"/>
          <w:szCs w:val="32"/>
          <w:lang w:val="en-US" w:eastAsia="zh-CN"/>
        </w:rPr>
        <w:t>名词解释</w:t>
      </w:r>
    </w:p>
    <w:p>
      <w:pPr>
        <w:pStyle w:val="4"/>
        <w:keepNext w:val="0"/>
        <w:keepLines w:val="0"/>
        <w:widowControl/>
        <w:suppressLineNumbers w:val="0"/>
        <w:spacing w:before="0" w:beforeAutospacing="0" w:after="225" w:afterAutospacing="0" w:line="360" w:lineRule="atLeast"/>
        <w:ind w:left="0" w:right="0"/>
        <w:jc w:val="both"/>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0"/>
          <w:sz w:val="32"/>
          <w:szCs w:val="32"/>
          <w:lang w:val="en-US" w:eastAsia="zh-CN"/>
        </w:rPr>
        <w:t>1.</w:t>
      </w:r>
      <w:r>
        <w:rPr>
          <w:rStyle w:val="6"/>
          <w:rFonts w:hint="eastAsia" w:ascii="仿宋_GB2312" w:hAnsi="仿宋_GB2312" w:eastAsia="仿宋_GB2312" w:cs="仿宋_GB2312"/>
          <w:b w:val="0"/>
          <w:bCs w:val="0"/>
          <w:color w:val="000000"/>
          <w:sz w:val="32"/>
          <w:szCs w:val="32"/>
        </w:rPr>
        <w:t>财政拨款</w:t>
      </w:r>
      <w:r>
        <w:rPr>
          <w:rStyle w:val="6"/>
          <w:rFonts w:hint="eastAsia" w:ascii="仿宋_GB2312" w:hAnsi="仿宋_GB2312" w:eastAsia="仿宋_GB2312" w:cs="仿宋_GB2312"/>
          <w:b w:val="0"/>
          <w:bCs w:val="0"/>
          <w:color w:val="000000"/>
          <w:sz w:val="32"/>
          <w:szCs w:val="32"/>
          <w:lang w:eastAsia="zh-CN"/>
        </w:rPr>
        <w:t>（补助）</w:t>
      </w:r>
      <w:r>
        <w:rPr>
          <w:rStyle w:val="6"/>
          <w:rFonts w:hint="eastAsia" w:ascii="仿宋_GB2312" w:hAnsi="仿宋_GB2312" w:eastAsia="仿宋_GB2312" w:cs="仿宋_GB2312"/>
          <w:b w:val="0"/>
          <w:bCs w:val="0"/>
          <w:color w:val="000000"/>
          <w:sz w:val="32"/>
          <w:szCs w:val="32"/>
        </w:rPr>
        <w:t>收入</w:t>
      </w:r>
      <w:r>
        <w:rPr>
          <w:rFonts w:hint="eastAsia" w:ascii="仿宋_GB2312" w:hAnsi="仿宋_GB2312" w:eastAsia="仿宋_GB2312" w:cs="仿宋_GB2312"/>
          <w:color w:val="000000"/>
          <w:sz w:val="32"/>
          <w:szCs w:val="32"/>
        </w:rPr>
        <w:t>指财政</w:t>
      </w:r>
      <w:r>
        <w:rPr>
          <w:rFonts w:hint="eastAsia" w:ascii="仿宋_GB2312" w:hAnsi="仿宋_GB2312" w:eastAsia="仿宋_GB2312" w:cs="仿宋_GB2312"/>
          <w:color w:val="000000"/>
          <w:sz w:val="32"/>
          <w:szCs w:val="32"/>
          <w:lang w:eastAsia="zh-CN"/>
        </w:rPr>
        <w:t>部门</w:t>
      </w:r>
      <w:r>
        <w:rPr>
          <w:rFonts w:hint="eastAsia" w:ascii="仿宋_GB2312" w:hAnsi="仿宋_GB2312" w:eastAsia="仿宋_GB2312" w:cs="仿宋_GB2312"/>
          <w:color w:val="000000"/>
          <w:sz w:val="32"/>
          <w:szCs w:val="32"/>
        </w:rPr>
        <w:t xml:space="preserve">当年拨付的资金。 </w:t>
      </w:r>
    </w:p>
    <w:p>
      <w:pPr>
        <w:pStyle w:val="4"/>
        <w:keepNext w:val="0"/>
        <w:keepLines w:val="0"/>
        <w:widowControl/>
        <w:suppressLineNumbers w:val="0"/>
        <w:spacing w:before="0" w:beforeAutospacing="0" w:after="225" w:afterAutospacing="0" w:line="360" w:lineRule="atLeast"/>
        <w:ind w:left="0" w:right="0"/>
        <w:jc w:val="both"/>
        <w:rPr>
          <w:rFonts w:hint="eastAsia" w:ascii="仿宋_GB2312" w:hAnsi="仿宋_GB2312" w:eastAsia="仿宋_GB2312" w:cs="仿宋_GB2312"/>
          <w:color w:val="000000"/>
          <w:sz w:val="32"/>
          <w:szCs w:val="32"/>
        </w:rPr>
      </w:pPr>
      <w:r>
        <w:rPr>
          <w:rStyle w:val="6"/>
          <w:rFonts w:hint="eastAsia" w:ascii="仿宋_GB2312" w:hAnsi="仿宋_GB2312" w:eastAsia="仿宋_GB2312" w:cs="仿宋_GB2312"/>
          <w:b w:val="0"/>
          <w:bCs/>
          <w:color w:val="000000"/>
          <w:sz w:val="32"/>
          <w:szCs w:val="32"/>
          <w:lang w:val="en-US" w:eastAsia="zh-CN"/>
        </w:rPr>
        <w:t>2.</w:t>
      </w:r>
      <w:r>
        <w:rPr>
          <w:rStyle w:val="6"/>
          <w:rFonts w:hint="eastAsia" w:ascii="仿宋_GB2312" w:hAnsi="仿宋_GB2312" w:eastAsia="仿宋_GB2312" w:cs="仿宋_GB2312"/>
          <w:b w:val="0"/>
          <w:bCs/>
          <w:color w:val="000000"/>
          <w:sz w:val="32"/>
          <w:szCs w:val="32"/>
        </w:rPr>
        <w:t>其他收入</w:t>
      </w:r>
      <w:r>
        <w:rPr>
          <w:rFonts w:hint="eastAsia" w:ascii="仿宋_GB2312" w:hAnsi="仿宋_GB2312" w:eastAsia="仿宋_GB2312" w:cs="仿宋_GB2312"/>
          <w:color w:val="000000"/>
          <w:sz w:val="32"/>
          <w:szCs w:val="32"/>
        </w:rPr>
        <w:t xml:space="preserve">指预算单位在“财政拨款收入”、“事业收入”、“经营收入”之外取得的收入。 </w:t>
      </w:r>
    </w:p>
    <w:p>
      <w:pPr>
        <w:pStyle w:val="4"/>
        <w:keepNext w:val="0"/>
        <w:keepLines w:val="0"/>
        <w:widowControl/>
        <w:suppressLineNumbers w:val="0"/>
        <w:spacing w:before="0" w:beforeAutospacing="0" w:after="225" w:afterAutospacing="0" w:line="360" w:lineRule="atLeast"/>
        <w:ind w:left="0" w:right="0"/>
        <w:jc w:val="both"/>
        <w:rPr>
          <w:rFonts w:hint="eastAsia" w:ascii="仿宋_GB2312" w:hAnsi="仿宋_GB2312" w:eastAsia="仿宋_GB2312" w:cs="仿宋_GB2312"/>
          <w:color w:val="000000"/>
          <w:sz w:val="32"/>
          <w:szCs w:val="32"/>
        </w:rPr>
      </w:pPr>
      <w:r>
        <w:rPr>
          <w:rStyle w:val="6"/>
          <w:rFonts w:hint="eastAsia" w:ascii="仿宋_GB2312" w:hAnsi="仿宋_GB2312" w:eastAsia="仿宋_GB2312" w:cs="仿宋_GB2312"/>
          <w:b w:val="0"/>
          <w:bCs/>
          <w:color w:val="000000"/>
          <w:sz w:val="32"/>
          <w:szCs w:val="32"/>
          <w:lang w:val="en-US" w:eastAsia="zh-CN"/>
        </w:rPr>
        <w:t>3.</w:t>
      </w:r>
      <w:r>
        <w:rPr>
          <w:rStyle w:val="6"/>
          <w:rFonts w:hint="eastAsia" w:ascii="仿宋_GB2312" w:hAnsi="仿宋_GB2312" w:eastAsia="仿宋_GB2312" w:cs="仿宋_GB2312"/>
          <w:b w:val="0"/>
          <w:bCs/>
          <w:color w:val="000000"/>
          <w:sz w:val="32"/>
          <w:szCs w:val="32"/>
        </w:rPr>
        <w:t>基本支出</w:t>
      </w:r>
      <w:r>
        <w:rPr>
          <w:rFonts w:hint="eastAsia" w:ascii="仿宋_GB2312" w:hAnsi="仿宋_GB2312" w:eastAsia="仿宋_GB2312" w:cs="仿宋_GB2312"/>
          <w:color w:val="000000"/>
          <w:sz w:val="32"/>
          <w:szCs w:val="32"/>
        </w:rPr>
        <w:t>指为保障机构正常运转、完成日常工作任务而发生的人员支出和公用支出。</w:t>
      </w:r>
    </w:p>
    <w:p>
      <w:pPr>
        <w:pStyle w:val="4"/>
        <w:keepNext w:val="0"/>
        <w:keepLines w:val="0"/>
        <w:widowControl/>
        <w:suppressLineNumbers w:val="0"/>
        <w:spacing w:before="0" w:beforeAutospacing="0" w:after="225" w:afterAutospacing="0" w:line="360" w:lineRule="atLeast"/>
        <w:ind w:left="0" w:right="0"/>
        <w:jc w:val="both"/>
        <w:rPr>
          <w:rFonts w:hint="eastAsia" w:ascii="仿宋_GB2312" w:hAnsi="仿宋_GB2312" w:eastAsia="仿宋_GB2312" w:cs="仿宋_GB2312"/>
          <w:color w:val="000000"/>
          <w:sz w:val="32"/>
          <w:szCs w:val="32"/>
        </w:rPr>
      </w:pPr>
      <w:r>
        <w:rPr>
          <w:rStyle w:val="6"/>
          <w:rFonts w:hint="eastAsia" w:ascii="仿宋_GB2312" w:hAnsi="仿宋_GB2312" w:eastAsia="仿宋_GB2312" w:cs="仿宋_GB2312"/>
          <w:b w:val="0"/>
          <w:bCs/>
          <w:color w:val="000000"/>
          <w:sz w:val="32"/>
          <w:szCs w:val="32"/>
          <w:lang w:val="en-US" w:eastAsia="zh-CN"/>
        </w:rPr>
        <w:t>4.</w:t>
      </w:r>
      <w:r>
        <w:rPr>
          <w:rStyle w:val="6"/>
          <w:rFonts w:hint="eastAsia" w:ascii="仿宋_GB2312" w:hAnsi="仿宋_GB2312" w:eastAsia="仿宋_GB2312" w:cs="仿宋_GB2312"/>
          <w:b w:val="0"/>
          <w:bCs/>
          <w:color w:val="000000"/>
          <w:sz w:val="32"/>
          <w:szCs w:val="32"/>
        </w:rPr>
        <w:t>项目支出</w:t>
      </w:r>
      <w:r>
        <w:rPr>
          <w:rFonts w:hint="eastAsia" w:ascii="仿宋_GB2312" w:hAnsi="仿宋_GB2312" w:eastAsia="仿宋_GB2312" w:cs="仿宋_GB2312"/>
          <w:color w:val="000000"/>
          <w:sz w:val="32"/>
          <w:szCs w:val="32"/>
        </w:rPr>
        <w:t xml:space="preserve">指在基本支出之外为完成相关行政任务和事业发展目标所发生的支出。 </w:t>
      </w:r>
    </w:p>
    <w:p>
      <w:pPr>
        <w:widowControl/>
        <w:numPr>
          <w:ilvl w:val="0"/>
          <w:numId w:val="0"/>
        </w:numPr>
        <w:snapToGrid w:val="0"/>
        <w:spacing w:before="100" w:after="100" w:line="360" w:lineRule="auto"/>
        <w:ind w:firstLine="600"/>
        <w:jc w:val="left"/>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机关运行经费</w:t>
      </w:r>
      <w:r>
        <w:rPr>
          <w:rFonts w:hint="eastAsia" w:ascii="仿宋_GB2312" w:hAnsi="仿宋_GB2312" w:eastAsia="仿宋_GB2312" w:cs="仿宋_GB2312"/>
          <w:sz w:val="32"/>
          <w:szCs w:val="32"/>
        </w:rPr>
        <w:t>指行政单位和参照公务员法管理的事业单位使用一般公共预算财政拨款安排的基本支出中的日常公用经费支出。</w:t>
      </w:r>
      <w:r>
        <w:rPr>
          <w:rFonts w:hint="eastAsia" w:ascii="仿宋_GB2312" w:hAnsi="仿宋_GB2312" w:eastAsia="仿宋_GB2312" w:cs="仿宋_GB2312"/>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9.工资福利支出反映单位开支的在职职工和编制外长期聘用人员的各类劳动报酬，以及为上述人员缴纳的各项社会保险费等。</w:t>
      </w:r>
    </w:p>
    <w:p>
      <w:pPr>
        <w:widowControl/>
        <w:snapToGrid w:val="0"/>
        <w:spacing w:before="100" w:after="100"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10.商品和服务支出反映单位购买商品和服务的支出（不包括用于购置固定资产的支出、战略性和应急储备支出）。</w:t>
      </w:r>
    </w:p>
    <w:p>
      <w:pPr>
        <w:widowControl/>
        <w:snapToGrid w:val="0"/>
        <w:spacing w:before="100" w:after="100"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11.对个人和家庭的补助反映政府用于对个人和家庭的补助支出。</w:t>
      </w:r>
    </w:p>
    <w:p>
      <w:pPr>
        <w:widowControl/>
        <w:snapToGrid w:val="0"/>
        <w:spacing w:before="100" w:after="100" w:line="360" w:lineRule="auto"/>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12.政府采购是指各级国家机关、事业单位和团体组织，使用财政性资金采购依法制定的集中采购目录以内的或者采购限额标准以上的货物、工程和服务的行为。</w:t>
      </w:r>
    </w:p>
    <w:p>
      <w:pPr>
        <w:widowControl/>
        <w:snapToGrid w:val="0"/>
        <w:spacing w:before="100" w:after="100" w:line="360" w:lineRule="auto"/>
        <w:jc w:val="left"/>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eastAsia="zh-CN"/>
        </w:rPr>
        <w:t>三公</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eastAsia="zh-CN"/>
        </w:rPr>
        <w:t>经费增减变化原因说明</w:t>
      </w:r>
    </w:p>
    <w:p>
      <w:pPr>
        <w:pStyle w:val="4"/>
        <w:keepNext w:val="0"/>
        <w:keepLines w:val="0"/>
        <w:widowControl/>
        <w:suppressLineNumbers w:val="0"/>
        <w:spacing w:before="0" w:beforeAutospacing="0" w:after="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2017年“三公“经费支出预算数57万元，其中：公务用车运行维护费20万元，公务接待费37万元；2016年“三公”经费支出预算数59万元，其中：公务用车运行维护费21万元，公务接待费38万元；2017年“三公“经费支出预算数</w:t>
      </w:r>
      <w:r>
        <w:rPr>
          <w:rFonts w:hint="eastAsia" w:ascii="仿宋_GB2312" w:hAnsi="仿宋_GB2312" w:eastAsia="仿宋_GB2312" w:cs="仿宋_GB2312"/>
          <w:color w:val="333333"/>
          <w:sz w:val="32"/>
          <w:szCs w:val="21"/>
        </w:rPr>
        <w:t xml:space="preserve"> </w:t>
      </w:r>
      <w:r>
        <w:rPr>
          <w:rFonts w:hint="eastAsia" w:ascii="仿宋_GB2312" w:hAnsi="仿宋_GB2312" w:eastAsia="仿宋_GB2312" w:cs="仿宋_GB2312"/>
          <w:color w:val="333333"/>
          <w:sz w:val="32"/>
          <w:szCs w:val="21"/>
          <w:lang w:eastAsia="zh-CN"/>
        </w:rPr>
        <w:t>比上年下降</w:t>
      </w:r>
      <w:r>
        <w:rPr>
          <w:rFonts w:hint="eastAsia" w:ascii="仿宋_GB2312" w:hAnsi="仿宋_GB2312" w:eastAsia="仿宋_GB2312" w:cs="仿宋_GB2312"/>
          <w:color w:val="333333"/>
          <w:sz w:val="32"/>
          <w:szCs w:val="21"/>
          <w:lang w:val="en-US" w:eastAsia="zh-CN"/>
        </w:rPr>
        <w:t>3.39%，其中：公务接待费下降2.63%，</w:t>
      </w:r>
      <w:r>
        <w:rPr>
          <w:rFonts w:hint="eastAsia" w:ascii="仿宋_GB2312" w:hAnsi="仿宋_GB2312" w:eastAsia="仿宋_GB2312" w:cs="仿宋_GB2312"/>
          <w:kern w:val="0"/>
          <w:sz w:val="32"/>
          <w:szCs w:val="32"/>
          <w:lang w:val="en-US" w:eastAsia="zh-CN" w:bidi="ar"/>
        </w:rPr>
        <w:t>公务用车运行维护费下降4.76</w:t>
      </w:r>
      <w:r>
        <w:rPr>
          <w:rFonts w:hint="eastAsia" w:ascii="仿宋_GB2312" w:hAnsi="仿宋_GB2312" w:eastAsia="仿宋_GB2312" w:cs="仿宋_GB2312"/>
          <w:color w:val="333333"/>
          <w:sz w:val="32"/>
          <w:szCs w:val="21"/>
          <w:lang w:val="en-US" w:eastAsia="zh-CN"/>
        </w:rPr>
        <w:t>%，下降原因：厉行节约、按照有关规定，严格控制开支。</w:t>
      </w:r>
      <w:bookmarkStart w:id="0" w:name="_GoBack"/>
      <w:bookmarkEnd w:id="0"/>
    </w:p>
    <w:p>
      <w:pPr>
        <w:widowControl/>
        <w:snapToGrid w:val="0"/>
        <w:spacing w:before="100" w:after="100" w:line="360" w:lineRule="auto"/>
        <w:ind w:firstLine="640" w:firstLineChars="200"/>
        <w:jc w:val="left"/>
        <w:rPr>
          <w:rFonts w:hint="eastAsia" w:ascii="仿宋_GB2312" w:hAnsi="仿宋_GB2312" w:eastAsia="仿宋_GB2312" w:cs="仿宋_GB2312"/>
          <w:color w:val="000000"/>
          <w:sz w:val="32"/>
          <w:szCs w:val="32"/>
          <w:lang w:val="en-US" w:eastAsia="zh-CN"/>
        </w:rPr>
      </w:pPr>
    </w:p>
    <w:p>
      <w:pPr>
        <w:pStyle w:val="4"/>
        <w:keepNext w:val="0"/>
        <w:keepLines w:val="0"/>
        <w:widowControl/>
        <w:suppressLineNumbers w:val="0"/>
        <w:spacing w:before="0" w:beforeAutospacing="0" w:after="0" w:afterAutospacing="0"/>
        <w:ind w:left="0" w:right="0"/>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楷体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兰亭黑简体">
    <w:panose1 w:val="02000000000000000000"/>
    <w:charset w:val="86"/>
    <w:family w:val="auto"/>
    <w:pitch w:val="default"/>
    <w:sig w:usb0="00000001" w:usb1="08000000" w:usb2="00000000" w:usb3="00000000" w:csb0="00040000" w:csb1="00000000"/>
  </w:font>
  <w:font w:name="方正姚体简体">
    <w:panose1 w:val="03000509000000000000"/>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汉真广标">
    <w:panose1 w:val="02010609000101010101"/>
    <w:charset w:val="86"/>
    <w:family w:val="auto"/>
    <w:pitch w:val="default"/>
    <w:sig w:usb0="00000001" w:usb1="080E0800" w:usb2="00000002" w:usb3="00000000" w:csb0="00040000" w:csb1="00000000"/>
  </w:font>
  <w:font w:name="BatangChe">
    <w:panose1 w:val="0203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GulimChe">
    <w:panose1 w:val="020B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ingLiU">
    <w:panose1 w:val="02020309000000000000"/>
    <w:charset w:val="88"/>
    <w:family w:val="auto"/>
    <w:pitch w:val="default"/>
    <w:sig w:usb0="00000003" w:usb1="082E0000" w:usb2="00000016" w:usb3="00000000" w:csb0="00100001" w:csb1="00000000"/>
  </w:font>
  <w:font w:name="MS Gothic">
    <w:panose1 w:val="020B0609070205080204"/>
    <w:charset w:val="80"/>
    <w:family w:val="auto"/>
    <w:pitch w:val="default"/>
    <w:sig w:usb0="A00002BF" w:usb1="68C7FCFB" w:usb2="00000010" w:usb3="00000000" w:csb0="4002009F" w:csb1="DFD70000"/>
  </w:font>
  <w:font w:name="MS Mincho">
    <w:panose1 w:val="02020609040205080304"/>
    <w:charset w:val="80"/>
    <w:family w:val="auto"/>
    <w:pitch w:val="default"/>
    <w:sig w:usb0="A00002BF" w:usb1="68C7FCFB" w:usb2="00000010" w:usb3="00000000" w:csb0="4002009F" w:csb1="DFD70000"/>
  </w:font>
  <w:font w:name="华文新魏">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MS PMincho">
    <w:panose1 w:val="02020600040205080304"/>
    <w:charset w:val="80"/>
    <w:family w:val="auto"/>
    <w:pitch w:val="default"/>
    <w:sig w:usb0="A00002BF" w:usb1="68C7FCFB" w:usb2="00000010" w:usb3="00000000" w:csb0="4002009F" w:csb1="DFD70000"/>
  </w:font>
  <w:font w:name="PMingLiU">
    <w:panose1 w:val="02020300000000000000"/>
    <w:charset w:val="88"/>
    <w:family w:val="auto"/>
    <w:pitch w:val="default"/>
    <w:sig w:usb0="00000003" w:usb1="082E0000" w:usb2="00000016" w:usb3="00000000" w:csb0="00100001" w:csb1="00000000"/>
  </w:font>
  <w:font w:name="Arial Black">
    <w:panose1 w:val="020B0A0402010202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Cambria Math">
    <w:panose1 w:val="02040503050406030204"/>
    <w:charset w:val="00"/>
    <w:family w:val="auto"/>
    <w:pitch w:val="default"/>
    <w:sig w:usb0="A00002EF" w:usb1="420020EB" w:usb2="00000000" w:usb3="00000000" w:csb0="2000009F" w:csb1="00000000"/>
  </w:font>
  <w:font w:name="Candara">
    <w:panose1 w:val="020E0502030303020204"/>
    <w:charset w:val="00"/>
    <w:family w:val="auto"/>
    <w:pitch w:val="default"/>
    <w:sig w:usb0="A00002EF" w:usb1="4000204B" w:usb2="00000000" w:usb3="00000000" w:csb0="2000009F" w:csb1="00000000"/>
  </w:font>
  <w:font w:name="Comic Sans MS">
    <w:panose1 w:val="030F0702030302020204"/>
    <w:charset w:val="00"/>
    <w:family w:val="auto"/>
    <w:pitch w:val="default"/>
    <w:sig w:usb0="00000287" w:usb1="00000000" w:usb2="00000000" w:usb3="00000000" w:csb0="2000009F" w:csb1="00000000"/>
  </w:font>
  <w:font w:name="Consolas">
    <w:panose1 w:val="020B0609020204030204"/>
    <w:charset w:val="00"/>
    <w:family w:val="auto"/>
    <w:pitch w:val="default"/>
    <w:sig w:usb0="A00002EF" w:usb1="4000204B" w:usb2="00000000" w:usb3="00000000" w:csb0="2000009F" w:csb1="00000000"/>
  </w:font>
  <w:font w:name="Corbel">
    <w:panose1 w:val="020B0503020204020204"/>
    <w:charset w:val="00"/>
    <w:family w:val="auto"/>
    <w:pitch w:val="default"/>
    <w:sig w:usb0="A00002EF" w:usb1="4000204B" w:usb2="00000000" w:usb3="00000000" w:csb0="2000009F" w:csb1="00000000"/>
  </w:font>
  <w:font w:name="Courier New">
    <w:panose1 w:val="02070309020205020404"/>
    <w:charset w:val="00"/>
    <w:family w:val="auto"/>
    <w:pitch w:val="default"/>
    <w:sig w:usb0="00007A87" w:usb1="80000000" w:usb2="00000008" w:usb3="00000000" w:csb0="400001FF" w:csb1="FFFF0000"/>
  </w:font>
  <w:font w:name="Franklin Gothic Medium">
    <w:panose1 w:val="020B0603020102020204"/>
    <w:charset w:val="00"/>
    <w:family w:val="auto"/>
    <w:pitch w:val="default"/>
    <w:sig w:usb0="00000287" w:usb1="00000000" w:usb2="00000000" w:usb3="00000000" w:csb0="2000009F" w:csb1="DFD70000"/>
  </w:font>
  <w:font w:name="Garamond">
    <w:panose1 w:val="02020404030301010803"/>
    <w:charset w:val="00"/>
    <w:family w:val="auto"/>
    <w:pitch w:val="default"/>
    <w:sig w:usb0="00000287" w:usb1="00000000" w:usb2="00000000" w:usb3="00000000" w:csb0="0000009F" w:csb1="DFD70000"/>
  </w:font>
  <w:font w:name="Georgia">
    <w:panose1 w:val="02040502050405020303"/>
    <w:charset w:val="00"/>
    <w:family w:val="auto"/>
    <w:pitch w:val="default"/>
    <w:sig w:usb0="00000287" w:usb1="00000000" w:usb2="00000000" w:usb3="00000000" w:csb0="2000009F" w:csb1="00000000"/>
  </w:font>
  <w:font w:name="Haettenschweiler">
    <w:panose1 w:val="020B0706040902060204"/>
    <w:charset w:val="00"/>
    <w:family w:val="auto"/>
    <w:pitch w:val="default"/>
    <w:sig w:usb0="00000287"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Lucida Sans">
    <w:panose1 w:val="020B0602030504020204"/>
    <w:charset w:val="00"/>
    <w:family w:val="auto"/>
    <w:pitch w:val="default"/>
    <w:sig w:usb0="00000000" w:usb1="00000000" w:usb2="00000000" w:usb3="00000000" w:csb0="00000000" w:csb1="00000000"/>
  </w:font>
  <w:font w:name="Microsoft Sans Serif">
    <w:panose1 w:val="020B0604020202020204"/>
    <w:charset w:val="00"/>
    <w:family w:val="auto"/>
    <w:pitch w:val="default"/>
    <w:sig w:usb0="61007BDF" w:usb1="80000000" w:usb2="00000008" w:usb3="00000000" w:csb0="200101FF" w:csb1="20280000"/>
  </w:font>
  <w:font w:name="MT Extra">
    <w:panose1 w:val="05050102010205020202"/>
    <w:charset w:val="00"/>
    <w:family w:val="auto"/>
    <w:pitch w:val="default"/>
    <w:sig w:usb0="8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Verdana">
    <w:panose1 w:val="020B0604030504040204"/>
    <w:charset w:val="00"/>
    <w:family w:val="auto"/>
    <w:pitch w:val="default"/>
    <w:sig w:usb0="00000287" w:usb1="00000000" w:usb2="00000000" w:usb3="00000000" w:csb0="2000019F" w:csb1="00000000"/>
  </w:font>
  <w:font w:name="Wingdings">
    <w:panose1 w:val="05000000000000000000"/>
    <w:charset w:val="00"/>
    <w:family w:val="auto"/>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Palatino Linotype">
    <w:panose1 w:val="02040502050505030304"/>
    <w:charset w:val="00"/>
    <w:family w:val="auto"/>
    <w:pitch w:val="default"/>
    <w:sig w:usb0="E0000387" w:usb1="40000013" w:usb2="00000000" w:usb3="00000000" w:csb0="2000019F" w:csb1="00000000"/>
  </w:font>
  <w:font w:name="Constantia">
    <w:panose1 w:val="02030602050306030303"/>
    <w:charset w:val="00"/>
    <w:family w:val="auto"/>
    <w:pitch w:val="default"/>
    <w:sig w:usb0="A00002EF" w:usb1="4000204B" w:usb2="00000000" w:usb3="00000000" w:csb0="2000009F" w:csb1="00000000"/>
  </w:font>
  <w:font w:name="方正小标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62DDC"/>
    <w:rsid w:val="073A0703"/>
    <w:rsid w:val="236567A0"/>
    <w:rsid w:val="258C0A39"/>
    <w:rsid w:val="26DA3D82"/>
    <w:rsid w:val="2BEE3D88"/>
    <w:rsid w:val="2D4312E9"/>
    <w:rsid w:val="30607584"/>
    <w:rsid w:val="3AF62DDC"/>
    <w:rsid w:val="3B7B21B7"/>
    <w:rsid w:val="3BD3704F"/>
    <w:rsid w:val="41376D6B"/>
    <w:rsid w:val="47D60F04"/>
    <w:rsid w:val="49371DC5"/>
    <w:rsid w:val="4F2C148B"/>
    <w:rsid w:val="77321EB7"/>
    <w:rsid w:val="77F86B51"/>
    <w:rsid w:val="79F83B50"/>
    <w:rsid w:val="7E1E26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firstLine="42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Pages>
  <Words>0</Words>
  <Characters>0</Characters>
  <Lines>0</Lines>
  <Paragraphs>0</Paragraphs>
  <ScaleCrop>false</ScaleCrop>
  <LinksUpToDate>false</LinksUpToDate>
  <CharactersWithSpaces>0</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2017-11-01T12:31:00Z</dcterms:created>
  <dc:creator>盈江县财政局</dc:creator>
  <cp:lastModifiedBy>Administrator</cp:lastModifiedBy>
  <cp:lastPrinted>2017-11-01T13:36:00Z</cp:lastPrinted>
  <dcterms:modified xsi:type="dcterms:W3CDTF">2017-11-02T09:05:52Z</dcterms:modified>
  <dc:title>盈江县***2017年部门预算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