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0AA" w:rsidRDefault="00237B27">
      <w:pPr>
        <w:ind w:firstLineChars="200" w:firstLine="643"/>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2017</w:t>
      </w:r>
      <w:r>
        <w:rPr>
          <w:rFonts w:ascii="仿宋_GB2312" w:eastAsia="仿宋_GB2312" w:hAnsi="仿宋_GB2312" w:cs="仿宋_GB2312" w:hint="eastAsia"/>
          <w:b/>
          <w:bCs/>
          <w:sz w:val="32"/>
          <w:szCs w:val="32"/>
        </w:rPr>
        <w:t>年盈江县安全生产监督管理局“三公”经费预算及机关行政运行经费情况说明</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“三公”经费预算情况说明：</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一、因公出国（境）经费</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年盈江县拟安排出国（境）经费预算</w:t>
      </w:r>
      <w:r>
        <w:rPr>
          <w:rFonts w:ascii="仿宋_GB2312" w:eastAsia="仿宋_GB2312" w:hAnsi="仿宋_GB2312" w:cs="仿宋_GB2312" w:hint="eastAsia"/>
          <w:sz w:val="32"/>
          <w:szCs w:val="32"/>
        </w:rPr>
        <w:t>0  </w:t>
      </w:r>
      <w:r>
        <w:rPr>
          <w:rFonts w:ascii="仿宋_GB2312" w:eastAsia="仿宋_GB2312" w:hAnsi="仿宋_GB2312" w:cs="仿宋_GB2312" w:hint="eastAsia"/>
          <w:sz w:val="32"/>
          <w:szCs w:val="32"/>
        </w:rPr>
        <w:t>万元。</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二、公务接待费</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年盈江县拟安排公务接待费预算</w:t>
      </w:r>
      <w:r>
        <w:rPr>
          <w:rFonts w:ascii="仿宋_GB2312" w:eastAsia="仿宋_GB2312" w:hAnsi="仿宋_GB2312" w:cs="仿宋_GB2312" w:hint="eastAsia"/>
          <w:sz w:val="32"/>
          <w:szCs w:val="32"/>
        </w:rPr>
        <w:t xml:space="preserve"> 3 </w:t>
      </w:r>
      <w:r>
        <w:rPr>
          <w:rFonts w:ascii="仿宋_GB2312" w:eastAsia="仿宋_GB2312" w:hAnsi="仿宋_GB2312" w:cs="仿宋_GB2312" w:hint="eastAsia"/>
          <w:sz w:val="32"/>
          <w:szCs w:val="32"/>
        </w:rPr>
        <w:t>万元，主要用于按规定开支的各类公务接待产生的费用</w:t>
      </w:r>
      <w:r w:rsidR="00DD0DB7">
        <w:rPr>
          <w:rFonts w:ascii="仿宋_GB2312" w:hAnsi="仿宋_GB2312" w:cs="仿宋_GB2312" w:hint="eastAsia"/>
          <w:sz w:val="32"/>
          <w:szCs w:val="32"/>
        </w:rPr>
        <w:t>，与上年持平</w:t>
      </w:r>
      <w:r>
        <w:rPr>
          <w:rFonts w:ascii="仿宋_GB2312" w:eastAsia="仿宋_GB2312" w:hAnsi="仿宋_GB2312" w:cs="仿宋_GB2312" w:hint="eastAsia"/>
          <w:sz w:val="32"/>
          <w:szCs w:val="32"/>
        </w:rPr>
        <w:t>。</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三、公务用车购置及运行维护费</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年盈江县拟安排公车购置及运行维护费</w:t>
      </w:r>
      <w:r>
        <w:rPr>
          <w:rFonts w:ascii="仿宋_GB2312" w:eastAsia="仿宋_GB2312" w:hAnsi="仿宋_GB2312" w:cs="仿宋_GB2312" w:hint="eastAsia"/>
          <w:sz w:val="32"/>
          <w:szCs w:val="32"/>
        </w:rPr>
        <w:t> 4 </w:t>
      </w:r>
      <w:r>
        <w:rPr>
          <w:rFonts w:ascii="仿宋_GB2312" w:eastAsia="仿宋_GB2312" w:hAnsi="仿宋_GB2312" w:cs="仿宋_GB2312" w:hint="eastAsia"/>
          <w:sz w:val="32"/>
          <w:szCs w:val="32"/>
        </w:rPr>
        <w:t>万元，其中：购置经费</w:t>
      </w:r>
      <w:r>
        <w:rPr>
          <w:rFonts w:ascii="仿宋_GB2312" w:eastAsia="仿宋_GB2312" w:hAnsi="仿宋_GB2312" w:cs="仿宋_GB2312" w:hint="eastAsia"/>
          <w:sz w:val="32"/>
          <w:szCs w:val="32"/>
        </w:rPr>
        <w:t> 0 </w:t>
      </w:r>
      <w:r>
        <w:rPr>
          <w:rFonts w:ascii="仿宋_GB2312" w:eastAsia="仿宋_GB2312" w:hAnsi="仿宋_GB2312" w:cs="仿宋_GB2312" w:hint="eastAsia"/>
          <w:sz w:val="32"/>
          <w:szCs w:val="32"/>
        </w:rPr>
        <w:t>万元、运行维护费</w:t>
      </w:r>
      <w:r>
        <w:rPr>
          <w:rFonts w:ascii="仿宋_GB2312" w:eastAsia="仿宋_GB2312" w:hAnsi="仿宋_GB2312" w:cs="仿宋_GB2312" w:hint="eastAsia"/>
          <w:sz w:val="32"/>
          <w:szCs w:val="32"/>
        </w:rPr>
        <w:t> 4</w:t>
      </w:r>
      <w:r>
        <w:rPr>
          <w:rFonts w:ascii="仿宋_GB2312" w:eastAsia="仿宋_GB2312" w:hAnsi="仿宋_GB2312" w:cs="仿宋_GB2312" w:hint="eastAsia"/>
          <w:sz w:val="32"/>
          <w:szCs w:val="32"/>
        </w:rPr>
        <w:t>万元，</w:t>
      </w:r>
      <w:r w:rsidR="00DD0DB7" w:rsidRPr="00DD0DB7">
        <w:rPr>
          <w:rFonts w:ascii="仿宋_GB2312" w:eastAsia="仿宋_GB2312" w:hAnsi="仿宋_GB2312" w:cs="仿宋_GB2312" w:hint="eastAsia"/>
          <w:sz w:val="32"/>
          <w:szCs w:val="32"/>
        </w:rPr>
        <w:t>与上年持平。</w:t>
      </w:r>
      <w:bookmarkStart w:id="0" w:name="_GoBack"/>
      <w:bookmarkEnd w:id="0"/>
      <w:r>
        <w:rPr>
          <w:rFonts w:ascii="仿宋_GB2312" w:eastAsia="仿宋_GB2312" w:hAnsi="仿宋_GB2312" w:cs="仿宋_GB2312" w:hint="eastAsia"/>
          <w:sz w:val="32"/>
          <w:szCs w:val="32"/>
        </w:rPr>
        <w:t>主要用于危险化学品生产、经营单位和非煤矿山、工矿商贸企业安全生产检查公务工作开展，</w:t>
      </w:r>
      <w:proofErr w:type="gramStart"/>
      <w:r>
        <w:rPr>
          <w:rFonts w:ascii="仿宋_GB2312" w:eastAsia="仿宋_GB2312" w:hAnsi="仿宋_GB2312" w:cs="仿宋_GB2312" w:hint="eastAsia"/>
          <w:sz w:val="32"/>
          <w:szCs w:val="32"/>
        </w:rPr>
        <w:t>拟产生</w:t>
      </w:r>
      <w:proofErr w:type="gramEnd"/>
      <w:r>
        <w:rPr>
          <w:rFonts w:ascii="仿宋_GB2312" w:eastAsia="仿宋_GB2312" w:hAnsi="仿宋_GB2312" w:cs="仿宋_GB2312" w:hint="eastAsia"/>
          <w:sz w:val="32"/>
          <w:szCs w:val="32"/>
        </w:rPr>
        <w:t>的公务用车燃料费、维修费、过路过桥费、保险费等支出。</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2016</w:t>
      </w:r>
      <w:r>
        <w:rPr>
          <w:rFonts w:ascii="仿宋_GB2312" w:eastAsia="仿宋_GB2312" w:hAnsi="仿宋_GB2312" w:cs="仿宋_GB2312" w:hint="eastAsia"/>
          <w:sz w:val="32"/>
          <w:szCs w:val="32"/>
        </w:rPr>
        <w:t>年三</w:t>
      </w:r>
      <w:proofErr w:type="gramStart"/>
      <w:r>
        <w:rPr>
          <w:rFonts w:ascii="仿宋_GB2312" w:eastAsia="仿宋_GB2312" w:hAnsi="仿宋_GB2312" w:cs="仿宋_GB2312" w:hint="eastAsia"/>
          <w:sz w:val="32"/>
          <w:szCs w:val="32"/>
        </w:rPr>
        <w:t>公经费</w:t>
      </w:r>
      <w:proofErr w:type="gramEnd"/>
      <w:r>
        <w:rPr>
          <w:rFonts w:ascii="仿宋_GB2312" w:eastAsia="仿宋_GB2312" w:hAnsi="仿宋_GB2312" w:cs="仿宋_GB2312" w:hint="eastAsia"/>
          <w:sz w:val="32"/>
          <w:szCs w:val="32"/>
        </w:rPr>
        <w:t>预算数比上年下降</w:t>
      </w:r>
      <w:r>
        <w:rPr>
          <w:rFonts w:ascii="仿宋_GB2312" w:eastAsia="仿宋_GB2312" w:hAnsi="仿宋_GB2312" w:cs="仿宋_GB2312" w:hint="eastAsia"/>
          <w:sz w:val="32"/>
          <w:szCs w:val="32"/>
        </w:rPr>
        <w:t>0 %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年安排出国经费</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年拟安排</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万元，下降</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公务接待费</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年拟安排</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万元，下降</w:t>
      </w:r>
      <w:r>
        <w:rPr>
          <w:rFonts w:ascii="仿宋_GB2312" w:eastAsia="仿宋_GB2312" w:hAnsi="仿宋_GB2312" w:cs="仿宋_GB2312" w:hint="eastAsia"/>
          <w:sz w:val="32"/>
          <w:szCs w:val="32"/>
        </w:rPr>
        <w:t xml:space="preserve"> 0 %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年公务用车运行维护费用</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年拟安排公务用车运行维护费用</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万元，公务用车运行维护</w:t>
      </w:r>
      <w:r>
        <w:rPr>
          <w:rFonts w:ascii="仿宋_GB2312" w:eastAsia="仿宋_GB2312" w:hAnsi="仿宋_GB2312" w:cs="仿宋_GB2312" w:hint="eastAsia"/>
          <w:sz w:val="32"/>
          <w:szCs w:val="32"/>
        </w:rPr>
        <w:t>费下降</w:t>
      </w:r>
      <w:r>
        <w:rPr>
          <w:rFonts w:ascii="仿宋_GB2312" w:eastAsia="仿宋_GB2312" w:hAnsi="仿宋_GB2312" w:cs="仿宋_GB2312" w:hint="eastAsia"/>
          <w:sz w:val="32"/>
          <w:szCs w:val="32"/>
        </w:rPr>
        <w:t>  0%</w:t>
      </w:r>
      <w:r>
        <w:rPr>
          <w:rFonts w:ascii="仿宋_GB2312" w:eastAsia="仿宋_GB2312" w:hAnsi="仿宋_GB2312" w:cs="仿宋_GB2312" w:hint="eastAsia"/>
          <w:sz w:val="32"/>
          <w:szCs w:val="32"/>
        </w:rPr>
        <w:t>，公务用车购置拟安排为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，公务用车购置下降</w:t>
      </w:r>
      <w:r>
        <w:rPr>
          <w:rFonts w:ascii="仿宋_GB2312" w:eastAsia="仿宋_GB2312" w:hAnsi="仿宋_GB2312" w:cs="仿宋_GB2312" w:hint="eastAsia"/>
          <w:sz w:val="32"/>
          <w:szCs w:val="32"/>
        </w:rPr>
        <w:t> 0%</w:t>
      </w:r>
      <w:r>
        <w:rPr>
          <w:rFonts w:ascii="仿宋_GB2312" w:eastAsia="仿宋_GB2312" w:hAnsi="仿宋_GB2312" w:cs="仿宋_GB2312" w:hint="eastAsia"/>
          <w:sz w:val="32"/>
          <w:szCs w:val="32"/>
        </w:rPr>
        <w:t>。“三公”经费安排均与</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年持平，“三公”经费均未增减。</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四、机关行政运行经费安排情况说明：</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盈江县安全生产监督管理局</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年部门预算机关运行经费支出</w:t>
      </w:r>
      <w:r>
        <w:rPr>
          <w:rFonts w:ascii="仿宋_GB2312" w:eastAsia="仿宋_GB2312" w:hAnsi="仿宋_GB2312" w:cs="仿宋_GB2312" w:hint="eastAsia"/>
          <w:sz w:val="32"/>
          <w:szCs w:val="32"/>
        </w:rPr>
        <w:t>7.2</w:t>
      </w:r>
      <w:r>
        <w:rPr>
          <w:rFonts w:ascii="仿宋_GB2312" w:eastAsia="仿宋_GB2312" w:hAnsi="仿宋_GB2312" w:cs="仿宋_GB2312" w:hint="eastAsia"/>
          <w:sz w:val="32"/>
          <w:szCs w:val="32"/>
        </w:rPr>
        <w:t>万元，与上年对比持平，无增加</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主要原因分析</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年至</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年无人员增减变化。部门机关运行经费主要用于公办费、邮电费、车辆行动维护费、公务接待费用等支出。</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五、政府采购情况说明：</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盈江县安全生产监督管理局</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年部门预算政府采购经费</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万元，与上年对比</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，下降</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万，未安排政府采购预算。</w:t>
      </w:r>
      <w:r>
        <w:rPr>
          <w:rFonts w:ascii="仿宋_GB2312" w:eastAsia="仿宋_GB2312" w:hAnsi="仿宋_GB2312" w:cs="仿宋_GB2312" w:hint="eastAsia"/>
          <w:sz w:val="32"/>
          <w:szCs w:val="32"/>
        </w:rPr>
        <w:t>        </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六、名词解释</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财政拨款（补助）收入指财政部</w:t>
      </w:r>
      <w:proofErr w:type="gramStart"/>
      <w:r>
        <w:rPr>
          <w:rFonts w:ascii="仿宋_GB2312" w:eastAsia="仿宋_GB2312" w:hAnsi="仿宋_GB2312" w:cs="仿宋_GB2312" w:hint="eastAsia"/>
          <w:sz w:val="32"/>
          <w:szCs w:val="32"/>
        </w:rPr>
        <w:t>门当年</w:t>
      </w:r>
      <w:proofErr w:type="gramEnd"/>
      <w:r>
        <w:rPr>
          <w:rFonts w:ascii="仿宋_GB2312" w:eastAsia="仿宋_GB2312" w:hAnsi="仿宋_GB2312" w:cs="仿宋_GB2312" w:hint="eastAsia"/>
          <w:sz w:val="32"/>
          <w:szCs w:val="32"/>
        </w:rPr>
        <w:t>拨付的资金。</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事业收入指事业单位开展业务活动取得的收入。</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事业单位经营收入指事业单位在业务活动之外开展非独立核算经营活动取得的收入。</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其他收入指预算单位在“财政拨款收入”、“事业收入”、“经营收入”之外取得的收入。</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基本支出指为保障机构正常运转、完成日常工作任务而发生的人员支出和公用支出。</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项目支出指在基本支出之外为完成相关行政任务和事业发展目标所发生的支出。</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机关运行经费指行政单位和参照公务员法管理的事业单位使用</w:t>
      </w:r>
      <w:r>
        <w:rPr>
          <w:rFonts w:ascii="仿宋_GB2312" w:eastAsia="仿宋_GB2312" w:hAnsi="仿宋_GB2312" w:cs="仿宋_GB2312" w:hint="eastAsia"/>
          <w:sz w:val="32"/>
          <w:szCs w:val="32"/>
        </w:rPr>
        <w:t>一般公共预算财政拨款安排的基本支出中的日</w:t>
      </w:r>
      <w:r>
        <w:rPr>
          <w:rFonts w:ascii="仿宋_GB2312" w:eastAsia="仿宋_GB2312" w:hAnsi="仿宋_GB2312" w:cs="仿宋_GB2312" w:hint="eastAsia"/>
          <w:sz w:val="32"/>
          <w:szCs w:val="32"/>
        </w:rPr>
        <w:lastRenderedPageBreak/>
        <w:t>常公用经费支出。包括办公及印刷费、邮电费、差旅费、会议费、福利费、日常维修费、专用材料及一般设备购置费、办公用房水电费、办公用房取暖费、办公用房物业管理费、公务用车运行维护费以及其他费用。</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w:t>
      </w:r>
      <w:r>
        <w:rPr>
          <w:rFonts w:ascii="仿宋_GB2312" w:eastAsia="仿宋_GB2312" w:hAnsi="仿宋_GB2312" w:cs="仿宋_GB2312" w:hint="eastAsia"/>
          <w:sz w:val="32"/>
          <w:szCs w:val="32"/>
        </w:rPr>
        <w:t>务用车指用于履行公务的机动车辆，包括省部级干部专车、一般公务用车和执法执勤用车；公务接待费，指单位按规定开支的各类公务接待（含外宾接待）支出。</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一般公共预算是对以税收为主体的财政收入，安排用于保障和改善民生、推动经济社会发展、维护国家安全、维护国家机构正常运转等方面的收支预算。</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工资福利支出反映单位开支的在职职工和编制</w:t>
      </w:r>
      <w:proofErr w:type="gramStart"/>
      <w:r>
        <w:rPr>
          <w:rFonts w:ascii="仿宋_GB2312" w:eastAsia="仿宋_GB2312" w:hAnsi="仿宋_GB2312" w:cs="仿宋_GB2312" w:hint="eastAsia"/>
          <w:sz w:val="32"/>
          <w:szCs w:val="32"/>
        </w:rPr>
        <w:t>外长期</w:t>
      </w:r>
      <w:proofErr w:type="gramEnd"/>
      <w:r>
        <w:rPr>
          <w:rFonts w:ascii="仿宋_GB2312" w:eastAsia="仿宋_GB2312" w:hAnsi="仿宋_GB2312" w:cs="仿宋_GB2312" w:hint="eastAsia"/>
          <w:sz w:val="32"/>
          <w:szCs w:val="32"/>
        </w:rPr>
        <w:t>聘用人员</w:t>
      </w:r>
      <w:r>
        <w:rPr>
          <w:rFonts w:ascii="仿宋_GB2312" w:eastAsia="仿宋_GB2312" w:hAnsi="仿宋_GB2312" w:cs="仿宋_GB2312" w:hint="eastAsia"/>
          <w:sz w:val="32"/>
          <w:szCs w:val="32"/>
        </w:rPr>
        <w:t>的各类劳动报酬，以及为上述人员缴纳的各项社</w:t>
      </w:r>
      <w:r>
        <w:rPr>
          <w:rFonts w:ascii="仿宋_GB2312" w:eastAsia="仿宋_GB2312" w:hAnsi="仿宋_GB2312" w:cs="仿宋_GB2312" w:hint="eastAsia"/>
          <w:sz w:val="32"/>
          <w:szCs w:val="32"/>
        </w:rPr>
        <w:lastRenderedPageBreak/>
        <w:t>会保险费等。</w:t>
      </w:r>
    </w:p>
    <w:p w:rsidR="009C50AA" w:rsidRDefault="00237B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商品和服务支出反映单位购买商品和服务的支出（不包括用于购置固定资产的支出、战略性和应急储备支出）。</w:t>
      </w:r>
    </w:p>
    <w:p w:rsidR="009C50AA" w:rsidRDefault="00237B27">
      <w:pPr>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对个人和家庭的补助反映政府用于对个人和家庭的补助支出。</w:t>
      </w:r>
    </w:p>
    <w:p w:rsidR="009C50AA" w:rsidRDefault="00237B27">
      <w:pPr>
        <w:widowControl/>
        <w:spacing w:line="600" w:lineRule="atLeast"/>
        <w:ind w:firstLineChars="200" w:firstLine="643"/>
        <w:rPr>
          <w:rFonts w:ascii="仿宋_GB2312" w:eastAsia="仿宋_GB2312" w:hAnsi="仿宋_GB2312" w:cs="仿宋_GB2312"/>
          <w:color w:val="333333"/>
          <w:sz w:val="32"/>
          <w:szCs w:val="32"/>
        </w:rPr>
      </w:pPr>
      <w:r>
        <w:rPr>
          <w:rFonts w:ascii="仿宋_GB2312" w:eastAsia="仿宋_GB2312" w:hAnsi="仿宋_GB2312" w:cs="仿宋_GB2312" w:hint="eastAsia"/>
          <w:b/>
          <w:color w:val="333333"/>
          <w:kern w:val="0"/>
          <w:sz w:val="32"/>
          <w:szCs w:val="32"/>
          <w:lang w:bidi="ar"/>
        </w:rPr>
        <w:t>14.</w:t>
      </w:r>
      <w:r>
        <w:rPr>
          <w:rFonts w:ascii="仿宋_GB2312" w:eastAsia="仿宋_GB2312" w:hAnsi="仿宋_GB2312" w:cs="仿宋_GB2312" w:hint="eastAsia"/>
          <w:b/>
          <w:color w:val="333333"/>
          <w:kern w:val="0"/>
          <w:sz w:val="32"/>
          <w:szCs w:val="32"/>
          <w:lang w:bidi="ar"/>
        </w:rPr>
        <w:t>政府采购是指各级国家机关、事业单位和团体组织，使用财政性资金采购依法制定的集中采购目录以内的或者采购限额标准以上的货物、工程和服务的行为。</w:t>
      </w:r>
    </w:p>
    <w:p w:rsidR="009C50AA" w:rsidRDefault="009C50AA">
      <w:pPr>
        <w:pStyle w:val="a3"/>
        <w:widowControl/>
        <w:spacing w:beforeAutospacing="0" w:afterAutospacing="0" w:line="600" w:lineRule="atLeast"/>
        <w:ind w:firstLineChars="200" w:firstLine="640"/>
        <w:jc w:val="both"/>
        <w:rPr>
          <w:rFonts w:ascii="仿宋_GB2312" w:eastAsia="仿宋_GB2312" w:hAnsi="仿宋_GB2312" w:cs="仿宋_GB2312"/>
          <w:color w:val="333333"/>
          <w:sz w:val="32"/>
          <w:szCs w:val="32"/>
        </w:rPr>
      </w:pPr>
    </w:p>
    <w:p w:rsidR="009C50AA" w:rsidRDefault="009C50AA">
      <w:pPr>
        <w:ind w:firstLineChars="200" w:firstLine="640"/>
        <w:rPr>
          <w:rFonts w:ascii="仿宋_GB2312" w:eastAsia="仿宋_GB2312" w:hAnsi="仿宋_GB2312" w:cs="仿宋_GB2312"/>
          <w:sz w:val="32"/>
          <w:szCs w:val="32"/>
        </w:rPr>
      </w:pPr>
    </w:p>
    <w:sectPr w:rsidR="009C50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B27" w:rsidRDefault="00237B27" w:rsidP="00DD0DB7">
      <w:r>
        <w:separator/>
      </w:r>
    </w:p>
  </w:endnote>
  <w:endnote w:type="continuationSeparator" w:id="0">
    <w:p w:rsidR="00237B27" w:rsidRDefault="00237B27" w:rsidP="00DD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仿宋_GB2312">
    <w:altName w:val="MS Mincho"/>
    <w:charset w:val="86"/>
    <w:family w:val="modern"/>
    <w:pitch w:val="default"/>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B27" w:rsidRDefault="00237B27" w:rsidP="00DD0DB7">
      <w:r>
        <w:separator/>
      </w:r>
    </w:p>
  </w:footnote>
  <w:footnote w:type="continuationSeparator" w:id="0">
    <w:p w:rsidR="00237B27" w:rsidRDefault="00237B27" w:rsidP="00DD0D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37B27"/>
    <w:rsid w:val="009C50AA"/>
    <w:rsid w:val="00DD0DB7"/>
    <w:rsid w:val="2DA5752D"/>
    <w:rsid w:val="41956664"/>
    <w:rsid w:val="61151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方正楷体_GBK" w:hAnsi="Arial"/>
      <w:sz w:val="32"/>
    </w:rPr>
  </w:style>
  <w:style w:type="paragraph" w:styleId="3">
    <w:name w:val="heading 3"/>
    <w:basedOn w:val="a"/>
    <w:next w:val="a"/>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Emphasis"/>
    <w:basedOn w:val="a0"/>
    <w:qFormat/>
    <w:rPr>
      <w:i/>
    </w:rPr>
  </w:style>
  <w:style w:type="paragraph" w:styleId="a5">
    <w:name w:val="header"/>
    <w:basedOn w:val="a"/>
    <w:link w:val="Char"/>
    <w:rsid w:val="00DD0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D0DB7"/>
    <w:rPr>
      <w:rFonts w:asciiTheme="minorHAnsi" w:eastAsiaTheme="minorEastAsia" w:hAnsiTheme="minorHAnsi" w:cstheme="minorBidi"/>
      <w:kern w:val="2"/>
      <w:sz w:val="18"/>
      <w:szCs w:val="18"/>
    </w:rPr>
  </w:style>
  <w:style w:type="paragraph" w:styleId="a6">
    <w:name w:val="footer"/>
    <w:basedOn w:val="a"/>
    <w:link w:val="Char0"/>
    <w:rsid w:val="00DD0DB7"/>
    <w:pPr>
      <w:tabs>
        <w:tab w:val="center" w:pos="4153"/>
        <w:tab w:val="right" w:pos="8306"/>
      </w:tabs>
      <w:snapToGrid w:val="0"/>
      <w:jc w:val="left"/>
    </w:pPr>
    <w:rPr>
      <w:sz w:val="18"/>
      <w:szCs w:val="18"/>
    </w:rPr>
  </w:style>
  <w:style w:type="character" w:customStyle="1" w:styleId="Char0">
    <w:name w:val="页脚 Char"/>
    <w:basedOn w:val="a0"/>
    <w:link w:val="a6"/>
    <w:rsid w:val="00DD0DB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方正楷体_GBK" w:hAnsi="Arial"/>
      <w:sz w:val="32"/>
    </w:rPr>
  </w:style>
  <w:style w:type="paragraph" w:styleId="3">
    <w:name w:val="heading 3"/>
    <w:basedOn w:val="a"/>
    <w:next w:val="a"/>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Emphasis"/>
    <w:basedOn w:val="a0"/>
    <w:qFormat/>
    <w:rPr>
      <w:i/>
    </w:rPr>
  </w:style>
  <w:style w:type="paragraph" w:styleId="a5">
    <w:name w:val="header"/>
    <w:basedOn w:val="a"/>
    <w:link w:val="Char"/>
    <w:rsid w:val="00DD0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D0DB7"/>
    <w:rPr>
      <w:rFonts w:asciiTheme="minorHAnsi" w:eastAsiaTheme="minorEastAsia" w:hAnsiTheme="minorHAnsi" w:cstheme="minorBidi"/>
      <w:kern w:val="2"/>
      <w:sz w:val="18"/>
      <w:szCs w:val="18"/>
    </w:rPr>
  </w:style>
  <w:style w:type="paragraph" w:styleId="a6">
    <w:name w:val="footer"/>
    <w:basedOn w:val="a"/>
    <w:link w:val="Char0"/>
    <w:rsid w:val="00DD0DB7"/>
    <w:pPr>
      <w:tabs>
        <w:tab w:val="center" w:pos="4153"/>
        <w:tab w:val="right" w:pos="8306"/>
      </w:tabs>
      <w:snapToGrid w:val="0"/>
      <w:jc w:val="left"/>
    </w:pPr>
    <w:rPr>
      <w:sz w:val="18"/>
      <w:szCs w:val="18"/>
    </w:rPr>
  </w:style>
  <w:style w:type="character" w:customStyle="1" w:styleId="Char0">
    <w:name w:val="页脚 Char"/>
    <w:basedOn w:val="a0"/>
    <w:link w:val="a6"/>
    <w:rsid w:val="00DD0DB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244</Words>
  <Characters>1397</Characters>
  <Application>Microsoft Office Word</Application>
  <DocSecurity>0</DocSecurity>
  <Lines>11</Lines>
  <Paragraphs>3</Paragraphs>
  <ScaleCrop>false</ScaleCrop>
  <Company>Kingsoft</Company>
  <LinksUpToDate>false</LinksUpToDate>
  <CharactersWithSpaces>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windows7</cp:lastModifiedBy>
  <cp:revision>3</cp:revision>
  <dcterms:created xsi:type="dcterms:W3CDTF">2014-10-29T12:08:00Z</dcterms:created>
  <dcterms:modified xsi:type="dcterms:W3CDTF">2017-11-07T07:12:00Z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