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w:t>
      </w:r>
      <w:r>
        <w:rPr>
          <w:rFonts w:hint="eastAsia" w:ascii="方正小标宋_GBK" w:hAnsi="方正小标宋_GBK" w:eastAsia="方正小标宋_GBK" w:cs="方正小标宋_GBK"/>
          <w:sz w:val="44"/>
          <w:szCs w:val="44"/>
          <w:lang w:eastAsia="zh-CN"/>
        </w:rPr>
        <w:t>工商联</w:t>
      </w:r>
      <w:r>
        <w:rPr>
          <w:rFonts w:ascii="方正小标宋_GBK" w:hAnsi="方正小标宋_GBK" w:eastAsia="方正小标宋_GBK" w:cs="方正小标宋_GBK"/>
          <w:sz w:val="44"/>
          <w:szCs w:val="44"/>
        </w:rPr>
        <w:t>2017</w:t>
      </w:r>
      <w:r>
        <w:rPr>
          <w:rFonts w:hint="eastAsia" w:ascii="方正小标宋_GBK" w:hAnsi="方正小标宋_GBK" w:eastAsia="方正小标宋_GBK" w:cs="方正小标宋_GBK"/>
          <w:sz w:val="44"/>
          <w:szCs w:val="44"/>
        </w:rPr>
        <w:t>年部门预算</w:t>
      </w:r>
    </w:p>
    <w:p>
      <w:pPr>
        <w:widowControl/>
        <w:snapToGrid w:val="0"/>
        <w:spacing w:before="100" w:after="100" w:line="360" w:lineRule="auto"/>
        <w:ind w:firstLine="880" w:firstLineChars="20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重要事项情况说明及名词解释</w:t>
      </w:r>
    </w:p>
    <w:p>
      <w:pPr>
        <w:widowControl/>
        <w:snapToGrid w:val="0"/>
        <w:spacing w:before="100" w:after="100" w:line="600" w:lineRule="exact"/>
        <w:ind w:firstLine="640" w:firstLineChars="200"/>
        <w:jc w:val="left"/>
        <w:rPr>
          <w:rFonts w:ascii="方正黑体_GBK" w:hAnsi="方正黑体_GBK" w:eastAsia="方正黑体_GBK" w:cs="方正黑体_GBK"/>
          <w:sz w:val="32"/>
          <w:szCs w:val="32"/>
        </w:rPr>
      </w:pP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一</w:t>
      </w:r>
      <w:r>
        <w:rPr>
          <w:rFonts w:ascii="方正黑体_GBK" w:hAnsi="方正黑体_GBK" w:eastAsia="方正黑体_GBK" w:cs="方正黑体_GBK"/>
          <w:sz w:val="32"/>
          <w:szCs w:val="32"/>
        </w:rPr>
        <w:t>)</w:t>
      </w:r>
      <w:r>
        <w:rPr>
          <w:rFonts w:hint="eastAsia" w:ascii="方正黑体_GBK" w:hAnsi="方正黑体_GBK" w:eastAsia="方正黑体_GBK" w:cs="方正黑体_GBK"/>
          <w:sz w:val="32"/>
          <w:szCs w:val="32"/>
        </w:rPr>
        <w:t>机关运行经费支出情况</w:t>
      </w:r>
    </w:p>
    <w:p>
      <w:pPr>
        <w:widowControl/>
        <w:snapToGrid w:val="0"/>
        <w:spacing w:before="100" w:after="100" w:line="360" w:lineRule="auto"/>
        <w:ind w:firstLine="640" w:firstLineChars="200"/>
        <w:jc w:val="left"/>
        <w:rPr>
          <w:rFonts w:hint="eastAsia" w:ascii="Times New Roman" w:hAnsi="Times New Roman" w:eastAsia="方正仿宋_GBK"/>
          <w:kern w:val="0"/>
          <w:sz w:val="32"/>
          <w:szCs w:val="32"/>
        </w:rPr>
      </w:pPr>
      <w:r>
        <w:rPr>
          <w:rFonts w:hint="eastAsia" w:ascii="Times New Roman" w:hAnsi="Times New Roman" w:eastAsia="方正仿宋_GBK"/>
          <w:sz w:val="32"/>
          <w:szCs w:val="32"/>
          <w:lang w:eastAsia="zh-CN"/>
        </w:rPr>
        <w:t>盈江县工商联</w:t>
      </w:r>
      <w:r>
        <w:rPr>
          <w:rFonts w:hint="eastAsia" w:ascii="Times New Roman" w:hAnsi="Times New Roman" w:eastAsia="方正仿宋_GBK"/>
          <w:sz w:val="32"/>
          <w:szCs w:val="32"/>
          <w:lang w:val="en-US" w:eastAsia="zh-CN"/>
        </w:rPr>
        <w:t>2017</w:t>
      </w:r>
      <w:r>
        <w:rPr>
          <w:rFonts w:hint="eastAsia" w:ascii="Times New Roman" w:hAnsi="Times New Roman" w:eastAsia="方正仿宋_GBK"/>
          <w:sz w:val="32"/>
          <w:szCs w:val="32"/>
        </w:rPr>
        <w:t>年部门预算机关运行经费支出</w:t>
      </w: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与上年对比增加</w:t>
      </w:r>
      <w:r>
        <w:rPr>
          <w:rFonts w:hint="eastAsia" w:ascii="Times New Roman" w:hAnsi="Times New Roman" w:eastAsia="方正仿宋_GBK"/>
          <w:kern w:val="0"/>
          <w:sz w:val="32"/>
          <w:szCs w:val="32"/>
          <w:lang w:val="en-US" w:eastAsia="zh-CN"/>
        </w:rPr>
        <w:t>0.8万元</w:t>
      </w:r>
      <w:r>
        <w:rPr>
          <w:rFonts w:ascii="Times New Roman" w:hAnsi="Times New Roman" w:eastAsia="方正仿宋_GBK"/>
          <w:sz w:val="32"/>
          <w:szCs w:val="32"/>
        </w:rPr>
        <w:t>,</w:t>
      </w:r>
      <w:r>
        <w:rPr>
          <w:rFonts w:hint="eastAsia" w:ascii="Times New Roman" w:hAnsi="Times New Roman" w:eastAsia="方正仿宋_GBK"/>
          <w:sz w:val="32"/>
          <w:szCs w:val="32"/>
        </w:rPr>
        <w:t>主要</w:t>
      </w:r>
      <w:r>
        <w:rPr>
          <w:rFonts w:hint="eastAsia" w:ascii="Times New Roman" w:hAnsi="Times New Roman" w:eastAsia="方正仿宋_GBK"/>
          <w:kern w:val="0"/>
          <w:sz w:val="32"/>
          <w:szCs w:val="32"/>
        </w:rPr>
        <w:t>原因分析</w:t>
      </w:r>
      <w:r>
        <w:rPr>
          <w:rFonts w:hint="eastAsia" w:ascii="Times New Roman" w:hAnsi="Times New Roman" w:eastAsia="方正仿宋_GBK"/>
          <w:kern w:val="0"/>
          <w:sz w:val="32"/>
          <w:szCs w:val="32"/>
          <w:lang w:eastAsia="zh-CN"/>
        </w:rPr>
        <w:t>：工作需要，增加</w:t>
      </w:r>
      <w:r>
        <w:rPr>
          <w:rFonts w:hint="eastAsia" w:ascii="Times New Roman" w:hAnsi="Times New Roman" w:eastAsia="方正仿宋_GBK"/>
          <w:kern w:val="0"/>
          <w:sz w:val="32"/>
          <w:szCs w:val="32"/>
          <w:lang w:val="en-US" w:eastAsia="zh-CN"/>
        </w:rPr>
        <w:t>1</w:t>
      </w:r>
      <w:r>
        <w:rPr>
          <w:rFonts w:hint="eastAsia" w:ascii="Times New Roman" w:hAnsi="Times New Roman" w:eastAsia="方正仿宋_GBK"/>
          <w:kern w:val="0"/>
          <w:sz w:val="32"/>
          <w:szCs w:val="32"/>
          <w:lang w:eastAsia="zh-CN"/>
        </w:rPr>
        <w:t>人，增人头经费</w:t>
      </w:r>
      <w:r>
        <w:rPr>
          <w:rFonts w:hint="eastAsia" w:ascii="Times New Roman" w:hAnsi="Times New Roman" w:eastAsia="方正仿宋_GBK"/>
          <w:kern w:val="0"/>
          <w:sz w:val="32"/>
          <w:szCs w:val="32"/>
          <w:lang w:val="en-US" w:eastAsia="zh-CN"/>
        </w:rPr>
        <w:t>0.8万元</w:t>
      </w:r>
      <w:r>
        <w:rPr>
          <w:rFonts w:hint="eastAsia" w:ascii="Times New Roman" w:hAnsi="Times New Roman" w:eastAsia="方正仿宋_GBK"/>
          <w:kern w:val="0"/>
          <w:sz w:val="32"/>
          <w:szCs w:val="32"/>
        </w:rPr>
        <w:t>。部门机关运行经费主要用于</w:t>
      </w:r>
      <w:r>
        <w:rPr>
          <w:rFonts w:hint="eastAsia" w:ascii="Times New Roman" w:hAnsi="Times New Roman" w:eastAsia="方正仿宋_GBK"/>
          <w:kern w:val="0"/>
          <w:sz w:val="32"/>
          <w:szCs w:val="32"/>
          <w:lang w:eastAsia="zh-CN"/>
        </w:rPr>
        <w:t>办公费</w:t>
      </w:r>
      <w:r>
        <w:rPr>
          <w:rFonts w:hint="eastAsia" w:ascii="Times New Roman" w:hAnsi="Times New Roman" w:eastAsia="方正仿宋_GBK"/>
          <w:kern w:val="0"/>
          <w:sz w:val="32"/>
          <w:szCs w:val="32"/>
          <w:lang w:val="en-US" w:eastAsia="zh-CN"/>
        </w:rPr>
        <w:t>8941元，邮电费1544元，公务接待费2500元，办公设备购置费6100元，差旅费10800元，培训费7100元，其他交通费3015元</w:t>
      </w:r>
      <w:r>
        <w:rPr>
          <w:rFonts w:hint="eastAsia" w:ascii="Times New Roman" w:hAnsi="Times New Roman" w:eastAsia="方正仿宋_GBK"/>
          <w:kern w:val="0"/>
          <w:sz w:val="32"/>
          <w:szCs w:val="32"/>
        </w:rPr>
        <w:t>。</w:t>
      </w:r>
      <w:bookmarkStart w:id="0" w:name="_GoBack"/>
      <w:bookmarkEnd w:id="0"/>
    </w:p>
    <w:p>
      <w:pPr>
        <w:widowControl/>
        <w:snapToGrid w:val="0"/>
        <w:spacing w:before="100" w:after="100" w:line="360" w:lineRule="auto"/>
        <w:ind w:firstLine="321" w:firstLineChars="100"/>
        <w:jc w:val="left"/>
        <w:rPr>
          <w:rFonts w:hint="eastAsia" w:ascii="Times New Roman" w:hAnsi="Times New Roman" w:eastAsia="方正仿宋_GBK"/>
          <w:b/>
          <w:bCs/>
          <w:kern w:val="0"/>
          <w:sz w:val="32"/>
          <w:szCs w:val="32"/>
          <w:lang w:eastAsia="zh-CN"/>
        </w:rPr>
      </w:pPr>
      <w:r>
        <w:rPr>
          <w:rFonts w:hint="eastAsia" w:ascii="Times New Roman" w:hAnsi="Times New Roman" w:eastAsia="方正仿宋_GBK"/>
          <w:b/>
          <w:bCs/>
          <w:kern w:val="0"/>
          <w:sz w:val="32"/>
          <w:szCs w:val="32"/>
          <w:lang w:eastAsia="zh-CN"/>
        </w:rPr>
        <w:t>（二）政府采购情况说明</w:t>
      </w:r>
    </w:p>
    <w:p>
      <w:pPr>
        <w:widowControl/>
        <w:snapToGrid w:val="0"/>
        <w:spacing w:before="100" w:after="100" w:line="360" w:lineRule="auto"/>
        <w:ind w:firstLine="600"/>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lang w:val="en-US" w:eastAsia="zh-CN"/>
        </w:rPr>
        <w:t>盈江县工商联2017年</w:t>
      </w:r>
      <w:r>
        <w:rPr>
          <w:rFonts w:hint="eastAsia" w:ascii="Times New Roman" w:hAnsi="Times New Roman" w:eastAsia="方正仿宋_GBK"/>
          <w:sz w:val="32"/>
          <w:szCs w:val="32"/>
        </w:rPr>
        <w:t>部门预算政府采购经费</w:t>
      </w:r>
      <w:r>
        <w:rPr>
          <w:rFonts w:hint="eastAsia" w:ascii="Times New Roman" w:hAnsi="Times New Roman" w:eastAsia="方正仿宋_GBK"/>
          <w:sz w:val="32"/>
          <w:szCs w:val="32"/>
          <w:lang w:val="en-US" w:eastAsia="zh-CN"/>
        </w:rPr>
        <w:t>0</w:t>
      </w:r>
      <w:r>
        <w:rPr>
          <w:rFonts w:hint="eastAsia" w:ascii="Times New Roman" w:hAnsi="Times New Roman" w:eastAsia="方正仿宋_GBK"/>
          <w:sz w:val="32"/>
          <w:szCs w:val="32"/>
        </w:rPr>
        <w:t>万元，</w:t>
      </w:r>
      <w:r>
        <w:rPr>
          <w:rFonts w:hint="eastAsia" w:ascii="Times New Roman" w:hAnsi="Times New Roman" w:eastAsia="方正仿宋_GBK"/>
          <w:kern w:val="0"/>
          <w:sz w:val="32"/>
          <w:szCs w:val="32"/>
        </w:rPr>
        <w:t>与上年对比</w:t>
      </w:r>
      <w:r>
        <w:rPr>
          <w:rFonts w:hint="eastAsia" w:ascii="Times New Roman" w:hAnsi="Times New Roman" w:eastAsia="方正仿宋_GBK"/>
          <w:kern w:val="0"/>
          <w:sz w:val="32"/>
          <w:szCs w:val="32"/>
          <w:lang w:eastAsia="zh-CN"/>
        </w:rPr>
        <w:t>无增减</w:t>
      </w:r>
      <w:r>
        <w:rPr>
          <w:rFonts w:hint="eastAsia" w:ascii="Times New Roman" w:hAnsi="Times New Roman" w:eastAsia="方正仿宋_GBK"/>
          <w:kern w:val="0"/>
          <w:sz w:val="32"/>
          <w:szCs w:val="32"/>
        </w:rPr>
        <w:t>。</w:t>
      </w:r>
    </w:p>
    <w:p>
      <w:pPr>
        <w:widowControl/>
        <w:numPr>
          <w:ilvl w:val="0"/>
          <w:numId w:val="0"/>
        </w:numPr>
        <w:snapToGrid w:val="0"/>
        <w:spacing w:before="100" w:after="100" w:line="360" w:lineRule="auto"/>
        <w:ind w:firstLine="320" w:firstLineChars="1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（三）</w:t>
      </w:r>
      <w:r>
        <w:rPr>
          <w:rFonts w:hint="eastAsia" w:ascii="方正黑体_GBK" w:hAnsi="方正黑体_GBK" w:eastAsia="方正黑体_GBK" w:cs="方正黑体_GBK"/>
          <w:kern w:val="0"/>
          <w:sz w:val="32"/>
          <w:szCs w:val="32"/>
        </w:rPr>
        <w:t>名词解释</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Fonts w:ascii="Times New Roman" w:hAnsi="Times New Roman" w:eastAsia="方正仿宋_GBK"/>
          <w:sz w:val="32"/>
          <w:szCs w:val="32"/>
        </w:rPr>
        <w:t>1.</w:t>
      </w:r>
      <w:r>
        <w:rPr>
          <w:rStyle w:val="6"/>
          <w:rFonts w:hint="eastAsia" w:ascii="Times New Roman" w:hAnsi="Times New Roman" w:eastAsia="方正仿宋_GBK"/>
          <w:b w:val="0"/>
          <w:color w:val="000000"/>
          <w:sz w:val="32"/>
          <w:szCs w:val="32"/>
        </w:rPr>
        <w:t>财政拨款（补助）收入</w:t>
      </w:r>
      <w:r>
        <w:rPr>
          <w:rFonts w:hint="eastAsia" w:ascii="Times New Roman" w:hAnsi="Times New Roman" w:eastAsia="方正仿宋_GBK"/>
          <w:color w:val="000000"/>
          <w:sz w:val="32"/>
          <w:szCs w:val="32"/>
        </w:rPr>
        <w:t>指财政部门当年拨付的资金。</w:t>
      </w:r>
      <w:r>
        <w:rPr>
          <w:rFonts w:ascii="Times New Roman" w:hAnsi="Times New Roman" w:eastAsia="方正仿宋_GBK"/>
          <w:color w:val="000000"/>
          <w:sz w:val="32"/>
          <w:szCs w:val="32"/>
        </w:rPr>
        <w:t xml:space="preserve"> </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hint="eastAsia" w:ascii="Times New Roman" w:hAnsi="Times New Roman" w:eastAsia="方正仿宋_GBK"/>
          <w:b w:val="0"/>
          <w:bCs/>
          <w:color w:val="000000"/>
          <w:sz w:val="32"/>
          <w:szCs w:val="32"/>
          <w:lang w:val="en-US" w:eastAsia="zh-CN"/>
        </w:rPr>
        <w:t>2</w:t>
      </w:r>
      <w:r>
        <w:rPr>
          <w:rStyle w:val="6"/>
          <w:rFonts w:ascii="Times New Roman" w:hAnsi="Times New Roman" w:eastAsia="方正仿宋_GBK"/>
          <w:b w:val="0"/>
          <w:bCs/>
          <w:color w:val="000000"/>
          <w:sz w:val="32"/>
          <w:szCs w:val="32"/>
        </w:rPr>
        <w:t>.</w:t>
      </w:r>
      <w:r>
        <w:rPr>
          <w:rStyle w:val="6"/>
          <w:rFonts w:hint="eastAsia" w:ascii="Times New Roman" w:hAnsi="Times New Roman" w:eastAsia="方正仿宋_GBK"/>
          <w:b w:val="0"/>
          <w:bCs/>
          <w:color w:val="000000"/>
          <w:sz w:val="32"/>
          <w:szCs w:val="32"/>
        </w:rPr>
        <w:t>基本支出</w:t>
      </w:r>
      <w:r>
        <w:rPr>
          <w:rFonts w:hint="eastAsia" w:ascii="Times New Roman" w:hAnsi="Times New Roman" w:eastAsia="方正仿宋_GBK"/>
          <w:color w:val="000000"/>
          <w:sz w:val="32"/>
          <w:szCs w:val="32"/>
        </w:rPr>
        <w:t>指为保障机构正常运转、完成日常工作任务而发生的人员支出和公用支出。</w:t>
      </w:r>
    </w:p>
    <w:p>
      <w:pPr>
        <w:pStyle w:val="4"/>
        <w:widowControl/>
        <w:spacing w:beforeAutospacing="0" w:after="225" w:afterAutospacing="0" w:line="360" w:lineRule="atLeast"/>
        <w:jc w:val="both"/>
        <w:rPr>
          <w:rFonts w:ascii="Times New Roman" w:hAnsi="Times New Roman" w:eastAsia="方正仿宋_GBK"/>
          <w:color w:val="000000"/>
          <w:sz w:val="32"/>
          <w:szCs w:val="32"/>
        </w:rPr>
      </w:pPr>
      <w:r>
        <w:rPr>
          <w:rStyle w:val="6"/>
          <w:rFonts w:hint="eastAsia" w:ascii="Times New Roman" w:hAnsi="Times New Roman" w:eastAsia="方正仿宋_GBK"/>
          <w:b w:val="0"/>
          <w:bCs/>
          <w:color w:val="000000"/>
          <w:sz w:val="32"/>
          <w:szCs w:val="32"/>
          <w:lang w:val="en-US" w:eastAsia="zh-CN"/>
        </w:rPr>
        <w:t>3</w:t>
      </w:r>
      <w:r>
        <w:rPr>
          <w:rStyle w:val="6"/>
          <w:rFonts w:ascii="Times New Roman" w:hAnsi="Times New Roman" w:eastAsia="方正仿宋_GBK"/>
          <w:b w:val="0"/>
          <w:bCs/>
          <w:color w:val="000000"/>
          <w:sz w:val="32"/>
          <w:szCs w:val="32"/>
        </w:rPr>
        <w:t>.</w:t>
      </w:r>
      <w:r>
        <w:rPr>
          <w:rStyle w:val="6"/>
          <w:rFonts w:hint="eastAsia" w:ascii="Times New Roman" w:hAnsi="Times New Roman" w:eastAsia="方正仿宋_GBK"/>
          <w:b w:val="0"/>
          <w:bCs/>
          <w:color w:val="000000"/>
          <w:sz w:val="32"/>
          <w:szCs w:val="32"/>
        </w:rPr>
        <w:t>项目支出</w:t>
      </w:r>
      <w:r>
        <w:rPr>
          <w:rFonts w:hint="eastAsia" w:ascii="Times New Roman" w:hAnsi="Times New Roman" w:eastAsia="方正仿宋_GBK"/>
          <w:color w:val="000000"/>
          <w:sz w:val="32"/>
          <w:szCs w:val="32"/>
        </w:rPr>
        <w:t>指在基本支出之外为完成相关行政任务和事业发展目标所发生的支出。</w:t>
      </w:r>
      <w:r>
        <w:rPr>
          <w:rFonts w:ascii="Times New Roman" w:hAnsi="Times New Roman" w:eastAsia="方正仿宋_GBK"/>
          <w:color w:val="000000"/>
          <w:sz w:val="32"/>
          <w:szCs w:val="32"/>
        </w:rPr>
        <w:t xml:space="preserve"> </w:t>
      </w:r>
    </w:p>
    <w:p>
      <w:pPr>
        <w:widowControl/>
        <w:snapToGrid w:val="0"/>
        <w:spacing w:before="100" w:after="100" w:line="360" w:lineRule="auto"/>
        <w:ind w:firstLine="6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w:t>
      </w:r>
      <w:r>
        <w:rPr>
          <w:rFonts w:hint="eastAsia" w:ascii="Times New Roman" w:hAnsi="Times New Roman" w:eastAsia="方正仿宋_GBK"/>
          <w:sz w:val="32"/>
          <w:szCs w:val="32"/>
        </w:rPr>
        <w:t>机关运行经费指行政单位和参照公务员法管理的事业单位使用一般公共预算财政拨款安排的基本支出中的日常公用经费支出。</w:t>
      </w:r>
      <w:r>
        <w:rPr>
          <w:rFonts w:hint="eastAsia" w:ascii="Times New Roman" w:hAnsi="Times New Roman" w:eastAsia="方正仿宋_GBK"/>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5</w:t>
      </w:r>
      <w:r>
        <w:rPr>
          <w:rFonts w:ascii="Times New Roman" w:hAnsi="Times New Roman" w:eastAsia="方正仿宋_GBK"/>
          <w:sz w:val="32"/>
          <w:szCs w:val="32"/>
        </w:rPr>
        <w:t>.“</w:t>
      </w:r>
      <w:r>
        <w:rPr>
          <w:rFonts w:hint="eastAsia" w:ascii="Times New Roman" w:hAnsi="Times New Roman" w:eastAsia="方正仿宋_GBK"/>
          <w:sz w:val="32"/>
          <w:szCs w:val="32"/>
        </w:rPr>
        <w:t>三公</w:t>
      </w:r>
      <w:r>
        <w:rPr>
          <w:rFonts w:ascii="Times New Roman" w:hAnsi="Times New Roman" w:eastAsia="方正仿宋_GBK"/>
          <w:sz w:val="32"/>
          <w:szCs w:val="32"/>
        </w:rPr>
        <w:t>”</w:t>
      </w:r>
      <w:r>
        <w:rPr>
          <w:rFonts w:hint="eastAsia" w:ascii="Times New Roman" w:hAnsi="Times New Roman" w:eastAsia="方正仿宋_GBK"/>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w:t>
      </w:r>
      <w:r>
        <w:rPr>
          <w:rFonts w:hint="eastAsia" w:ascii="Times New Roman" w:hAnsi="Times New Roman" w:eastAsia="方正仿宋_GBK"/>
          <w:sz w:val="32"/>
          <w:szCs w:val="32"/>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7</w:t>
      </w:r>
      <w:r>
        <w:rPr>
          <w:rFonts w:ascii="Times New Roman" w:hAnsi="Times New Roman" w:eastAsia="方正仿宋_GBK"/>
          <w:sz w:val="32"/>
          <w:szCs w:val="32"/>
        </w:rPr>
        <w:t>.</w:t>
      </w:r>
      <w:r>
        <w:rPr>
          <w:rFonts w:hint="eastAsia" w:ascii="Times New Roman" w:hAnsi="Times New Roman" w:eastAsia="方正仿宋_GBK"/>
          <w:sz w:val="32"/>
          <w:szCs w:val="32"/>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8</w:t>
      </w:r>
      <w:r>
        <w:rPr>
          <w:rFonts w:ascii="Times New Roman" w:hAnsi="Times New Roman" w:eastAsia="方正仿宋_GBK"/>
          <w:sz w:val="32"/>
          <w:szCs w:val="32"/>
        </w:rPr>
        <w:t>.</w:t>
      </w:r>
      <w:r>
        <w:rPr>
          <w:rFonts w:hint="eastAsia" w:ascii="Times New Roman" w:hAnsi="Times New Roman" w:eastAsia="方正仿宋_GBK"/>
          <w:sz w:val="32"/>
          <w:szCs w:val="32"/>
        </w:rPr>
        <w:t>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lang w:val="en-US" w:eastAsia="zh-CN"/>
        </w:rPr>
        <w:t>9</w:t>
      </w:r>
      <w:r>
        <w:rPr>
          <w:rFonts w:ascii="Times New Roman" w:hAnsi="Times New Roman" w:eastAsia="方正仿宋_GBK"/>
          <w:sz w:val="32"/>
          <w:szCs w:val="32"/>
        </w:rPr>
        <w:t>.</w:t>
      </w:r>
      <w:r>
        <w:rPr>
          <w:rFonts w:hint="eastAsia" w:ascii="Times New Roman" w:hAnsi="Times New Roman" w:eastAsia="方正仿宋_GBK"/>
          <w:sz w:val="32"/>
          <w:szCs w:val="32"/>
        </w:rPr>
        <w:t>对个人和家庭的补助反映政府用于对个人和家庭的补助支出。</w:t>
      </w:r>
    </w:p>
    <w:p>
      <w:pPr>
        <w:widowControl/>
        <w:snapToGrid w:val="0"/>
        <w:spacing w:before="100" w:after="100" w:line="360" w:lineRule="auto"/>
        <w:ind w:firstLine="640" w:firstLineChars="200"/>
        <w:jc w:val="left"/>
        <w:rPr>
          <w:rFonts w:ascii="Times New Roman" w:hAnsi="Times New Roman" w:eastAsia="方正仿宋_GBK"/>
          <w:kern w:val="0"/>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lang w:val="en-US" w:eastAsia="zh-CN"/>
        </w:rPr>
        <w:t>0</w:t>
      </w:r>
      <w:r>
        <w:rPr>
          <w:rFonts w:ascii="Times New Roman" w:hAnsi="Times New Roman" w:eastAsia="方正仿宋_GBK"/>
          <w:sz w:val="32"/>
          <w:szCs w:val="32"/>
        </w:rPr>
        <w:t>.</w:t>
      </w:r>
      <w:r>
        <w:rPr>
          <w:rFonts w:hint="eastAsia" w:ascii="Times New Roman" w:hAnsi="Times New Roman" w:eastAsia="方正仿宋_GBK"/>
          <w:sz w:val="32"/>
          <w:szCs w:val="32"/>
        </w:rPr>
        <w:t>政府采购是指各级国家机关、事业单位和团体组织，使用财政性资金采购依法制定的集中采购目录以内的或者采购限额标准以上的货物、工程和服务的行为。</w:t>
      </w:r>
    </w:p>
    <w:p>
      <w:pPr>
        <w:rPr>
          <w:rFonts w:ascii="Times New Roman" w:hAnsi="Times New Roman" w:eastAsia="方正仿宋_GBK"/>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9E34DF"/>
    <w:rsid w:val="00BE690C"/>
    <w:rsid w:val="00C921AB"/>
    <w:rsid w:val="00CA2F35"/>
    <w:rsid w:val="00FA562F"/>
    <w:rsid w:val="236567A0"/>
    <w:rsid w:val="23B40271"/>
    <w:rsid w:val="2BEE3D88"/>
    <w:rsid w:val="30607584"/>
    <w:rsid w:val="3AF62DDC"/>
    <w:rsid w:val="3B7B21B7"/>
    <w:rsid w:val="47BE385D"/>
    <w:rsid w:val="6416405D"/>
    <w:rsid w:val="6CD53BB6"/>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spacing w:beforeAutospacing="1" w:afterAutospacing="1"/>
      <w:ind w:firstLine="420"/>
      <w:jc w:val="left"/>
    </w:pPr>
    <w:rPr>
      <w:kern w:val="0"/>
      <w:sz w:val="24"/>
    </w:rPr>
  </w:style>
  <w:style w:type="character" w:styleId="6">
    <w:name w:val="Strong"/>
    <w:basedOn w:val="5"/>
    <w:qFormat/>
    <w:uiPriority w:val="99"/>
    <w:rPr>
      <w:rFonts w:cs="Times New Roman"/>
      <w:b/>
    </w:rPr>
  </w:style>
  <w:style w:type="character" w:customStyle="1" w:styleId="8">
    <w:name w:val="Footer Char"/>
    <w:basedOn w:val="5"/>
    <w:link w:val="2"/>
    <w:semiHidden/>
    <w:qFormat/>
    <w:uiPriority w:val="99"/>
    <w:rPr>
      <w:sz w:val="18"/>
      <w:szCs w:val="18"/>
    </w:rPr>
  </w:style>
  <w:style w:type="character" w:customStyle="1" w:styleId="9">
    <w:name w:val="Header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德宏州盈江县党政机关单位</Company>
  <Pages>4</Pages>
  <Words>172</Words>
  <Characters>982</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2017-11-02T08:12:00Z</dcterms:created>
  <dc:creator>盈江县财政局</dc:creator>
  <cp:lastModifiedBy>Administrator</cp:lastModifiedBy>
  <cp:lastPrinted>2017-11-01T13:36:00Z</cp:lastPrinted>
  <dcterms:modified xsi:type="dcterms:W3CDTF">2017-11-02T09:08:24Z</dcterms:modified>
  <dc:title>盈江县***2017年部门预算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