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盈江县市场监督和城乡管理综合执法局2017年部门预算</w:t>
      </w:r>
    </w:p>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重要事项情况说明及名词解释</w:t>
      </w:r>
    </w:p>
    <w:p>
      <w:pPr>
        <w:widowControl/>
        <w:snapToGrid w:val="0"/>
        <w:spacing w:before="100" w:after="100" w:line="60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(一)机关运行经费支出情况</w:t>
      </w:r>
    </w:p>
    <w:p>
      <w:pPr>
        <w:widowControl/>
        <w:snapToGrid w:val="0"/>
        <w:spacing w:before="100" w:after="100" w:line="360" w:lineRule="auto"/>
        <w:ind w:firstLine="640" w:firstLineChars="200"/>
        <w:jc w:val="left"/>
        <w:rPr>
          <w:rFonts w:ascii="Times New Roman" w:hAnsi="Times New Roman" w:eastAsia="方正仿宋_GBK" w:cs="Times New Roman"/>
          <w:kern w:val="0"/>
          <w:sz w:val="32"/>
          <w:szCs w:val="32"/>
        </w:rPr>
      </w:pPr>
      <w:r>
        <w:rPr>
          <w:rFonts w:hint="eastAsia" w:ascii="Times New Roman" w:hAnsi="Times New Roman" w:eastAsia="方正仿宋_GBK" w:cs="Times New Roman"/>
          <w:sz w:val="32"/>
          <w:szCs w:val="32"/>
        </w:rPr>
        <w:t>盈江县市场监督和城乡管理综合执法局2017</w:t>
      </w:r>
      <w:r>
        <w:rPr>
          <w:rFonts w:ascii="Times New Roman" w:hAnsi="Times New Roman" w:eastAsia="方正仿宋_GBK" w:cs="Times New Roman"/>
          <w:sz w:val="32"/>
          <w:szCs w:val="32"/>
        </w:rPr>
        <w:t>年部门预算机关运行经费支出</w:t>
      </w:r>
      <w:r>
        <w:rPr>
          <w:rFonts w:hint="eastAsia" w:ascii="Times New Roman" w:hAnsi="Times New Roman" w:eastAsia="方正仿宋_GBK" w:cs="Times New Roman"/>
          <w:sz w:val="32"/>
          <w:szCs w:val="32"/>
        </w:rPr>
        <w:t>1221.03</w:t>
      </w:r>
      <w:r>
        <w:rPr>
          <w:rFonts w:ascii="Times New Roman" w:hAnsi="Times New Roman" w:eastAsia="方正仿宋_GBK" w:cs="Times New Roman"/>
          <w:sz w:val="32"/>
          <w:szCs w:val="32"/>
        </w:rPr>
        <w:t>万元，</w:t>
      </w:r>
      <w:r>
        <w:rPr>
          <w:rFonts w:ascii="Times New Roman" w:hAnsi="Times New Roman" w:eastAsia="方正仿宋_GBK" w:cs="Times New Roman"/>
          <w:kern w:val="0"/>
          <w:sz w:val="32"/>
          <w:szCs w:val="32"/>
        </w:rPr>
        <w:t>与上年对比</w:t>
      </w:r>
      <w:r>
        <w:rPr>
          <w:rFonts w:hint="eastAsia" w:ascii="Times New Roman" w:hAnsi="Times New Roman" w:eastAsia="方正仿宋_GBK" w:cs="Times New Roman"/>
          <w:kern w:val="0"/>
          <w:sz w:val="32"/>
          <w:szCs w:val="32"/>
        </w:rPr>
        <w:t>992.66万元</w:t>
      </w:r>
      <w:r>
        <w:rPr>
          <w:rFonts w:ascii="Times New Roman" w:hAnsi="Times New Roman" w:eastAsia="方正仿宋_GBK" w:cs="Times New Roman"/>
          <w:kern w:val="0"/>
          <w:sz w:val="32"/>
          <w:szCs w:val="32"/>
        </w:rPr>
        <w:t>增加</w:t>
      </w:r>
      <w:r>
        <w:rPr>
          <w:rFonts w:hint="eastAsia" w:ascii="Times New Roman" w:hAnsi="Times New Roman" w:eastAsia="方正仿宋_GBK" w:cs="Times New Roman"/>
          <w:kern w:val="0"/>
          <w:sz w:val="32"/>
          <w:szCs w:val="32"/>
        </w:rPr>
        <w:t>228.37万</w:t>
      </w:r>
      <w:r>
        <w:rPr>
          <w:rFonts w:ascii="Times New Roman" w:hAnsi="Times New Roman" w:eastAsia="方正仿宋_GBK" w:cs="Times New Roman"/>
          <w:sz w:val="32"/>
          <w:szCs w:val="32"/>
        </w:rPr>
        <w:t>,主要</w:t>
      </w:r>
      <w:r>
        <w:rPr>
          <w:rFonts w:ascii="Times New Roman" w:hAnsi="Times New Roman" w:eastAsia="方正仿宋_GBK" w:cs="Times New Roman"/>
          <w:kern w:val="0"/>
          <w:sz w:val="32"/>
          <w:szCs w:val="32"/>
        </w:rPr>
        <w:t>原因分析</w:t>
      </w:r>
      <w:r>
        <w:rPr>
          <w:rFonts w:hint="eastAsia" w:ascii="Times New Roman" w:hAnsi="Times New Roman" w:eastAsia="方正仿宋_GBK" w:cs="Times New Roman"/>
          <w:kern w:val="0"/>
          <w:sz w:val="32"/>
          <w:szCs w:val="32"/>
        </w:rPr>
        <w:t>：一是2016年对在职人员工资进行调增，导致工资福利支出增大；二是离退休人员养老金调增</w:t>
      </w:r>
      <w:r>
        <w:rPr>
          <w:rFonts w:ascii="Times New Roman" w:hAnsi="Times New Roman" w:eastAsia="方正仿宋_GBK" w:cs="Times New Roman"/>
          <w:kern w:val="0"/>
          <w:sz w:val="32"/>
          <w:szCs w:val="32"/>
        </w:rPr>
        <w:t>。部门机关运行经费主要用于</w:t>
      </w:r>
      <w:r>
        <w:rPr>
          <w:rFonts w:hint="eastAsia" w:ascii="Times New Roman" w:hAnsi="Times New Roman" w:eastAsia="方正仿宋_GBK" w:cs="Times New Roman"/>
          <w:kern w:val="0"/>
          <w:sz w:val="32"/>
          <w:szCs w:val="32"/>
        </w:rPr>
        <w:t>：一是工资福利支出691.54万；二是办公费支出46万；三是离退休人员养老金支出264.33万；四是生活补贴144.78万；五是住房公积金支出74.38万。</w:t>
      </w:r>
    </w:p>
    <w:p>
      <w:pPr>
        <w:widowControl/>
        <w:numPr>
          <w:ilvl w:val="0"/>
          <w:numId w:val="1"/>
        </w:numPr>
        <w:snapToGrid w:val="0"/>
        <w:spacing w:before="100" w:after="100" w:line="360" w:lineRule="auto"/>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政府采购情况说明</w:t>
      </w:r>
    </w:p>
    <w:p>
      <w:pPr>
        <w:widowControl/>
        <w:snapToGrid w:val="0"/>
        <w:spacing w:before="100" w:after="100" w:line="360" w:lineRule="auto"/>
        <w:ind w:firstLine="600"/>
        <w:jc w:val="left"/>
        <w:rPr>
          <w:rFonts w:hint="eastAsia" w:ascii="Times New Roman" w:hAnsi="Times New Roman" w:eastAsia="方正仿宋_GBK" w:cs="Times New Roman"/>
          <w:kern w:val="0"/>
          <w:sz w:val="32"/>
          <w:szCs w:val="32"/>
        </w:rPr>
      </w:pPr>
      <w:r>
        <w:rPr>
          <w:rFonts w:hint="eastAsia" w:ascii="Times New Roman" w:hAnsi="Times New Roman" w:eastAsia="方正仿宋_GBK" w:cs="Times New Roman"/>
          <w:sz w:val="32"/>
          <w:szCs w:val="32"/>
        </w:rPr>
        <w:t>盈江县市场监督和城乡管理综合执法局2017</w:t>
      </w:r>
      <w:r>
        <w:rPr>
          <w:rFonts w:ascii="Times New Roman" w:hAnsi="Times New Roman" w:eastAsia="方正仿宋_GBK" w:cs="Times New Roman"/>
          <w:sz w:val="32"/>
          <w:szCs w:val="32"/>
        </w:rPr>
        <w:t>年部门预算政府采购经费</w:t>
      </w:r>
      <w:r>
        <w:rPr>
          <w:rFonts w:hint="eastAsia" w:ascii="Times New Roman" w:hAnsi="Times New Roman" w:eastAsia="方正仿宋_GBK" w:cs="Times New Roman"/>
          <w:sz w:val="32"/>
          <w:szCs w:val="32"/>
        </w:rPr>
        <w:t>0</w:t>
      </w:r>
      <w:r>
        <w:rPr>
          <w:rFonts w:ascii="Times New Roman" w:hAnsi="Times New Roman" w:eastAsia="方正仿宋_GBK" w:cs="Times New Roman"/>
          <w:sz w:val="32"/>
          <w:szCs w:val="32"/>
        </w:rPr>
        <w:t>万元，</w:t>
      </w:r>
      <w:r>
        <w:rPr>
          <w:rFonts w:ascii="Times New Roman" w:hAnsi="Times New Roman" w:eastAsia="方正仿宋_GBK" w:cs="Times New Roman"/>
          <w:kern w:val="0"/>
          <w:sz w:val="32"/>
          <w:szCs w:val="32"/>
        </w:rPr>
        <w:t>与上年对比</w:t>
      </w:r>
      <w:r>
        <w:rPr>
          <w:rFonts w:hint="eastAsia" w:ascii="Times New Roman" w:hAnsi="Times New Roman" w:eastAsia="方正仿宋_GBK" w:cs="Times New Roman"/>
          <w:kern w:val="0"/>
          <w:sz w:val="32"/>
          <w:szCs w:val="32"/>
        </w:rPr>
        <w:t>持平</w:t>
      </w:r>
      <w:r>
        <w:rPr>
          <w:rFonts w:ascii="Times New Roman" w:hAnsi="Times New Roman" w:eastAsia="方正仿宋_GBK" w:cs="Times New Roman"/>
          <w:kern w:val="0"/>
          <w:sz w:val="32"/>
          <w:szCs w:val="32"/>
        </w:rPr>
        <w:t>。</w:t>
      </w:r>
    </w:p>
    <w:p>
      <w:pPr>
        <w:widowControl/>
        <w:snapToGrid w:val="0"/>
        <w:spacing w:before="100" w:after="100" w:line="360" w:lineRule="auto"/>
        <w:ind w:firstLine="6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名词解释</w:t>
      </w:r>
    </w:p>
    <w:p>
      <w:pPr>
        <w:pStyle w:val="4"/>
        <w:widowControl/>
        <w:spacing w:beforeAutospacing="0" w:after="225" w:afterAutospacing="0" w:line="360" w:lineRule="atLeast"/>
        <w:jc w:val="both"/>
        <w:rPr>
          <w:rFonts w:ascii="Times New Roman" w:hAnsi="Times New Roman" w:eastAsia="方正仿宋_GBK"/>
          <w:sz w:val="32"/>
          <w:szCs w:val="32"/>
        </w:rPr>
      </w:pPr>
      <w:r>
        <w:rPr>
          <w:rFonts w:ascii="Times New Roman" w:hAnsi="Times New Roman" w:eastAsia="方正仿宋_GBK"/>
          <w:sz w:val="32"/>
          <w:szCs w:val="32"/>
        </w:rPr>
        <w:t>1.</w:t>
      </w:r>
      <w:r>
        <w:rPr>
          <w:rStyle w:val="6"/>
          <w:rFonts w:ascii="Times New Roman" w:hAnsi="Times New Roman" w:eastAsia="方正仿宋_GBK"/>
          <w:b w:val="0"/>
          <w:color w:val="000000"/>
          <w:sz w:val="32"/>
          <w:szCs w:val="32"/>
        </w:rPr>
        <w:t>财政拨款</w:t>
      </w:r>
      <w:r>
        <w:rPr>
          <w:rStyle w:val="6"/>
          <w:rFonts w:hint="eastAsia" w:ascii="Times New Roman" w:hAnsi="Times New Roman" w:eastAsia="方正仿宋_GBK"/>
          <w:b w:val="0"/>
          <w:color w:val="000000"/>
          <w:sz w:val="32"/>
          <w:szCs w:val="32"/>
        </w:rPr>
        <w:t>（补助）</w:t>
      </w:r>
      <w:r>
        <w:rPr>
          <w:rStyle w:val="6"/>
          <w:rFonts w:ascii="Times New Roman" w:hAnsi="Times New Roman" w:eastAsia="方正仿宋_GBK"/>
          <w:b w:val="0"/>
          <w:color w:val="000000"/>
          <w:sz w:val="32"/>
          <w:szCs w:val="32"/>
        </w:rPr>
        <w:t>收入</w:t>
      </w:r>
      <w:r>
        <w:rPr>
          <w:rFonts w:ascii="Times New Roman" w:hAnsi="Times New Roman" w:eastAsia="方正仿宋_GBK"/>
          <w:color w:val="000000"/>
          <w:sz w:val="32"/>
          <w:szCs w:val="32"/>
        </w:rPr>
        <w:t>指财政</w:t>
      </w:r>
      <w:r>
        <w:rPr>
          <w:rFonts w:hint="eastAsia" w:ascii="Times New Roman" w:hAnsi="Times New Roman" w:eastAsia="方正仿宋_GBK"/>
          <w:color w:val="000000"/>
          <w:sz w:val="32"/>
          <w:szCs w:val="32"/>
        </w:rPr>
        <w:t>部门</w:t>
      </w:r>
      <w:r>
        <w:rPr>
          <w:rFonts w:ascii="Times New Roman" w:hAnsi="Times New Roman" w:eastAsia="方正仿宋_GBK"/>
          <w:color w:val="000000"/>
          <w:sz w:val="32"/>
          <w:szCs w:val="32"/>
        </w:rPr>
        <w:t xml:space="preserve">当年拨付的资金。 </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6"/>
          <w:rFonts w:hint="eastAsia" w:ascii="Times New Roman" w:hAnsi="Times New Roman" w:eastAsia="方正仿宋_GBK"/>
          <w:b w:val="0"/>
          <w:bCs/>
          <w:color w:val="000000"/>
          <w:sz w:val="32"/>
          <w:szCs w:val="32"/>
        </w:rPr>
        <w:t>2</w:t>
      </w:r>
      <w:r>
        <w:rPr>
          <w:rStyle w:val="6"/>
          <w:rFonts w:ascii="Times New Roman" w:hAnsi="Times New Roman" w:eastAsia="方正仿宋_GBK"/>
          <w:b w:val="0"/>
          <w:bCs/>
          <w:color w:val="000000"/>
          <w:sz w:val="32"/>
          <w:szCs w:val="32"/>
        </w:rPr>
        <w:t>.其他收入</w:t>
      </w:r>
      <w:r>
        <w:rPr>
          <w:rFonts w:ascii="Times New Roman" w:hAnsi="Times New Roman" w:eastAsia="方正仿宋_GBK"/>
          <w:color w:val="000000"/>
          <w:sz w:val="32"/>
          <w:szCs w:val="32"/>
        </w:rPr>
        <w:t xml:space="preserve">指预算单位在“财政拨款收入”、“事业收入”、“经营收入”之外取得的收入。 </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6"/>
          <w:rFonts w:hint="eastAsia" w:ascii="Times New Roman" w:hAnsi="Times New Roman" w:eastAsia="方正仿宋_GBK"/>
          <w:b w:val="0"/>
          <w:bCs/>
          <w:color w:val="000000"/>
          <w:sz w:val="32"/>
          <w:szCs w:val="32"/>
        </w:rPr>
        <w:t>3</w:t>
      </w:r>
      <w:r>
        <w:rPr>
          <w:rStyle w:val="6"/>
          <w:rFonts w:ascii="Times New Roman" w:hAnsi="Times New Roman" w:eastAsia="方正仿宋_GBK"/>
          <w:b w:val="0"/>
          <w:bCs/>
          <w:color w:val="000000"/>
          <w:sz w:val="32"/>
          <w:szCs w:val="32"/>
        </w:rPr>
        <w:t>.基本支出</w:t>
      </w:r>
      <w:r>
        <w:rPr>
          <w:rFonts w:ascii="Times New Roman" w:hAnsi="Times New Roman" w:eastAsia="方正仿宋_GBK"/>
          <w:color w:val="000000"/>
          <w:sz w:val="32"/>
          <w:szCs w:val="32"/>
        </w:rPr>
        <w:t>指为保障机构正常运转、完成日常工作任务而发生的人员支出和公用支出。</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6"/>
          <w:rFonts w:hint="eastAsia" w:ascii="Times New Roman" w:hAnsi="Times New Roman" w:eastAsia="方正仿宋_GBK"/>
          <w:b w:val="0"/>
          <w:bCs/>
          <w:color w:val="000000"/>
          <w:sz w:val="32"/>
          <w:szCs w:val="32"/>
        </w:rPr>
        <w:t>4.</w:t>
      </w:r>
      <w:r>
        <w:rPr>
          <w:rStyle w:val="6"/>
          <w:rFonts w:ascii="Times New Roman" w:hAnsi="Times New Roman" w:eastAsia="方正仿宋_GBK"/>
          <w:b w:val="0"/>
          <w:bCs/>
          <w:color w:val="000000"/>
          <w:sz w:val="32"/>
          <w:szCs w:val="32"/>
        </w:rPr>
        <w:t>项目支出</w:t>
      </w:r>
      <w:r>
        <w:rPr>
          <w:rFonts w:ascii="Times New Roman" w:hAnsi="Times New Roman" w:eastAsia="方正仿宋_GBK"/>
          <w:color w:val="000000"/>
          <w:sz w:val="32"/>
          <w:szCs w:val="32"/>
        </w:rPr>
        <w:t xml:space="preserve">指在基本支出之外为完成相关行政任务和事业发展目标所发生的支出。 </w:t>
      </w:r>
    </w:p>
    <w:p>
      <w:pPr>
        <w:widowControl/>
        <w:snapToGrid w:val="0"/>
        <w:spacing w:before="100" w:after="100" w:line="360" w:lineRule="auto"/>
        <w:ind w:firstLine="6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w:t>
      </w:r>
      <w:r>
        <w:rPr>
          <w:rFonts w:ascii="Times New Roman" w:hAnsi="Times New Roman" w:eastAsia="方正仿宋_GBK" w:cs="Times New Roman"/>
          <w:sz w:val="32"/>
          <w:szCs w:val="32"/>
        </w:rPr>
        <w:t>.机关运行经费指行政单位和参照公务员法管理的事业单位使用一般公共预算财政拨款安排的基本支出中的日常公用经费支出。</w:t>
      </w:r>
      <w:r>
        <w:rPr>
          <w:rFonts w:ascii="Times New Roman" w:hAnsi="Times New Roman" w:eastAsia="方正仿宋_GBK" w:cs="Times New Roman"/>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6</w:t>
      </w:r>
      <w:r>
        <w:rPr>
          <w:rFonts w:ascii="Times New Roman" w:hAnsi="Times New Roman" w:eastAsia="方正仿宋_GBK" w:cs="Times New Roman"/>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7</w:t>
      </w:r>
      <w:r>
        <w:rPr>
          <w:rFonts w:ascii="Times New Roman" w:hAnsi="Times New Roman" w:eastAsia="方正仿宋_GBK" w:cs="Times New Roman"/>
          <w:sz w:val="32"/>
          <w:szCs w:val="32"/>
        </w:rPr>
        <w:t>.一般公共预算是对以税收为主体的财政收入，安排用于保障和改善民生、推动经济社会发展、维护国家安全、维护国家机构正常运转等方面的收支预算。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8</w:t>
      </w:r>
      <w:r>
        <w:rPr>
          <w:rFonts w:ascii="Times New Roman" w:hAnsi="Times New Roman" w:eastAsia="方正仿宋_GBK" w:cs="Times New Roman"/>
          <w:sz w:val="32"/>
          <w:szCs w:val="32"/>
        </w:rPr>
        <w:t>.非税收入是各级政府及其所属部门和单位依法利用行政权力、政府信誉、国家资源、国有资产或提供特定公共服务征收、收取、提取、募集的除税收和政府债务收入以外的财政收入。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9</w:t>
      </w:r>
      <w:r>
        <w:rPr>
          <w:rFonts w:ascii="Times New Roman" w:hAnsi="Times New Roman" w:eastAsia="方正仿宋_GBK" w:cs="Times New Roman"/>
          <w:sz w:val="32"/>
          <w:szCs w:val="32"/>
        </w:rPr>
        <w:t>.工资福利支出反映单位开支的在职职工和编制外长期聘用人员的各类劳动报酬，以及为上述人员缴纳的各项社会保险费等。</w:t>
      </w:r>
    </w:p>
    <w:p>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0</w:t>
      </w:r>
      <w:r>
        <w:rPr>
          <w:rFonts w:ascii="Times New Roman" w:hAnsi="Times New Roman" w:eastAsia="方正仿宋_GBK" w:cs="Times New Roman"/>
          <w:sz w:val="32"/>
          <w:szCs w:val="32"/>
        </w:rPr>
        <w:t>.商品和服务支出反映单位购买商品和服务的支出（不包括用于购置固定资产的支出、战略性和应急储备支出）。</w:t>
      </w:r>
    </w:p>
    <w:p>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.对个人和家庭的补助反映政府用于对个人和家庭的补助支出。</w:t>
      </w:r>
    </w:p>
    <w:p>
      <w:pPr>
        <w:widowControl/>
        <w:snapToGrid w:val="0"/>
        <w:spacing w:before="100" w:after="100" w:line="360" w:lineRule="auto"/>
        <w:ind w:firstLine="640" w:firstLineChars="200"/>
        <w:jc w:val="left"/>
        <w:rPr>
          <w:rFonts w:ascii="Times New Roman" w:hAnsi="Times New Roman" w:eastAsia="方正仿宋_GBK" w:cs="Times New Roman"/>
          <w:sz w:val="32"/>
          <w:szCs w:val="32"/>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AF62DDC"/>
    <w:rsid w:val="001F3548"/>
    <w:rsid w:val="002171CD"/>
    <w:rsid w:val="003E3AAE"/>
    <w:rsid w:val="00735A1B"/>
    <w:rsid w:val="00857DC4"/>
    <w:rsid w:val="00980B61"/>
    <w:rsid w:val="00AF72E1"/>
    <w:rsid w:val="00B428AB"/>
    <w:rsid w:val="00EB0301"/>
    <w:rsid w:val="0D403699"/>
    <w:rsid w:val="236567A0"/>
    <w:rsid w:val="2BEE3D88"/>
    <w:rsid w:val="30607584"/>
    <w:rsid w:val="3AF62DDC"/>
    <w:rsid w:val="3B7B21B7"/>
    <w:rsid w:val="49C42CAD"/>
    <w:rsid w:val="77F86B51"/>
    <w:rsid w:val="79F83B50"/>
    <w:rsid w:val="7E1E265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spacing w:beforeAutospacing="1" w:afterAutospacing="1"/>
      <w:ind w:firstLine="420"/>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4</Pages>
  <Words>186</Words>
  <Characters>1065</Characters>
  <Lines>8</Lines>
  <Paragraphs>2</Paragraphs>
  <ScaleCrop>false</ScaleCrop>
  <LinksUpToDate>false</LinksUpToDate>
  <CharactersWithSpaces>1249</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2017-11-01T12:31:00Z</dcterms:created>
  <dc:creator>盈江县财政局</dc:creator>
  <cp:lastModifiedBy>ksj</cp:lastModifiedBy>
  <cp:lastPrinted>2017-11-01T13:36:00Z</cp:lastPrinted>
  <dcterms:modified xsi:type="dcterms:W3CDTF">2017-11-02T08:21:34Z</dcterms:modified>
  <dc:title>盈江县***2017年部门预算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