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before="100" w:after="100" w:line="480" w:lineRule="exact"/>
        <w:ind w:left="0" w:leftChars="0" w:right="0" w:rightChars="0" w:firstLine="880" w:firstLineChars="20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盈江县水利局2017年部门</w:t>
      </w:r>
    </w:p>
    <w:p>
      <w:pPr>
        <w:keepNext w:val="0"/>
        <w:keepLines w:val="0"/>
        <w:pageBreakBefore w:val="0"/>
        <w:widowControl/>
        <w:kinsoku/>
        <w:wordWrap/>
        <w:overflowPunct/>
        <w:topLinePunct w:val="0"/>
        <w:autoSpaceDE/>
        <w:autoSpaceDN/>
        <w:bidi w:val="0"/>
        <w:adjustRightInd/>
        <w:snapToGrid w:val="0"/>
        <w:spacing w:before="100" w:after="100" w:line="480" w:lineRule="exact"/>
        <w:ind w:left="0" w:leftChars="0" w:right="0" w:rightChars="0" w:firstLine="880" w:firstLineChars="20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预算</w:t>
      </w:r>
      <w:r>
        <w:rPr>
          <w:rFonts w:hint="eastAsia" w:ascii="方正小标宋_GBK" w:hAnsi="方正小标宋_GBK" w:eastAsia="方正小标宋_GBK" w:cs="方正小标宋_GBK"/>
          <w:sz w:val="44"/>
          <w:szCs w:val="44"/>
        </w:rPr>
        <w:t>重要事项情况说明及</w:t>
      </w:r>
      <w:r>
        <w:rPr>
          <w:rFonts w:hint="eastAsia" w:ascii="方正小标宋_GBK" w:hAnsi="方正小标宋_GBK" w:eastAsia="方正小标宋_GBK" w:cs="方正小标宋_GBK"/>
          <w:sz w:val="44"/>
          <w:szCs w:val="44"/>
          <w:lang w:eastAsia="zh-CN"/>
        </w:rPr>
        <w:t>名词解释</w:t>
      </w:r>
    </w:p>
    <w:p>
      <w:pPr>
        <w:widowControl/>
        <w:numPr>
          <w:ilvl w:val="0"/>
          <w:numId w:val="1"/>
        </w:numPr>
        <w:snapToGrid w:val="0"/>
        <w:spacing w:before="100" w:after="100" w:line="600" w:lineRule="exact"/>
        <w:ind w:firstLine="640" w:firstLineChars="200"/>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机关运行经费支出情况</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40" w:lineRule="atLeast"/>
        <w:ind w:left="0" w:right="0" w:firstLine="645"/>
        <w:jc w:val="left"/>
        <w:rPr>
          <w:rFonts w:hint="default" w:ascii="Times New Roman" w:hAnsi="Times New Roman" w:eastAsia="方正仿宋_GBK" w:cs="Times New Roman"/>
          <w:b w:val="0"/>
          <w:i w:val="0"/>
          <w:caps w:val="0"/>
          <w:color w:val="010101"/>
          <w:spacing w:val="0"/>
          <w:sz w:val="32"/>
          <w:szCs w:val="32"/>
        </w:rPr>
      </w:pPr>
      <w:r>
        <w:rPr>
          <w:rFonts w:hint="default" w:ascii="Times New Roman" w:hAnsi="Times New Roman" w:eastAsia="方正仿宋_GBK" w:cs="Times New Roman"/>
          <w:sz w:val="32"/>
          <w:szCs w:val="32"/>
          <w:lang w:eastAsia="zh-CN"/>
        </w:rPr>
        <w:t>盈江县水利局</w:t>
      </w:r>
      <w:r>
        <w:rPr>
          <w:rFonts w:hint="default" w:ascii="Times New Roman" w:hAnsi="Times New Roman" w:eastAsia="方正仿宋_GBK" w:cs="Times New Roman"/>
          <w:sz w:val="32"/>
          <w:szCs w:val="32"/>
          <w:lang w:val="en-US" w:eastAsia="zh-CN"/>
        </w:rPr>
        <w:t>2017</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部门预算</w:t>
      </w:r>
      <w:r>
        <w:rPr>
          <w:rFonts w:hint="default" w:ascii="Times New Roman" w:hAnsi="Times New Roman" w:eastAsia="方正仿宋_GBK" w:cs="Times New Roman"/>
          <w:sz w:val="32"/>
          <w:szCs w:val="32"/>
        </w:rPr>
        <w:t>机关运行经费支出</w:t>
      </w:r>
      <w:r>
        <w:rPr>
          <w:rFonts w:hint="default" w:ascii="Times New Roman" w:hAnsi="Times New Roman" w:eastAsia="方正仿宋_GBK" w:cs="Times New Roman"/>
          <w:sz w:val="32"/>
          <w:szCs w:val="32"/>
          <w:lang w:val="en-US" w:eastAsia="zh-CN"/>
        </w:rPr>
        <w:t>392.35</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val="en-US" w:eastAsia="zh-CN"/>
        </w:rPr>
        <w:t>2016年机关运行经费支出452.48万元，</w:t>
      </w:r>
      <w:r>
        <w:rPr>
          <w:rFonts w:hint="default" w:ascii="Times New Roman" w:hAnsi="Times New Roman" w:eastAsia="方正仿宋_GBK" w:cs="Times New Roman"/>
          <w:kern w:val="0"/>
          <w:sz w:val="32"/>
          <w:szCs w:val="32"/>
        </w:rPr>
        <w:t>与上年对比</w:t>
      </w:r>
      <w:r>
        <w:rPr>
          <w:rFonts w:hint="default" w:ascii="Times New Roman" w:hAnsi="Times New Roman" w:eastAsia="方正仿宋_GBK" w:cs="Times New Roman"/>
          <w:kern w:val="0"/>
          <w:sz w:val="32"/>
          <w:szCs w:val="32"/>
          <w:lang w:eastAsia="zh-CN"/>
        </w:rPr>
        <w:t>下降</w:t>
      </w:r>
      <w:r>
        <w:rPr>
          <w:rFonts w:hint="default" w:ascii="Times New Roman" w:hAnsi="Times New Roman" w:eastAsia="方正仿宋_GBK" w:cs="Times New Roman"/>
          <w:kern w:val="0"/>
          <w:sz w:val="32"/>
          <w:szCs w:val="32"/>
          <w:lang w:val="en-US" w:eastAsia="zh-CN"/>
        </w:rPr>
        <w:t>60.13万元，</w:t>
      </w:r>
      <w:r>
        <w:rPr>
          <w:rFonts w:hint="default" w:ascii="Times New Roman" w:hAnsi="Times New Roman" w:eastAsia="方正仿宋_GBK" w:cs="Times New Roman"/>
          <w:sz w:val="32"/>
          <w:szCs w:val="32"/>
        </w:rPr>
        <w:t>,主要</w:t>
      </w:r>
      <w:r>
        <w:rPr>
          <w:rFonts w:hint="default" w:ascii="Times New Roman" w:hAnsi="Times New Roman" w:eastAsia="方正仿宋_GBK" w:cs="Times New Roman"/>
          <w:kern w:val="0"/>
          <w:sz w:val="32"/>
          <w:szCs w:val="32"/>
        </w:rPr>
        <w:t>原因分析</w:t>
      </w:r>
      <w:r>
        <w:rPr>
          <w:rFonts w:hint="default" w:ascii="Times New Roman" w:hAnsi="Times New Roman" w:eastAsia="方正仿宋_GBK" w:cs="Times New Roman"/>
          <w:kern w:val="0"/>
          <w:sz w:val="32"/>
          <w:szCs w:val="32"/>
          <w:lang w:eastAsia="zh-CN"/>
        </w:rPr>
        <w:t>：一是公务用车减少，所以公务用车车辆的</w:t>
      </w:r>
      <w:r>
        <w:rPr>
          <w:rFonts w:hint="default" w:ascii="Times New Roman" w:hAnsi="Times New Roman" w:eastAsia="方正仿宋_GBK" w:cs="Times New Roman"/>
          <w:color w:val="000000"/>
          <w:sz w:val="32"/>
          <w:szCs w:val="32"/>
        </w:rPr>
        <w:t>日常维修费</w:t>
      </w:r>
      <w:r>
        <w:rPr>
          <w:rFonts w:hint="default" w:ascii="Times New Roman" w:hAnsi="Times New Roman" w:eastAsia="方正仿宋_GBK" w:cs="Times New Roman"/>
          <w:color w:val="000000"/>
          <w:sz w:val="32"/>
          <w:szCs w:val="32"/>
          <w:lang w:eastAsia="zh-CN"/>
        </w:rPr>
        <w:t>及</w:t>
      </w:r>
      <w:r>
        <w:rPr>
          <w:rFonts w:hint="default" w:ascii="Times New Roman" w:hAnsi="Times New Roman" w:eastAsia="方正仿宋_GBK" w:cs="Times New Roman"/>
          <w:color w:val="000000"/>
          <w:sz w:val="32"/>
          <w:szCs w:val="32"/>
        </w:rPr>
        <w:t>公务用车运行维护费</w:t>
      </w:r>
      <w:r>
        <w:rPr>
          <w:rFonts w:hint="default" w:ascii="Times New Roman" w:hAnsi="Times New Roman" w:eastAsia="方正仿宋_GBK" w:cs="Times New Roman"/>
          <w:color w:val="000000"/>
          <w:sz w:val="32"/>
          <w:szCs w:val="32"/>
          <w:lang w:eastAsia="zh-CN"/>
        </w:rPr>
        <w:t>减少；二是购买办公设备购置减少。</w:t>
      </w:r>
      <w:r>
        <w:rPr>
          <w:rFonts w:hint="default" w:ascii="Times New Roman" w:hAnsi="Times New Roman" w:eastAsia="方正仿宋_GBK" w:cs="Times New Roman"/>
          <w:kern w:val="0"/>
          <w:sz w:val="32"/>
          <w:szCs w:val="32"/>
        </w:rPr>
        <w:t>部门机关运行经费主要用于</w:t>
      </w:r>
      <w:r>
        <w:rPr>
          <w:rFonts w:hint="default" w:ascii="Times New Roman" w:hAnsi="Times New Roman" w:eastAsia="方正仿宋_GBK" w:cs="Times New Roman"/>
          <w:b w:val="0"/>
          <w:i w:val="0"/>
          <w:caps w:val="0"/>
          <w:color w:val="000000"/>
          <w:spacing w:val="0"/>
          <w:kern w:val="0"/>
          <w:sz w:val="32"/>
          <w:szCs w:val="32"/>
          <w:shd w:val="clear" w:fill="FFFFFF"/>
          <w:lang w:val="en-US" w:eastAsia="zh-CN" w:bidi="ar"/>
        </w:rPr>
        <w:t>一般公共预算拨款安排用于购买货物和服务的各项资金，包括办公及印刷费、邮电费、差旅费、会议费、福利费、日常维修费、办公用房水电费、办公用房取暖费、办公用房物业管理费、公务用车运行维护费以及其他费用。 </w:t>
      </w:r>
    </w:p>
    <w:p>
      <w:pPr>
        <w:widowControl/>
        <w:numPr>
          <w:ilvl w:val="0"/>
          <w:numId w:val="2"/>
        </w:numPr>
        <w:snapToGrid w:val="0"/>
        <w:spacing w:before="100" w:after="100" w:line="360" w:lineRule="auto"/>
        <w:ind w:firstLine="640" w:firstLineChars="200"/>
        <w:jc w:val="left"/>
        <w:rPr>
          <w:rFonts w:hint="eastAsia" w:ascii="微软雅黑" w:hAnsi="微软雅黑" w:eastAsia="微软雅黑" w:cs="微软雅黑"/>
          <w:b w:val="0"/>
          <w:i w:val="0"/>
          <w:caps w:val="0"/>
          <w:color w:val="010101"/>
          <w:spacing w:val="0"/>
          <w:sz w:val="24"/>
          <w:szCs w:val="24"/>
        </w:rPr>
      </w:pPr>
      <w:r>
        <w:rPr>
          <w:rFonts w:hint="eastAsia" w:ascii="方正黑体_GBK" w:hAnsi="方正黑体_GBK" w:eastAsia="方正黑体_GBK" w:cs="方正黑体_GBK"/>
          <w:sz w:val="32"/>
          <w:szCs w:val="32"/>
          <w:lang w:eastAsia="zh-CN"/>
        </w:rPr>
        <w:t>政府采购</w:t>
      </w:r>
      <w:r>
        <w:rPr>
          <w:rFonts w:hint="eastAsia" w:ascii="方正黑体_GBK" w:hAnsi="方正黑体_GBK" w:eastAsia="方正黑体_GBK" w:cs="方正黑体_GBK"/>
          <w:sz w:val="32"/>
          <w:szCs w:val="32"/>
        </w:rPr>
        <w:t>情况说明</w:t>
      </w:r>
    </w:p>
    <w:p>
      <w:pPr>
        <w:widowControl/>
        <w:numPr>
          <w:numId w:val="0"/>
        </w:numPr>
        <w:snapToGrid w:val="0"/>
        <w:spacing w:before="100" w:after="100" w:line="360" w:lineRule="auto"/>
        <w:ind w:firstLine="640" w:firstLineChars="200"/>
        <w:jc w:val="left"/>
        <w:rPr>
          <w:rFonts w:hint="eastAsia" w:ascii="方正黑体_GBK" w:hAnsi="方正黑体_GBK" w:eastAsia="方正黑体_GBK" w:cs="方正黑体_GBK"/>
          <w:kern w:val="0"/>
          <w:sz w:val="32"/>
          <w:szCs w:val="32"/>
          <w:lang w:val="en-US" w:eastAsia="zh-CN"/>
        </w:rPr>
      </w:pPr>
      <w:r>
        <w:rPr>
          <w:rFonts w:hint="default" w:ascii="Times New Roman" w:hAnsi="Times New Roman" w:eastAsia="方正仿宋_GBK" w:cs="Times New Roman"/>
          <w:b w:val="0"/>
          <w:i w:val="0"/>
          <w:caps w:val="0"/>
          <w:color w:val="000000"/>
          <w:spacing w:val="0"/>
          <w:kern w:val="0"/>
          <w:sz w:val="32"/>
          <w:szCs w:val="32"/>
          <w:shd w:val="clear" w:fill="FFFFFF"/>
          <w:lang w:val="en-US" w:eastAsia="zh-CN" w:bidi="ar"/>
        </w:rPr>
        <w:t>盈江县水利局2017年部门预算政府采购预算总额30万元，</w:t>
      </w:r>
      <w:r>
        <w:rPr>
          <w:rFonts w:hint="default" w:ascii="Times New Roman" w:hAnsi="Times New Roman" w:eastAsia="方正仿宋_GBK" w:cs="Times New Roman"/>
          <w:kern w:val="0"/>
          <w:sz w:val="32"/>
          <w:szCs w:val="32"/>
        </w:rPr>
        <w:t>与上年对比</w:t>
      </w:r>
      <w:r>
        <w:rPr>
          <w:rFonts w:hint="eastAsia" w:ascii="Times New Roman" w:hAnsi="Times New Roman" w:eastAsia="方正仿宋_GBK" w:cs="Times New Roman"/>
          <w:kern w:val="0"/>
          <w:sz w:val="32"/>
          <w:szCs w:val="32"/>
          <w:lang w:val="en-US" w:eastAsia="zh-CN"/>
        </w:rPr>
        <w:t>40.89</w:t>
      </w:r>
      <w:r>
        <w:rPr>
          <w:rFonts w:hint="default" w:ascii="Times New Roman" w:hAnsi="Times New Roman" w:eastAsia="方正仿宋_GBK" w:cs="Times New Roman"/>
          <w:kern w:val="0"/>
          <w:sz w:val="32"/>
          <w:szCs w:val="32"/>
          <w:lang w:eastAsia="zh-CN"/>
        </w:rPr>
        <w:t>下降</w:t>
      </w:r>
      <w:r>
        <w:rPr>
          <w:rFonts w:hint="eastAsia" w:ascii="Times New Roman" w:hAnsi="Times New Roman" w:eastAsia="方正仿宋_GBK" w:cs="Times New Roman"/>
          <w:kern w:val="0"/>
          <w:sz w:val="32"/>
          <w:szCs w:val="32"/>
          <w:lang w:val="en-US" w:eastAsia="zh-CN"/>
        </w:rPr>
        <w:t>10.89万元</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kern w:val="0"/>
          <w:sz w:val="32"/>
          <w:szCs w:val="32"/>
          <w:lang w:eastAsia="zh-CN"/>
        </w:rPr>
        <w:t>政府采购预算</w:t>
      </w:r>
      <w:r>
        <w:rPr>
          <w:rFonts w:hint="default" w:ascii="Times New Roman" w:hAnsi="Times New Roman" w:eastAsia="方正仿宋_GBK" w:cs="Times New Roman"/>
          <w:kern w:val="0"/>
          <w:sz w:val="32"/>
          <w:szCs w:val="32"/>
        </w:rPr>
        <w:t>主要用于</w:t>
      </w:r>
      <w:r>
        <w:rPr>
          <w:rFonts w:hint="eastAsia" w:ascii="方正仿宋_GBK" w:hAnsi="方正仿宋_GBK" w:eastAsia="方正仿宋_GBK" w:cs="方正仿宋_GBK"/>
          <w:b w:val="0"/>
          <w:i w:val="0"/>
          <w:caps w:val="0"/>
          <w:color w:val="000000"/>
          <w:spacing w:val="0"/>
          <w:kern w:val="0"/>
          <w:sz w:val="32"/>
          <w:szCs w:val="32"/>
          <w:shd w:val="clear" w:fill="FFFFFF"/>
          <w:lang w:val="en-US" w:eastAsia="zh-CN" w:bidi="ar"/>
        </w:rPr>
        <w:t>政府采购货物预算</w:t>
      </w:r>
      <w:r>
        <w:rPr>
          <w:rFonts w:hint="default" w:ascii="Times New Roman" w:hAnsi="Times New Roman" w:eastAsia="方正仿宋_GBK" w:cs="Times New Roman"/>
          <w:kern w:val="0"/>
          <w:sz w:val="32"/>
          <w:szCs w:val="32"/>
        </w:rPr>
        <w:t>。</w:t>
      </w:r>
    </w:p>
    <w:p>
      <w:pPr>
        <w:widowControl/>
        <w:numPr>
          <w:ilvl w:val="0"/>
          <w:numId w:val="2"/>
        </w:numPr>
        <w:snapToGrid w:val="0"/>
        <w:spacing w:before="100" w:after="100" w:line="360" w:lineRule="auto"/>
        <w:ind w:firstLine="640" w:firstLineChars="200"/>
        <w:jc w:val="left"/>
        <w:rPr>
          <w:rFonts w:hint="eastAsia" w:ascii="方正黑体_GBK" w:hAnsi="方正黑体_GBK" w:eastAsia="方正黑体_GBK" w:cs="方正黑体_GBK"/>
          <w:kern w:val="0"/>
          <w:sz w:val="32"/>
          <w:szCs w:val="32"/>
          <w:lang w:val="en-US" w:eastAsia="zh-CN"/>
        </w:rPr>
      </w:pPr>
      <w:r>
        <w:rPr>
          <w:rFonts w:hint="eastAsia" w:ascii="方正黑体_GBK" w:hAnsi="方正黑体_GBK" w:eastAsia="方正黑体_GBK" w:cs="方正黑体_GBK"/>
          <w:kern w:val="0"/>
          <w:sz w:val="32"/>
          <w:szCs w:val="32"/>
          <w:lang w:val="en-US" w:eastAsia="zh-CN"/>
        </w:rPr>
        <w:t>名词解释</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kern w:val="0"/>
          <w:sz w:val="32"/>
          <w:szCs w:val="32"/>
          <w:lang w:val="en-US" w:eastAsia="zh-CN"/>
        </w:rPr>
        <w:t>1.</w:t>
      </w:r>
      <w:r>
        <w:rPr>
          <w:rStyle w:val="6"/>
          <w:rFonts w:hint="default" w:ascii="Times New Roman" w:hAnsi="Times New Roman" w:eastAsia="方正仿宋_GBK" w:cs="Times New Roman"/>
          <w:b w:val="0"/>
          <w:bCs w:val="0"/>
          <w:color w:val="000000"/>
          <w:sz w:val="32"/>
          <w:szCs w:val="32"/>
        </w:rPr>
        <w:t>财政拨款</w:t>
      </w:r>
      <w:r>
        <w:rPr>
          <w:rStyle w:val="6"/>
          <w:rFonts w:hint="eastAsia" w:ascii="Times New Roman" w:hAnsi="Times New Roman" w:eastAsia="方正仿宋_GBK" w:cs="Times New Roman"/>
          <w:b w:val="0"/>
          <w:bCs w:val="0"/>
          <w:color w:val="000000"/>
          <w:sz w:val="32"/>
          <w:szCs w:val="32"/>
          <w:lang w:eastAsia="zh-CN"/>
        </w:rPr>
        <w:t>（补助）</w:t>
      </w:r>
      <w:r>
        <w:rPr>
          <w:rStyle w:val="6"/>
          <w:rFonts w:hint="default" w:ascii="Times New Roman" w:hAnsi="Times New Roman" w:eastAsia="方正仿宋_GBK" w:cs="Times New Roman"/>
          <w:b w:val="0"/>
          <w:bCs w:val="0"/>
          <w:color w:val="000000"/>
          <w:sz w:val="32"/>
          <w:szCs w:val="32"/>
        </w:rPr>
        <w:t>收入</w:t>
      </w:r>
      <w:r>
        <w:rPr>
          <w:rFonts w:hint="default" w:ascii="Times New Roman" w:hAnsi="Times New Roman" w:eastAsia="方正仿宋_GBK" w:cs="Times New Roman"/>
          <w:color w:val="000000"/>
          <w:sz w:val="32"/>
          <w:szCs w:val="32"/>
        </w:rPr>
        <w:t>指财政</w:t>
      </w:r>
      <w:r>
        <w:rPr>
          <w:rFonts w:hint="eastAsia" w:ascii="Times New Roman" w:hAnsi="Times New Roman" w:eastAsia="方正仿宋_GBK" w:cs="Times New Roman"/>
          <w:color w:val="000000"/>
          <w:sz w:val="32"/>
          <w:szCs w:val="32"/>
          <w:lang w:eastAsia="zh-CN"/>
        </w:rPr>
        <w:t>部门</w:t>
      </w:r>
      <w:r>
        <w:rPr>
          <w:rFonts w:hint="default" w:ascii="Times New Roman" w:hAnsi="Times New Roman" w:eastAsia="方正仿宋_GBK" w:cs="Times New Roman"/>
          <w:color w:val="000000"/>
          <w:sz w:val="32"/>
          <w:szCs w:val="32"/>
        </w:rPr>
        <w:t xml:space="preserve">当年拨付的资金。 </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sz w:val="32"/>
          <w:szCs w:val="32"/>
        </w:rPr>
      </w:pPr>
      <w:r>
        <w:rPr>
          <w:rStyle w:val="6"/>
          <w:rFonts w:hint="default" w:ascii="Times New Roman" w:hAnsi="Times New Roman" w:eastAsia="方正仿宋_GBK" w:cs="Times New Roman"/>
          <w:b w:val="0"/>
          <w:bCs/>
          <w:color w:val="000000"/>
          <w:sz w:val="32"/>
          <w:szCs w:val="32"/>
          <w:lang w:val="en-US" w:eastAsia="zh-CN"/>
        </w:rPr>
        <w:t>2.</w:t>
      </w:r>
      <w:r>
        <w:rPr>
          <w:rStyle w:val="6"/>
          <w:rFonts w:hint="default" w:ascii="Times New Roman" w:hAnsi="Times New Roman" w:eastAsia="方正仿宋_GBK" w:cs="Times New Roman"/>
          <w:b w:val="0"/>
          <w:bCs/>
          <w:color w:val="000000"/>
          <w:sz w:val="32"/>
          <w:szCs w:val="32"/>
        </w:rPr>
        <w:t>事业收入</w:t>
      </w:r>
      <w:r>
        <w:rPr>
          <w:rFonts w:hint="default" w:ascii="Times New Roman" w:hAnsi="Times New Roman" w:eastAsia="方正仿宋_GBK" w:cs="Times New Roman"/>
          <w:color w:val="000000"/>
          <w:sz w:val="32"/>
          <w:szCs w:val="32"/>
        </w:rPr>
        <w:t>指事业单位开展业务活动取得的收入。</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sz w:val="32"/>
          <w:szCs w:val="32"/>
        </w:rPr>
      </w:pPr>
      <w:r>
        <w:rPr>
          <w:rStyle w:val="6"/>
          <w:rFonts w:hint="default" w:ascii="Times New Roman" w:hAnsi="Times New Roman" w:eastAsia="方正仿宋_GBK" w:cs="Times New Roman"/>
          <w:b w:val="0"/>
          <w:bCs/>
          <w:color w:val="000000"/>
          <w:sz w:val="32"/>
          <w:szCs w:val="32"/>
          <w:lang w:val="en-US" w:eastAsia="zh-CN"/>
        </w:rPr>
        <w:t>3.</w:t>
      </w:r>
      <w:r>
        <w:rPr>
          <w:rStyle w:val="6"/>
          <w:rFonts w:hint="default" w:ascii="Times New Roman" w:hAnsi="Times New Roman" w:eastAsia="方正仿宋_GBK" w:cs="Times New Roman"/>
          <w:b w:val="0"/>
          <w:bCs/>
          <w:color w:val="000000"/>
          <w:sz w:val="32"/>
          <w:szCs w:val="32"/>
        </w:rPr>
        <w:t>事业单位经营收入</w:t>
      </w:r>
      <w:r>
        <w:rPr>
          <w:rFonts w:hint="default" w:ascii="Times New Roman" w:hAnsi="Times New Roman" w:eastAsia="方正仿宋_GBK" w:cs="Times New Roman"/>
          <w:color w:val="000000"/>
          <w:sz w:val="32"/>
          <w:szCs w:val="32"/>
        </w:rPr>
        <w:t xml:space="preserve">指事业单位在业务活动之外开展非独立核算经营活动取得的收入。 </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color w:val="000000"/>
          <w:sz w:val="32"/>
          <w:szCs w:val="32"/>
        </w:rPr>
      </w:pPr>
      <w:r>
        <w:rPr>
          <w:rStyle w:val="6"/>
          <w:rFonts w:hint="default" w:ascii="Times New Roman" w:hAnsi="Times New Roman" w:eastAsia="方正仿宋_GBK" w:cs="Times New Roman"/>
          <w:b w:val="0"/>
          <w:bCs/>
          <w:color w:val="000000"/>
          <w:sz w:val="32"/>
          <w:szCs w:val="32"/>
          <w:lang w:val="en-US" w:eastAsia="zh-CN"/>
        </w:rPr>
        <w:t>4.</w:t>
      </w:r>
      <w:r>
        <w:rPr>
          <w:rStyle w:val="6"/>
          <w:rFonts w:hint="default" w:ascii="Times New Roman" w:hAnsi="Times New Roman" w:eastAsia="方正仿宋_GBK" w:cs="Times New Roman"/>
          <w:b w:val="0"/>
          <w:bCs/>
          <w:color w:val="000000"/>
          <w:sz w:val="32"/>
          <w:szCs w:val="32"/>
        </w:rPr>
        <w:t>其他收入</w:t>
      </w:r>
      <w:r>
        <w:rPr>
          <w:rFonts w:hint="default" w:ascii="Times New Roman" w:hAnsi="Times New Roman" w:eastAsia="方正仿宋_GBK" w:cs="Times New Roman"/>
          <w:color w:val="000000"/>
          <w:sz w:val="32"/>
          <w:szCs w:val="32"/>
        </w:rPr>
        <w:t xml:space="preserve">指预算单位在“财政拨款收入”、“事业收入”、“经营收入”之外取得的收入。 </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color w:val="000000"/>
          <w:sz w:val="32"/>
          <w:szCs w:val="32"/>
        </w:rPr>
      </w:pPr>
      <w:r>
        <w:rPr>
          <w:rStyle w:val="6"/>
          <w:rFonts w:hint="default" w:ascii="Times New Roman" w:hAnsi="Times New Roman" w:eastAsia="方正仿宋_GBK" w:cs="Times New Roman"/>
          <w:b w:val="0"/>
          <w:bCs/>
          <w:color w:val="000000"/>
          <w:sz w:val="32"/>
          <w:szCs w:val="32"/>
          <w:lang w:val="en-US" w:eastAsia="zh-CN"/>
        </w:rPr>
        <w:t>5.</w:t>
      </w:r>
      <w:r>
        <w:rPr>
          <w:rStyle w:val="6"/>
          <w:rFonts w:hint="default" w:ascii="Times New Roman" w:hAnsi="Times New Roman" w:eastAsia="方正仿宋_GBK" w:cs="Times New Roman"/>
          <w:b w:val="0"/>
          <w:bCs/>
          <w:color w:val="000000"/>
          <w:sz w:val="32"/>
          <w:szCs w:val="32"/>
        </w:rPr>
        <w:t>基本支出</w:t>
      </w:r>
      <w:r>
        <w:rPr>
          <w:rFonts w:hint="default" w:ascii="Times New Roman" w:hAnsi="Times New Roman" w:eastAsia="方正仿宋_GBK" w:cs="Times New Roman"/>
          <w:color w:val="000000"/>
          <w:sz w:val="32"/>
          <w:szCs w:val="32"/>
        </w:rPr>
        <w:t>指为保障机构正常运转、完成日常工作任务而发生的人员支出和公用支出。</w:t>
      </w:r>
    </w:p>
    <w:p>
      <w:pPr>
        <w:pStyle w:val="4"/>
        <w:keepNext w:val="0"/>
        <w:keepLines w:val="0"/>
        <w:widowControl/>
        <w:suppressLineNumbers w:val="0"/>
        <w:spacing w:before="0" w:beforeAutospacing="0" w:after="225" w:afterAutospacing="0" w:line="360" w:lineRule="atLeast"/>
        <w:ind w:left="0" w:right="0"/>
        <w:jc w:val="both"/>
        <w:rPr>
          <w:rFonts w:hint="default" w:ascii="Times New Roman" w:hAnsi="Times New Roman" w:eastAsia="方正仿宋_GBK" w:cs="Times New Roman"/>
          <w:color w:val="000000"/>
          <w:sz w:val="32"/>
          <w:szCs w:val="32"/>
        </w:rPr>
      </w:pPr>
      <w:r>
        <w:rPr>
          <w:rStyle w:val="6"/>
          <w:rFonts w:hint="default" w:ascii="Times New Roman" w:hAnsi="Times New Roman" w:eastAsia="方正仿宋_GBK" w:cs="Times New Roman"/>
          <w:b w:val="0"/>
          <w:bCs/>
          <w:color w:val="000000"/>
          <w:sz w:val="32"/>
          <w:szCs w:val="32"/>
          <w:lang w:val="en-US" w:eastAsia="zh-CN"/>
        </w:rPr>
        <w:t>6</w:t>
      </w:r>
      <w:r>
        <w:rPr>
          <w:rStyle w:val="6"/>
          <w:rFonts w:hint="eastAsia" w:ascii="Times New Roman" w:hAnsi="Times New Roman" w:eastAsia="方正仿宋_GBK" w:cs="Times New Roman"/>
          <w:b w:val="0"/>
          <w:bCs/>
          <w:color w:val="000000"/>
          <w:sz w:val="32"/>
          <w:szCs w:val="32"/>
          <w:lang w:val="en-US" w:eastAsia="zh-CN"/>
        </w:rPr>
        <w:t>.</w:t>
      </w:r>
      <w:r>
        <w:rPr>
          <w:rStyle w:val="6"/>
          <w:rFonts w:hint="default" w:ascii="Times New Roman" w:hAnsi="Times New Roman" w:eastAsia="方正仿宋_GBK" w:cs="Times New Roman"/>
          <w:b w:val="0"/>
          <w:bCs/>
          <w:color w:val="000000"/>
          <w:sz w:val="32"/>
          <w:szCs w:val="32"/>
        </w:rPr>
        <w:t>项目支出</w:t>
      </w:r>
      <w:r>
        <w:rPr>
          <w:rFonts w:hint="default" w:ascii="Times New Roman" w:hAnsi="Times New Roman" w:eastAsia="方正仿宋_GBK" w:cs="Times New Roman"/>
          <w:color w:val="000000"/>
          <w:sz w:val="32"/>
          <w:szCs w:val="32"/>
        </w:rPr>
        <w:t xml:space="preserve">指在基本支出之外为完成相关行政任务和事业发展目标所发生的支出。 </w:t>
      </w:r>
    </w:p>
    <w:p>
      <w:pPr>
        <w:widowControl/>
        <w:numPr>
          <w:ilvl w:val="0"/>
          <w:numId w:val="0"/>
        </w:numPr>
        <w:snapToGrid w:val="0"/>
        <w:spacing w:before="100" w:after="100" w:line="360" w:lineRule="auto"/>
        <w:ind w:firstLine="6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lang w:val="en-US" w:eastAsia="zh-CN"/>
        </w:rPr>
        <w:t>7.</w:t>
      </w:r>
      <w:r>
        <w:rPr>
          <w:rFonts w:hint="default" w:ascii="Times New Roman" w:hAnsi="Times New Roman" w:eastAsia="方正仿宋_GBK" w:cs="Times New Roman"/>
          <w:b w:val="0"/>
          <w:bCs w:val="0"/>
          <w:sz w:val="32"/>
          <w:szCs w:val="32"/>
        </w:rPr>
        <w:t>机关运行经费</w:t>
      </w:r>
      <w:r>
        <w:rPr>
          <w:rFonts w:hint="default" w:ascii="Times New Roman" w:hAnsi="Times New Roman" w:eastAsia="方正仿宋_GBK" w:cs="Times New Roman"/>
          <w:sz w:val="32"/>
          <w:szCs w:val="32"/>
        </w:rPr>
        <w:t>指行政单位和参照公务员法管理的事业单位使用一般公共预算财政拨款安排的基本支出中的日常公用经费支出。</w:t>
      </w:r>
      <w:r>
        <w:rPr>
          <w:rFonts w:hint="default" w:ascii="Times New Roman" w:hAnsi="Times New Roman" w:eastAsia="方正仿宋_GBK"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9.一般公共预算是对以税收为主体的财政收入，安排用于保障和改善民生、推动经济社会发展、维护国家安全、维护国家机构正常运转等方面的收支预算。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10.非税收入是各级政府及其所属部门和单位依法利用行政权力、政府信誉、国家资源、国有资产或提供特定公共服务征收、收取、提取、募集的除税收和政府债务收入以外的财政收入。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11.工资福利支出反映单位开支的在职职工和编制外长期聘用人员的各类劳动报酬，以及为上述人员缴纳的各项社会保险费等。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12.商品和服务支出反映单位购买商品和服务的支出（不包括用于购置固定资产的支出、战略性和应急储备支出）。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13.对个人和家庭的补助反映政府用于对个人和家庭的补助支出。</w:t>
      </w:r>
    </w:p>
    <w:p>
      <w:pPr>
        <w:widowControl/>
        <w:snapToGrid w:val="0"/>
        <w:spacing w:before="100" w:after="100" w:line="360" w:lineRule="auto"/>
        <w:ind w:firstLine="640" w:firstLineChars="20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lang w:val="en-US" w:eastAsia="zh-CN"/>
        </w:rPr>
        <w:t>14.政府采购是指各级国家机关、事业单位和团体组织，使用财政性资金采购依法制定的集中采购目录以内的或者采购限额标准以上的货物、工程和服务的行为。</w:t>
      </w:r>
    </w:p>
    <w:p>
      <w:pPr>
        <w:rPr>
          <w:rFonts w:hint="default" w:ascii="Times New Roman" w:hAnsi="Times New Roman" w:eastAsia="方正仿宋_GBK" w:cs="Times New Roman"/>
          <w:sz w:val="32"/>
          <w:szCs w:val="32"/>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tentative="0">
      <w:start w:val="2"/>
      <w:numFmt w:val="chineseCounting"/>
      <w:suff w:val="nothing"/>
      <w:lvlText w:val="（%1）"/>
      <w:lvlJc w:val="left"/>
    </w:lvl>
  </w:abstractNum>
  <w:abstractNum w:abstractNumId="1">
    <w:nsid w:val="59FA7BD1"/>
    <w:multiLevelType w:val="singleLevel"/>
    <w:tmpl w:val="59FA7BD1"/>
    <w:lvl w:ilvl="0" w:tentative="0">
      <w:start w:val="1"/>
      <w:numFmt w:val="chineseCounting"/>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0015900"/>
    <w:rsid w:val="0DD714DB"/>
    <w:rsid w:val="1C64177E"/>
    <w:rsid w:val="236567A0"/>
    <w:rsid w:val="2BEE3D88"/>
    <w:rsid w:val="2E6B0926"/>
    <w:rsid w:val="30607584"/>
    <w:rsid w:val="34DF3FEE"/>
    <w:rsid w:val="3AF62DDC"/>
    <w:rsid w:val="3B7B21B7"/>
    <w:rsid w:val="3F716C9A"/>
    <w:rsid w:val="57764684"/>
    <w:rsid w:val="630E25F5"/>
    <w:rsid w:val="63316174"/>
    <w:rsid w:val="65072296"/>
    <w:rsid w:val="77F86B51"/>
    <w:rsid w:val="79F83B50"/>
    <w:rsid w:val="7E1E26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firstLine="42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Administrator</cp:lastModifiedBy>
  <cp:lastPrinted>2017-11-01T13:36:00Z</cp:lastPrinted>
  <dcterms:modified xsi:type="dcterms:W3CDTF">2017-11-02T02:29:53Z</dcterms:modified>
  <dc:title>盈江县***2017年部门预算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