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宋体" w:eastAsia="方正小标宋简体" w:cs="宋体"/>
          <w:color w:val="000000"/>
          <w:kern w:val="0"/>
          <w:sz w:val="40"/>
          <w:szCs w:val="40"/>
          <w:lang w:val="en-US" w:eastAsia="zh-CN"/>
        </w:rPr>
      </w:pPr>
    </w:p>
    <w:p>
      <w:pPr>
        <w:jc w:val="center"/>
        <w:rPr>
          <w:rFonts w:hint="eastAsia" w:ascii="方正小标宋简体" w:hAnsi="宋体" w:eastAsia="方正小标宋简体" w:cs="宋体"/>
          <w:color w:val="000000"/>
          <w:kern w:val="0"/>
          <w:sz w:val="40"/>
          <w:szCs w:val="40"/>
          <w:lang w:eastAsia="zh-CN"/>
        </w:rPr>
      </w:pPr>
      <w:r>
        <w:rPr>
          <w:rFonts w:hint="eastAsia" w:ascii="方正小标宋简体" w:hAnsi="宋体" w:eastAsia="方正小标宋简体" w:cs="宋体"/>
          <w:color w:val="000000"/>
          <w:kern w:val="0"/>
          <w:sz w:val="40"/>
          <w:szCs w:val="40"/>
          <w:lang w:val="en-US" w:eastAsia="zh-CN"/>
        </w:rPr>
        <w:t>盈江县公安局</w:t>
      </w:r>
      <w:r>
        <w:rPr>
          <w:rFonts w:hint="eastAsia" w:ascii="方正小标宋简体" w:hAnsi="宋体" w:eastAsia="方正小标宋简体" w:cs="宋体"/>
          <w:color w:val="000000"/>
          <w:kern w:val="0"/>
          <w:sz w:val="40"/>
          <w:szCs w:val="40"/>
        </w:rPr>
        <w:t>随机抽查事项清单</w:t>
      </w:r>
      <w:r>
        <w:rPr>
          <w:rFonts w:hint="eastAsia" w:ascii="方正小标宋简体" w:hAnsi="宋体" w:eastAsia="方正小标宋简体" w:cs="宋体"/>
          <w:color w:val="000000"/>
          <w:kern w:val="0"/>
          <w:sz w:val="40"/>
          <w:szCs w:val="40"/>
          <w:lang w:eastAsia="zh-CN"/>
        </w:rPr>
        <w:t>（</w:t>
      </w:r>
      <w:r>
        <w:rPr>
          <w:rFonts w:hint="eastAsia" w:ascii="方正小标宋简体" w:hAnsi="宋体" w:eastAsia="方正小标宋简体" w:cs="宋体"/>
          <w:color w:val="000000"/>
          <w:kern w:val="0"/>
          <w:sz w:val="40"/>
          <w:szCs w:val="40"/>
          <w:lang w:val="en-US" w:eastAsia="zh-CN"/>
        </w:rPr>
        <w:t>共7项</w:t>
      </w:r>
      <w:r>
        <w:rPr>
          <w:rFonts w:hint="eastAsia" w:ascii="方正小标宋简体" w:hAnsi="宋体" w:eastAsia="方正小标宋简体" w:cs="宋体"/>
          <w:color w:val="000000"/>
          <w:kern w:val="0"/>
          <w:sz w:val="40"/>
          <w:szCs w:val="40"/>
          <w:lang w:eastAsia="zh-CN"/>
        </w:rPr>
        <w:t>）</w:t>
      </w:r>
    </w:p>
    <w:tbl>
      <w:tblPr>
        <w:tblStyle w:val="3"/>
        <w:tblW w:w="14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11"/>
        <w:gridCol w:w="1583"/>
        <w:gridCol w:w="1124"/>
        <w:gridCol w:w="1095"/>
        <w:gridCol w:w="2401"/>
        <w:gridCol w:w="645"/>
        <w:gridCol w:w="540"/>
        <w:gridCol w:w="825"/>
        <w:gridCol w:w="420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序号</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抽查事项名称</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抽查依据</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抽查主体</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抽查范围</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抽查标准</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抽查比例</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抽查频率</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抽查方式</w:t>
            </w: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1"/>
                <w:szCs w:val="21"/>
              </w:rPr>
            </w:pPr>
            <w:r>
              <w:rPr>
                <w:rFonts w:hint="eastAsia" w:ascii="黑体" w:hAnsi="黑体" w:eastAsia="黑体" w:cs="宋体"/>
                <w:b/>
                <w:bCs/>
                <w:color w:val="000000"/>
                <w:kern w:val="0"/>
                <w:sz w:val="21"/>
                <w:szCs w:val="21"/>
              </w:rPr>
              <w:t>抽查内容</w:t>
            </w:r>
          </w:p>
        </w:tc>
        <w:tc>
          <w:tcPr>
            <w:tcW w:w="77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b/>
                <w:bCs/>
                <w:color w:val="000000"/>
                <w:kern w:val="0"/>
                <w:sz w:val="21"/>
                <w:szCs w:val="21"/>
              </w:rPr>
            </w:pPr>
            <w:r>
              <w:rPr>
                <w:rFonts w:hint="eastAsia" w:ascii="黑体" w:hAnsi="黑体" w:eastAsia="黑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1</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网吧行业监督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检查</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互联网上网服务营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业场所管理条例</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盈江县公安局</w:t>
            </w:r>
          </w:p>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全县网吧行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业</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互联网上网服务营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业场所管理条例</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15%</w:t>
            </w:r>
          </w:p>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1-2次/年</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现场检查</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1、对互联网上网服务营业场所制作、下载、复制、查 阅、发布、传播、使用《互联网上网服务营业场所管 理条例》第十四条规定的违法信息的行为； 2、对上网消费者制作、下载、复制、查阅、发布、传 播《互联网上网服务营业场所管理条例》第十四条规 定的违法信息的行为； 3、向上网消费者提供的计算机未通过局域网的方式接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入互联网的； 4、未建立场内巡查制度，或者发现上网消费者的违法 行为未予制止并向文化行政部门、公安机关举报的； 5、未按规定核对、登记上网消费者的有效身份证件或 者记录有关上网信息的； 6、未按规定时间保存登记内容、记录备份，或者在保 存期内修改、删除登记内容、记录备份的； 7、变更名称、住所、法定代表人或者主要负责人、注 册资本、网络地址或者终止经营活动，未向文化行政 部门、公安机关办理有关手续或者备案的； 8、利用明火照明或者发现吸烟不予制止，或者未悬挂 禁止吸烟标志的； 9、允许带入或者存放易燃、易爆物品的； 10、在营业场所安装固定的封闭门窗栅栏的；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11、营业期间封堵或者锁闭门窗、安全疏散通道或者 安全出口的；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12、擅自停止实施安全技术措施的。</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77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根据上级下发专项检查工作任务及日常监管检查工作任务确定抽查比例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2</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守护押运公务用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枪配备单位监督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检查</w:t>
            </w:r>
          </w:p>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《中华人民共和国枪支管理法》（中华人民共和国主席令第23号）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    《专职守护押运人员枪支使用管理条例 》（国务院令第356号）</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守护押运公务用枪配备单位</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1.法律《中华人民共和国枪支管理法》（中华人民共和国主席令第23号）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 2.公共安全行业标准：《枪支（弹药）库室风险等级划分与安全防范要求》（GA1016—2012）。</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100%</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1次/半年</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1.配枪单位基本情况；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2.枪支（弹药）库室和监控中心的管理制度；</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3.枪支（弹药）库室双人双锁管理制度；</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4.枪弹领取审批登记制度；</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5.枪支（弹药）库室安全风险的应急处置预案；</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6.枪支（弹药）领取（退还）管理台账</w:t>
            </w:r>
            <w:bookmarkStart w:id="0" w:name="_GoBack"/>
            <w:bookmarkEnd w:id="0"/>
            <w:r>
              <w:rPr>
                <w:rFonts w:hint="eastAsia" w:asciiTheme="minorEastAsia" w:hAnsiTheme="minorEastAsia" w:eastAsiaTheme="minorEastAsia" w:cstheme="minorEastAsia"/>
                <w:i w:val="0"/>
                <w:color w:val="auto"/>
                <w:kern w:val="0"/>
                <w:sz w:val="18"/>
                <w:szCs w:val="18"/>
                <w:u w:val="none"/>
                <w:lang w:val="en-US" w:eastAsia="zh-CN" w:bidi="ar"/>
              </w:rPr>
              <w:t>；</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7.枪支（弹药）库室的安全防范系统定期开展维护检查情况；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8.人防、物防、技防等“三防”措施运行状况。</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爆破作业单位监督检查</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《民用爆炸物品安全管理条例》（国务院令第653号）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    《爆破作业单位资质条件和管理要求》（GA990-2012）</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营业性、非营业性爆破作业单位</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1.《民用爆炸物品安全管理条例》（国务院令第653号）。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2.国家标准：《爆破安全规程》。</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公共安全行业标准：《爆破作业单位资质条件和管理要求》（GA990-2012）；《爆破作业项目管理要求》（GA991-2012）；《小型民用爆炸物品储存库安全规范》（GA838—2009）；《民用爆炸物品储存库治安防范要求》（GA838—2009）。</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50%</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1次/半年</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1.爆破作业单位落实安全管理、岗位责任制度情况；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2.民用爆炸物品发放、领用、清退等流向登记管理情况；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3.民用爆炸物品储存库人防、物防、技防、犬防等治安防范措施落实情况；                             4.爆破作业执行标准、规范情况。</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cstheme="minorEastAsia"/>
                <w:i w:val="0"/>
                <w:color w:val="000000"/>
                <w:kern w:val="0"/>
                <w:sz w:val="18"/>
                <w:szCs w:val="18"/>
                <w:u w:val="none"/>
                <w:lang w:val="en-US" w:eastAsia="zh-CN" w:bidi="ar"/>
              </w:rPr>
              <w:t>4</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民用爆炸物品经营单位监督检查</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《民用爆炸物品安全管理条例》（国务院令第653号）</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民用爆炸物品销售单位</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 《民用爆炸物品安全管理条例》（国务院令第653号）。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2.国家标准：《民用爆破器材工程设计安全规范》。</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3.公共安全行业标准：《民用爆炸物品警示标识、登记标识通则》（GA921—2010）</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4.《民用爆炸物品储存库治安防范要求》（GA838—2009）。</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50%</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1次/半年</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1.民用爆炸物品警示、登记标识落实情况；                        2.民用爆炸物品流向登记情况；   3.民用爆炸物品储存库人防、物防、技防、犬防等治安防范措施落实情况。</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cstheme="minorEastAsia"/>
                <w:i w:val="0"/>
                <w:color w:val="000000"/>
                <w:kern w:val="0"/>
                <w:sz w:val="18"/>
                <w:szCs w:val="18"/>
                <w:u w:val="none"/>
                <w:lang w:val="en-US" w:eastAsia="zh-CN" w:bidi="ar"/>
              </w:rPr>
              <w:t>5</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特种行业监督检查</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w:t>
            </w:r>
            <w:r>
              <w:rPr>
                <w:rFonts w:hint="eastAsia" w:asciiTheme="minorEastAsia" w:hAnsiTheme="minorEastAsia" w:eastAsiaTheme="minorEastAsia" w:cstheme="minorEastAsia"/>
                <w:i w:val="0"/>
                <w:color w:val="auto"/>
                <w:kern w:val="0"/>
                <w:sz w:val="15"/>
                <w:szCs w:val="15"/>
                <w:u w:val="none"/>
                <w:lang w:val="en-US" w:eastAsia="zh-CN" w:bidi="ar"/>
              </w:rPr>
              <w:t xml:space="preserve">  《企业事业单位内部治安保卫条例》（国务院令第421号）</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《旅馆业治安管理办法》（国务院令第588号）</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《废旧金属收购业治安管理办法》（公安部令第16号）</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《再生资源回收管理办法》（中华人民共和国商务部令2007年第８号）</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《娱乐场所治安管理办法》（公安部令第103号）</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《印章治安管理办法》</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《云南省废旧金属收购治安管理条例》（２００９年７月３０日云南省第十一届人民代表大会常务委员会第十二次会议通过）</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 xml:space="preserve">    《云南省旅馆业治安管理实施细则》（2004年6月16日云南省人民政府令第127号公布）</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全县特种行业</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1.《企业事业单位内部治安保卫条例》（国务院令第421号）、《旅馆业治安管理办法》（国务院令第588号）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2.《废旧金属收购业治安管理办法》（公安部令第16号）、《再生资源回收管理办法》（中华人民共和国商务部令2007年第８号）、《娱乐场所治安管理办法》（公安部令第103号）、《印章治安管理办法》</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3.《云南省废旧金属收购治安管理条例》（２００９年７月３０日云南省第十一届人民代表大会常务委员会第十二次会议通过）</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4.《云南省旅馆业治安管理实施细则》（2004年6月16日云南省人民政府令第127号公布）</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每季度在全州范围内开展明察暗访工作，旅店10家，歌舞娱乐场所5家，电子游戏室5家，洗浴场所5家</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4次/年</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1.开业、变更后是否按规定到公安机关备案；</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2.法定代表人或者主要负责人履行治安、安全责任情况；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3.设施、设备是否符合治安、安全防范有关规定及标准；</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4.治安、安全防范制度、措施建立和落实情况；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5.治安管理信息系统建设和应用情况；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6.旅馆业执行住宿登记规定情况；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7.是否存在违法犯罪情况；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8.其他需要检查的事项。</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9"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cstheme="minorEastAsia"/>
                <w:i w:val="0"/>
                <w:color w:val="000000"/>
                <w:kern w:val="0"/>
                <w:sz w:val="18"/>
                <w:szCs w:val="18"/>
                <w:u w:val="none"/>
                <w:lang w:val="en-US" w:eastAsia="zh-CN" w:bidi="ar"/>
              </w:rPr>
              <w:t>6</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保安服务监督检查</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《保安服务管理条例》（中华人民共和国国务院令第564号）</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    《公安机关实施保安服务管理条例办法》（中华人民共和国公安部令第112号）</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保安服务公司</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1.《保安服务管理条例》（中华人民共和国国务院令第564号）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2.《公安机关实施保安服务管理条例办法》（中华人民共和国公安部令第112号）      </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100%</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1次/半年</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top"/>
          </w:tcPr>
          <w:p>
            <w:pPr>
              <w:keepNext w:val="0"/>
              <w:keepLines w:val="0"/>
              <w:widowControl/>
              <w:suppressLineNumbers w:val="0"/>
              <w:spacing w:before="0" w:beforeAutospacing="0" w:after="0" w:afterAutospacing="0"/>
              <w:ind w:left="0" w:leftChars="0" w:right="0" w:rightChars="0"/>
              <w:jc w:val="left"/>
              <w:textAlignment w:val="top"/>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1.保安服务公司基本情况。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2.设立分公司和跨省、自治区、直辖市开展保安服务经营活动情况。3.保安服务合同和监控影像资料、报警记录留存制度落实情况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4.保安服务中涉及的安全技术防范产品 、设备安装、变更、使用情况。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5 .保安服务管理制度、岗位责任制度、保安员管理制度和紧急情况应急 预案建立落实情况。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6.从事武装守护押运服务的保安服务公司公务用枪安全管理制度和保管设施建设情况。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7.保安员及其服装、保安服务标志与装备管理情况。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8.保安员在岗培训和权益保障工作落实情况。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9.被投诉举报事项纠正情况。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10.其他需要检查的事项。</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9" w:hRule="atLeast"/>
          <w:jc w:val="center"/>
        </w:trPr>
        <w:tc>
          <w:tcPr>
            <w:tcW w:w="6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cstheme="minorEastAsia"/>
                <w:i w:val="0"/>
                <w:color w:val="000000"/>
                <w:kern w:val="0"/>
                <w:sz w:val="18"/>
                <w:szCs w:val="18"/>
                <w:u w:val="none"/>
                <w:lang w:val="en-US" w:eastAsia="zh-CN" w:bidi="ar"/>
              </w:rPr>
              <w:t>7</w:t>
            </w:r>
          </w:p>
        </w:tc>
        <w:tc>
          <w:tcPr>
            <w:tcW w:w="71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自行招用保安员监督检查</w:t>
            </w:r>
          </w:p>
        </w:tc>
        <w:tc>
          <w:tcPr>
            <w:tcW w:w="158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《保安服务管理条例》（中华人民共和国国务院令第564号）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    《公安机关实施保安服务管理条例办法》（中华人民共和国公安部令第112号）</w:t>
            </w:r>
          </w:p>
        </w:tc>
        <w:tc>
          <w:tcPr>
            <w:tcW w:w="1124"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盈江县公安局</w:t>
            </w:r>
          </w:p>
        </w:tc>
        <w:tc>
          <w:tcPr>
            <w:tcW w:w="109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自行招用保安员单位（全县机关、团体、企事业单位、物业服务企业）</w:t>
            </w:r>
          </w:p>
        </w:tc>
        <w:tc>
          <w:tcPr>
            <w:tcW w:w="2401"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1.《保安服务管理条例》（中华人民共和国国务院令第564号）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2.《公安机关实施保安服务管理条例办法》（中华人民共和国公安部令第112号）      </w:t>
            </w:r>
          </w:p>
        </w:tc>
        <w:tc>
          <w:tcPr>
            <w:tcW w:w="64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4.00%</w:t>
            </w:r>
          </w:p>
        </w:tc>
        <w:tc>
          <w:tcPr>
            <w:tcW w:w="540"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1次/季度</w:t>
            </w:r>
          </w:p>
        </w:tc>
        <w:tc>
          <w:tcPr>
            <w:tcW w:w="825"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现场检查</w:t>
            </w:r>
          </w:p>
        </w:tc>
        <w:tc>
          <w:tcPr>
            <w:tcW w:w="4200" w:type="dxa"/>
            <w:tcBorders>
              <w:tl2br w:val="nil"/>
              <w:tr2bl w:val="nil"/>
            </w:tcBorders>
            <w:shd w:val="clear" w:color="auto" w:fill="FFFFFF"/>
            <w:vAlign w:val="center"/>
          </w:tcPr>
          <w:p>
            <w:pPr>
              <w:keepNext w:val="0"/>
              <w:keepLines w:val="0"/>
              <w:widowControl/>
              <w:numPr>
                <w:ilvl w:val="0"/>
                <w:numId w:val="1"/>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备案情况 ；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2.监控影像资料、报警记录留存制度落实情况 ；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3.保安服务中涉及的安全技术防范产品、设备安装、变更、使用情况；</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4.保安服务管理制度、岗位责任制度、保安员管理制度和紧急情况应急预案建立落实情况；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5.依法配备的公务用枪安全管理制度和保管设施建设情况；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6.自行招用的保安员及其服装、保安服务标志与装备管理情况；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7.保安员在岗培训和权益保障工作落实情况；                </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 xml:space="preserve">8.被投诉举报事项纠正情况；           </w:t>
            </w:r>
          </w:p>
          <w:p>
            <w:pPr>
              <w:keepNext w:val="0"/>
              <w:keepLines w:val="0"/>
              <w:widowControl/>
              <w:numPr>
                <w:ilvl w:val="0"/>
                <w:numId w:val="1"/>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9.其他需要检查的事项。</w:t>
            </w:r>
          </w:p>
        </w:tc>
        <w:tc>
          <w:tcPr>
            <w:tcW w:w="774" w:type="dxa"/>
            <w:tcBorders>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000000"/>
                <w:kern w:val="0"/>
                <w:sz w:val="18"/>
                <w:szCs w:val="18"/>
              </w:rPr>
            </w:pP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A2C5A1-9E74-4232-B4DA-D04DD2E652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27B611E-ADBA-405E-AE16-62024F1E48A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F0A7F"/>
    <w:multiLevelType w:val="singleLevel"/>
    <w:tmpl w:val="A0CF0A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RkMjg1NDllYmUwNjE0YWEzZjdiNjcxZDgwZWVjMjEifQ=="/>
  </w:docVars>
  <w:rsids>
    <w:rsidRoot w:val="00D31D50"/>
    <w:rsid w:val="00323B43"/>
    <w:rsid w:val="003D37D8"/>
    <w:rsid w:val="00426133"/>
    <w:rsid w:val="004358AB"/>
    <w:rsid w:val="008B7726"/>
    <w:rsid w:val="00D31D50"/>
    <w:rsid w:val="12F6533D"/>
    <w:rsid w:val="1D193DC9"/>
    <w:rsid w:val="6190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Administrator.PC-202002181708</dc:creator>
  <cp:lastModifiedBy>黄平</cp:lastModifiedBy>
  <cp:lastPrinted>2020-09-08T02:33:00Z</cp:lastPrinted>
  <dcterms:modified xsi:type="dcterms:W3CDTF">2024-03-21T03:33:37Z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2D5CD5B790294F83B92A9D16793A9281_12</vt:lpwstr>
  </property>
</Properties>
</file>