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default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-1134745</wp:posOffset>
            </wp:positionH>
            <wp:positionV relativeFrom="paragraph">
              <wp:posOffset>-936625</wp:posOffset>
            </wp:positionV>
            <wp:extent cx="7573645" cy="10767695"/>
            <wp:effectExtent l="0" t="0" r="8255" b="14605"/>
            <wp:wrapNone/>
            <wp:docPr id="2" name="图片 2" descr="0c97892dc317218a0b90f5cde33da662_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97892dc317218a0b90f5cde33da662_7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1076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盈江县中医院检验科检查须知</w:t>
      </w:r>
    </w:p>
    <w:p>
      <w:pPr>
        <w:snapToGrid w:val="0"/>
        <w:spacing w:line="5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临床常规检验注意事项</w:t>
      </w:r>
    </w:p>
    <w:p>
      <w:pPr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抽血时间一般为早晨9时前，如就诊前未进餐的患者，为方便您的就诊，仍可抽血。</w:t>
      </w:r>
    </w:p>
    <w:p>
      <w:pPr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为方便上班和上学的患者，检验科早晨7:30开始抽血。</w:t>
      </w:r>
    </w:p>
    <w:p>
      <w:pPr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尿常规检验须留晨尿，以“中段尿”为准。</w:t>
      </w:r>
    </w:p>
    <w:p>
      <w:pPr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门诊患者需查大便、小便常规时，检验科为您备有一次性盛装器皿。</w:t>
      </w:r>
    </w:p>
    <w:p>
      <w:pPr>
        <w:snapToGrid w:val="0"/>
        <w:spacing w:line="50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临床生化检验注意事项</w:t>
      </w:r>
    </w:p>
    <w:p>
      <w:pPr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肝功能受检者，请在抽血前三天保持平时饮食习惯，抽血前十二小时禁食(可饮少量水)，勿作剧烈运动。</w:t>
      </w:r>
    </w:p>
    <w:p>
      <w:pPr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空腹血糖受检者，在抽血前勿进食含糖量高的食物、饮料及输注葡萄糖液体。</w:t>
      </w:r>
    </w:p>
    <w:p>
      <w:pPr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血脂受检者，抽血前二周保持平时饮食习惯，24小时内不饮酒，12小时内禁食(可饮少量水)，勿作剧烈运动。</w:t>
      </w:r>
    </w:p>
    <w:p>
      <w:pPr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临床微生物检验注意事项</w:t>
      </w:r>
    </w:p>
    <w:p>
      <w:pPr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需作细菌培养、药敏检查的患者，以及需涂片染色查抗酸杆菌、淋球菌、霉菌等患者，请到检验科微生物室领取一次性无菌器皿，标本留取具体事项请向微生物室工作人员咨询。</w:t>
      </w: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eastAsia="方正仿宋_GBK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咨询电话：0692-8952900</w:t>
      </w:r>
      <w:bookmarkStart w:id="0" w:name="_GoBack"/>
      <w:bookmarkEnd w:id="0"/>
    </w:p>
    <w:p>
      <w:pPr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spacing w:line="5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ZTk3NmE1MTRlN2UyODI1OTI4ZDM3NjI1ZmRhNzAifQ=="/>
  </w:docVars>
  <w:rsids>
    <w:rsidRoot w:val="00000000"/>
    <w:rsid w:val="1C560B25"/>
    <w:rsid w:val="2FFE36C1"/>
    <w:rsid w:val="6C7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spacing w:after="240" w:line="560" w:lineRule="exact"/>
      <w:jc w:val="center"/>
      <w:outlineLvl w:val="1"/>
    </w:pPr>
    <w:rPr>
      <w:rFonts w:ascii="方正小标宋简体" w:hAnsi="楷体" w:eastAsia="方正小标宋简体"/>
      <w:kern w:val="0"/>
      <w:sz w:val="36"/>
      <w:szCs w:val="36"/>
      <w:shd w:val="clear" w:color="auto" w:fill="FFFFFF"/>
    </w:rPr>
  </w:style>
  <w:style w:type="paragraph" w:styleId="2">
    <w:name w:val="heading 3"/>
    <w:basedOn w:val="1"/>
    <w:next w:val="1"/>
    <w:qFormat/>
    <w:uiPriority w:val="9"/>
    <w:pPr>
      <w:autoSpaceDE w:val="0"/>
      <w:spacing w:line="500" w:lineRule="exact"/>
      <w:jc w:val="center"/>
      <w:outlineLvl w:val="2"/>
    </w:pPr>
    <w:rPr>
      <w:rFonts w:ascii="方正黑体_GBK" w:hAnsi="方正黑体_GBK" w:eastAsia="方正黑体_GBK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2023-11-14T09:09:00Z</dcterms:created>
  <dc:creator>Administrator</dc:creator>
  <cp:lastModifiedBy>（寸待源）13988242178</cp:lastModifiedBy>
  <dcterms:modified xsi:type="dcterms:W3CDTF">2023-11-15T03:18:10Z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61936FB9A33E44F19161A2437C3DE4B0_13</vt:lpwstr>
  </property>
</Properties>
</file>