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20</w:t>
      </w:r>
      <w:r>
        <w:rPr>
          <w:rFonts w:hint="eastAsia" w:eastAsia="方正仿宋_GBK"/>
          <w:sz w:val="32"/>
          <w:szCs w:val="32"/>
        </w:rPr>
        <w:t>〕</w:t>
      </w:r>
      <w:r>
        <w:rPr>
          <w:rFonts w:hint="eastAsia" w:eastAsia="方正仿宋_GBK"/>
          <w:sz w:val="32"/>
          <w:szCs w:val="32"/>
          <w:lang w:val="en-US" w:eastAsia="zh-CN"/>
        </w:rPr>
        <w:t>255</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spacing w:val="1"/>
          <w:w w:val="98"/>
          <w:kern w:val="0"/>
          <w:sz w:val="32"/>
          <w:szCs w:val="32"/>
          <w:fitText w:val="8836" w:id="1395473101"/>
        </w:rPr>
        <w:t>━━━━━━━━━━━━━━━━━━━━━━━━━━━━</w:t>
      </w:r>
    </w:p>
    <w:p>
      <w:pPr>
        <w:spacing w:line="880" w:lineRule="exact"/>
        <w:rPr>
          <w:rFonts w:hint="eastAsia" w:ascii="方正小标宋_GBK" w:eastAsia="方正小标宋_GBK"/>
          <w:sz w:val="84"/>
          <w:szCs w:val="84"/>
        </w:rPr>
      </w:pPr>
    </w:p>
    <w:p>
      <w:pPr>
        <w:tabs>
          <w:tab w:val="left" w:pos="8094"/>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盈江县人民政府关于</w:t>
      </w:r>
    </w:p>
    <w:p>
      <w:pPr>
        <w:tabs>
          <w:tab w:val="left" w:pos="8094"/>
        </w:tabs>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盈江县县城控制性详细规划</w:t>
      </w:r>
    </w:p>
    <w:p>
      <w:pPr>
        <w:tabs>
          <w:tab w:val="left" w:pos="8094"/>
        </w:tabs>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1C026、1C027号部分地块及1C029、</w:t>
      </w:r>
    </w:p>
    <w:p>
      <w:pPr>
        <w:tabs>
          <w:tab w:val="left" w:pos="8094"/>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1C030号地块</w:t>
      </w:r>
      <w:r>
        <w:rPr>
          <w:rFonts w:hint="eastAsia" w:ascii="方正小标宋_GBK" w:eastAsia="方正小标宋_GBK"/>
          <w:sz w:val="44"/>
          <w:szCs w:val="44"/>
        </w:rPr>
        <w:t>用地</w:t>
      </w:r>
      <w:r>
        <w:rPr>
          <w:rFonts w:hint="eastAsia" w:ascii="方正小标宋_GBK" w:eastAsia="方正小标宋_GBK"/>
          <w:sz w:val="44"/>
          <w:szCs w:val="44"/>
          <w:lang w:eastAsia="zh-CN"/>
        </w:rPr>
        <w:t>性质及</w:t>
      </w:r>
      <w:r>
        <w:rPr>
          <w:rFonts w:hint="eastAsia" w:ascii="方正小标宋_GBK" w:eastAsia="方正小标宋_GBK"/>
          <w:sz w:val="44"/>
          <w:szCs w:val="44"/>
        </w:rPr>
        <w:t>指标</w:t>
      </w:r>
      <w:r>
        <w:rPr>
          <w:rFonts w:hint="eastAsia" w:ascii="方正小标宋_GBK" w:eastAsia="方正小标宋_GBK"/>
          <w:sz w:val="44"/>
          <w:szCs w:val="44"/>
          <w:lang w:eastAsia="zh-CN"/>
        </w:rPr>
        <w:t>调整</w:t>
      </w:r>
      <w:r>
        <w:rPr>
          <w:rFonts w:hint="eastAsia" w:ascii="方正小标宋_GBK" w:eastAsia="方正小标宋_GBK"/>
          <w:sz w:val="44"/>
          <w:szCs w:val="44"/>
        </w:rPr>
        <w:t>的批复</w:t>
      </w:r>
    </w:p>
    <w:p>
      <w:pPr>
        <w:tabs>
          <w:tab w:val="left" w:pos="8094"/>
        </w:tabs>
        <w:spacing w:line="320" w:lineRule="exact"/>
        <w:rPr>
          <w:rFonts w:hint="eastAsia" w:ascii="方正小标宋_GBK" w:eastAsia="方正小标宋_GBK"/>
          <w:sz w:val="18"/>
          <w:szCs w:val="18"/>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《盈江县</w:t>
      </w:r>
      <w:r>
        <w:rPr>
          <w:rFonts w:hint="default" w:ascii="Times New Roman" w:hAnsi="Times New Roman" w:eastAsia="方正仿宋_GBK" w:cs="Times New Roman"/>
          <w:spacing w:val="0"/>
          <w:sz w:val="32"/>
          <w:szCs w:val="32"/>
          <w:lang w:eastAsia="zh-CN"/>
        </w:rPr>
        <w:t>自然</w:t>
      </w:r>
      <w:r>
        <w:rPr>
          <w:rFonts w:hint="default" w:ascii="Times New Roman" w:hAnsi="Times New Roman" w:eastAsia="方正仿宋_GBK" w:cs="Times New Roman"/>
          <w:spacing w:val="0"/>
          <w:sz w:val="32"/>
          <w:szCs w:val="32"/>
        </w:rPr>
        <w:t>资源局</w:t>
      </w:r>
      <w:r>
        <w:rPr>
          <w:rFonts w:hint="default" w:ascii="Times New Roman" w:hAnsi="Times New Roman" w:eastAsia="方正仿宋_GBK" w:cs="Times New Roman"/>
          <w:spacing w:val="0"/>
          <w:sz w:val="32"/>
          <w:szCs w:val="32"/>
          <w:lang w:val="en-US" w:eastAsia="zh-CN"/>
        </w:rPr>
        <w:t>关于盈江县县城控制性详细规划1C026、1C027号部分地块及1C029、1C030号地块</w:t>
      </w:r>
      <w:r>
        <w:rPr>
          <w:rFonts w:hint="default" w:ascii="Times New Roman" w:hAnsi="Times New Roman" w:eastAsia="方正仿宋_GBK" w:cs="Times New Roman"/>
          <w:spacing w:val="0"/>
          <w:sz w:val="32"/>
          <w:szCs w:val="32"/>
        </w:rPr>
        <w:t>用地</w:t>
      </w:r>
      <w:r>
        <w:rPr>
          <w:rFonts w:hint="default" w:ascii="Times New Roman" w:hAnsi="Times New Roman" w:eastAsia="方正仿宋_GBK" w:cs="Times New Roman"/>
          <w:spacing w:val="0"/>
          <w:sz w:val="32"/>
          <w:szCs w:val="32"/>
          <w:lang w:eastAsia="zh-CN"/>
        </w:rPr>
        <w:t>性质及</w:t>
      </w:r>
      <w:r>
        <w:rPr>
          <w:rFonts w:hint="default" w:ascii="Times New Roman" w:hAnsi="Times New Roman" w:eastAsia="方正仿宋_GBK" w:cs="Times New Roman"/>
          <w:spacing w:val="0"/>
          <w:sz w:val="32"/>
          <w:szCs w:val="32"/>
        </w:rPr>
        <w:t>指标</w:t>
      </w:r>
      <w:r>
        <w:rPr>
          <w:rFonts w:hint="default" w:ascii="Times New Roman" w:hAnsi="Times New Roman" w:eastAsia="方正仿宋_GBK" w:cs="Times New Roman"/>
          <w:spacing w:val="0"/>
          <w:sz w:val="32"/>
          <w:szCs w:val="32"/>
          <w:lang w:eastAsia="zh-CN"/>
        </w:rPr>
        <w:t>调整</w:t>
      </w:r>
      <w:r>
        <w:rPr>
          <w:rFonts w:hint="default" w:ascii="Times New Roman" w:hAnsi="Times New Roman" w:eastAsia="方正仿宋_GBK" w:cs="Times New Roman"/>
          <w:spacing w:val="0"/>
          <w:sz w:val="32"/>
          <w:szCs w:val="32"/>
        </w:rPr>
        <w:t>的请示》（盈</w:t>
      </w:r>
      <w:r>
        <w:rPr>
          <w:rFonts w:hint="default" w:ascii="Times New Roman" w:hAnsi="Times New Roman" w:eastAsia="方正仿宋_GBK" w:cs="Times New Roman"/>
          <w:spacing w:val="0"/>
          <w:sz w:val="32"/>
          <w:szCs w:val="32"/>
          <w:lang w:eastAsia="zh-CN"/>
        </w:rPr>
        <w:t>自然</w:t>
      </w:r>
      <w:r>
        <w:rPr>
          <w:rFonts w:hint="default" w:ascii="Times New Roman" w:hAnsi="Times New Roman" w:eastAsia="方正仿宋_GBK" w:cs="Times New Roman"/>
          <w:spacing w:val="0"/>
          <w:sz w:val="32"/>
          <w:szCs w:val="32"/>
        </w:rPr>
        <w:t>资请〔20</w:t>
      </w:r>
      <w:r>
        <w:rPr>
          <w:rFonts w:hint="default"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24</w:t>
      </w:r>
      <w:r>
        <w:rPr>
          <w:rFonts w:hint="eastAsia"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号）收悉。经</w:t>
      </w:r>
      <w:r>
        <w:rPr>
          <w:rFonts w:hint="default" w:ascii="Times New Roman" w:hAnsi="Times New Roman" w:eastAsia="方正仿宋_GBK" w:cs="Times New Roman"/>
          <w:spacing w:val="0"/>
          <w:sz w:val="32"/>
          <w:szCs w:val="32"/>
          <w:lang w:eastAsia="zh-CN"/>
        </w:rPr>
        <w:t>县人民政府</w:t>
      </w:r>
      <w:r>
        <w:rPr>
          <w:rFonts w:hint="default" w:ascii="Times New Roman" w:hAnsi="Times New Roman" w:eastAsia="方正仿宋_GBK" w:cs="Times New Roman"/>
          <w:spacing w:val="0"/>
          <w:sz w:val="32"/>
          <w:szCs w:val="32"/>
        </w:rPr>
        <w:t>研究，现批复如下：</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根据《中华人民共和国城乡规划法》</w:t>
      </w:r>
      <w:r>
        <w:rPr>
          <w:rFonts w:hint="default" w:ascii="Times New Roman" w:hAnsi="Times New Roman" w:eastAsia="方正仿宋_GBK" w:cs="Times New Roman"/>
          <w:spacing w:val="0"/>
          <w:sz w:val="32"/>
          <w:szCs w:val="32"/>
          <w:lang w:val="en-US" w:eastAsia="zh-CN"/>
        </w:rPr>
        <w:t>等相关规定，同意</w:t>
      </w:r>
      <w:r>
        <w:rPr>
          <w:rFonts w:hint="eastAsia" w:eastAsia="方正仿宋_GBK" w:cs="Times New Roman"/>
          <w:spacing w:val="0"/>
          <w:sz w:val="32"/>
          <w:szCs w:val="32"/>
          <w:lang w:val="en-US" w:eastAsia="zh-CN"/>
        </w:rPr>
        <w:t>对</w:t>
      </w:r>
      <w:r>
        <w:rPr>
          <w:rFonts w:hint="default" w:ascii="Times New Roman" w:hAnsi="Times New Roman" w:eastAsia="方正仿宋_GBK" w:cs="Times New Roman"/>
          <w:spacing w:val="0"/>
          <w:sz w:val="32"/>
          <w:szCs w:val="32"/>
          <w:lang w:val="en-US" w:eastAsia="zh-CN"/>
        </w:rPr>
        <w:t>盈江县县城控制性详细规划内编号为1C026、1C027号部分地块及</w:t>
      </w:r>
      <w:r>
        <w:rPr>
          <w:sz w:val="32"/>
        </w:rPr>
        <w:pict>
          <v:rect id="KGD_5FDC699A$01$29$00013" o:spid="_x0000_s1170" o:spt="1" alt="3VOYrYPBAc8+u9M9hqzIe3rbEOMEGDWTxPlTpDKej94LseElxjjXEJgY1z0cEBzYrlhKqLZx0+91u2Enz0cYe5v9tpXQXZn45L05nhg65jiEMra7IFrre94S95uXqvADB1uWQMjJepw3ih1tBDBbm54YTu8t3k117U8irDs2WB11JjVtu66UvybVC3ndvDYWifzQ935pQL+0b/NLFiEPZup76QGOR52AIof0F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vFYHZESbWWw1ca3lAQPmKEjaHp4lLc44ju6zIDpxvt4t11BULDL5TSPJQ5JmkHpBQIvlSTPkSpSFYiWlt5Hlg4nWQ29vpyxlLsKyrrB2epuk3U87VNpqDA7YYB4LFSJN8oNrZ5Goi6rMnsS8kD3BZPjvKHZ8nMggAg/Ztrwhy8oGP9Kzs9uPV9BQWUZ2OLsCCPNLiUlaH3bm5z6vcNa2moPrceUjQx5ojQWsRIdNopfm5nIAKoONPIWzicYetO/c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722752;mso-width-relative:page;mso-height-relative:page;" fillcolor="#FFFFFF" filled="t" stroked="t" coordsize="21600,21600">
            <v:path/>
            <v:fill on="t" focussize="0,0"/>
            <v:stroke color="#000000"/>
            <v:imagedata o:title=""/>
            <o:lock v:ext="edit" aspectratio="f"/>
          </v:rect>
        </w:pict>
      </w:r>
      <w:r>
        <w:rPr>
          <w:sz w:val="32"/>
        </w:rPr>
        <w:pict>
          <v:rect id="KGD_5FDC699A$01$29$00012" o:spid="_x0000_s1169"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kLHMq5JbMePpFBXKZB6t4q8L4smJ0A93/rmiT+y9xld5ry78DE6TvMJEaqPEMYlpqdO/3TVvDZMILgnqqu9uTh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ucMgYez8w8+MHDg2GY6VhR7SAdi" style="position:absolute;left:0pt;margin-left:-86.55pt;margin-top:-94.9pt;height:5pt;width:5pt;visibility:hidden;z-index:251721728;mso-width-relative:page;mso-height-relative:page;" fillcolor="#FFFFFF" filled="t" stroked="t" coordsize="21600,21600">
            <v:path/>
            <v:fill on="t" focussize="0,0"/>
            <v:stroke color="#000000"/>
            <v:imagedata o:title=""/>
            <o:lock v:ext="edit" aspectratio="f"/>
          </v:rect>
        </w:pict>
      </w:r>
      <w:r>
        <w:rPr>
          <w:sz w:val="32"/>
        </w:rPr>
        <w:pict>
          <v:rect id="KGD_5FDC699A$01$29$00011" o:spid="_x0000_s1168" o:spt="1" alt="nwkOiId/bBbOAe61rgYT4vXM3UaFFF0tl2W9B2ekj1Z7kYnHXrUHbs1gN35c90qv1dFCvlHStAmYbMdID96Ut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9zjfqyjxhS9sljIICr8z5aBK7zBgN0YAfOrSN+Z2be4E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20704;mso-width-relative:page;mso-height-relative:page;" fillcolor="#FFFFFF" filled="t" stroked="t" coordsize="21600,21600">
            <v:path/>
            <v:fill on="t" focussize="0,0"/>
            <v:stroke color="#000000"/>
            <v:imagedata o:title=""/>
            <o:lock v:ext="edit" aspectratio="f"/>
          </v:rect>
        </w:pict>
      </w:r>
      <w:r>
        <w:rPr>
          <w:sz w:val="32"/>
        </w:rPr>
        <w:pict>
          <v:rect id="KGD_KG_Seal_151" o:spid="_x0000_s116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6.55pt;margin-top:-94.9pt;height:5pt;width:5pt;visibility:hidden;z-index:251719680;mso-width-relative:page;mso-height-relative:page;" fillcolor="#FFFFFF" filled="t" stroked="t" coordsize="21600,21600">
            <v:path/>
            <v:fill on="t" focussize="0,0"/>
            <v:stroke color="#000000"/>
            <v:imagedata o:title=""/>
            <o:lock v:ext="edit" aspectratio="f"/>
          </v:rect>
        </w:pict>
      </w:r>
      <w:r>
        <w:rPr>
          <w:sz w:val="32"/>
        </w:rPr>
        <w:pict>
          <v:rect id="KGD_KG_Seal_150" o:spid="_x0000_s116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8656;mso-width-relative:page;mso-height-relative:page;" fillcolor="#FFFFFF" filled="t" stroked="t" coordsize="21600,21600">
            <v:path/>
            <v:fill on="t" focussize="0,0"/>
            <v:stroke color="#000000"/>
            <v:imagedata o:title=""/>
            <o:lock v:ext="edit" aspectratio="f"/>
          </v:rect>
        </w:pict>
      </w:r>
      <w:r>
        <w:rPr>
          <w:sz w:val="32"/>
        </w:rPr>
        <w:pict>
          <v:rect id="KGD_KG_Seal_149" o:spid="_x0000_s1165"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7632;mso-width-relative:page;mso-height-relative:page;" fillcolor="#FFFFFF" filled="t" stroked="t" coordsize="21600,21600">
            <v:path/>
            <v:fill on="t" focussize="0,0"/>
            <v:stroke color="#000000"/>
            <v:imagedata o:title=""/>
            <o:lock v:ext="edit" aspectratio="f"/>
          </v:rect>
        </w:pict>
      </w:r>
      <w:r>
        <w:rPr>
          <w:sz w:val="32"/>
        </w:rPr>
        <w:pict>
          <v:rect id="KGD_KG_Seal_148" o:spid="_x0000_s1164"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6.55pt;margin-top:-94.9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KG_Seal_147" o:spid="_x0000_s1163"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6.55pt;margin-top:-94.9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KG_Seal_146" o:spid="_x0000_s1162"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6.55pt;margin-top:-94.9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45" o:spid="_x0000_s1161"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6.55pt;margin-top:-94.9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44" o:spid="_x0000_s1160"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6.55pt;margin-top:-94.9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43" o:spid="_x0000_s1159"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6.55pt;margin-top:-94.9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42" o:spid="_x0000_s1158"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6.55pt;margin-top:-94.9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1" o:spid="_x0000_s1157"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6.55pt;margin-top:-94.9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0" o:spid="_x0000_s115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6.55pt;margin-top:-94.9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39" o:spid="_x0000_s1155"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6.55pt;margin-top:-94.9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38" o:spid="_x0000_s1154"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6.55pt;margin-top:-94.9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37" o:spid="_x0000_s1153"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6.55pt;margin-top:-94.9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36" o:spid="_x0000_s1152"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6.55pt;margin-top:-94.9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35" o:spid="_x0000_s1151"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6.55pt;margin-top:-94.9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34" o:spid="_x0000_s1150"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6.55pt;margin-top:-94.9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33" o:spid="_x0000_s1149"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6.55pt;margin-top:-94.9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32" o:spid="_x0000_s1148"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6.55pt;margin-top:-94.9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1" o:spid="_x0000_s1147"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6.55pt;margin-top:-94.9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0" o:spid="_x0000_s114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6.55pt;margin-top:-94.9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29" o:spid="_x0000_s1145"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6.55pt;margin-top:-94.9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28" o:spid="_x0000_s1144"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6.55pt;margin-top:-94.9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27" o:spid="_x0000_s1143"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26" o:spid="_x0000_s1142"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25" o:spid="_x0000_s1141"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24" o:spid="_x0000_s1140"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23" o:spid="_x0000_s1139"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22" o:spid="_x0000_s1138"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1" o:spid="_x0000_s1137"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0" o:spid="_x0000_s113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19" o:spid="_x0000_s1135"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18" o:spid="_x0000_s1134"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17" o:spid="_x0000_s1133"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16" o:spid="_x0000_s1132"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15" o:spid="_x0000_s1131"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14" o:spid="_x0000_s1130"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13" o:spid="_x0000_s1129"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12" o:spid="_x0000_s1128"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1" o:spid="_x0000_s1127"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0" o:spid="_x0000_s11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9" o:spid="_x0000_s112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8" o:spid="_x0000_s1124"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7" o:spid="_x0000_s1123"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Gobal1" o:spid="_x0000_s1122" o:spt="1" alt="lskY7P30+39SSS2ze3CC/KIuFG8Y1vK7SZoVGqb751Sz8uimYxbbIsFcRwlDwhDf/5YX/j9AGr30XAigatwdSzFEAnUgqy0wt5zoCuNYnOyACdSwonuhrFt4MFTr18xjVkj7pA1Jzt6OScBGAJ3OmlPVNAtxdFIUS/Ug8oaWdx39z8xE8QneWcRFKnvq0EUzy+23HcnhIDHpQUkj1/TwqmWY7LDPoV+Rybttg73aLZO9WZEyXRTk+Y9qEul2SPaz+xkRex7S15vADjR4ZngVuqOUwfpEW9vzOTWYR/qYDrcJKZpXbt20MRQ87WSodZLLqnrz0yNSNs4bUtlgOFlWU05wKL33+Nth1ZjgWGa71x4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Dqecopg98AzwlE8aCPcg+Nw303OmaQi0o8ulqPKK97ktfK0C8GAUCM0JT6F8ZjuUDW4aBH3WBdrkCpd3aWaVwLlBGEhlJCqrtu7CYsbxiRBjr3DXQf+Fdqd6vQbwPJPCQJkBcMAxoa9a9Na9FiVFlB8grOmFeVwCal1reOEHFcDnb4MgCLNstj/UPPIdSiH0o1BNIpBDfp0mvTJMcls1xw=="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rFonts w:hint="default" w:ascii="Times New Roman" w:hAnsi="Times New Roman" w:eastAsia="方正仿宋_GBK" w:cs="Times New Roman"/>
          <w:spacing w:val="0"/>
          <w:sz w:val="32"/>
          <w:szCs w:val="32"/>
          <w:lang w:val="en-US" w:eastAsia="zh-CN"/>
        </w:rPr>
        <w:t>1C029、1C030号地块（胡安座、王再参、何成相用地）用地性质及指标进行规划调整，</w:t>
      </w:r>
      <w:r>
        <w:rPr>
          <w:rFonts w:hint="default" w:ascii="Times New Roman" w:hAnsi="Times New Roman" w:eastAsia="方正仿宋_GBK" w:cs="Times New Roman"/>
          <w:b/>
          <w:bCs/>
          <w:spacing w:val="0"/>
          <w:sz w:val="32"/>
          <w:szCs w:val="32"/>
          <w:lang w:val="en-US" w:eastAsia="zh-CN"/>
        </w:rPr>
        <w:pict>
          <v:rect id="KGD_5FD72EE9$01$29$00013" o:spid="_x0000_s1110" o:spt="1" alt="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5FD72EE9$01$29$00012" o:spid="_x0000_s1111" o:spt="1" alt="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"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5FD72EE9$01$29$00011" o:spid="_x0000_s1112" o:spt="1" alt="nwkOiId/bBbOAe61rgYT4vXM3UaFFF0tl2W9B2ekj1Z7kYnHXrUHbs1gN35c90qvCsNkfA5U3KavPGigQ+079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Cyyj6E9fS5Y2fJSEKOo1SLq3NO1Bi19jAH+A6ATywlnVYrgL51lQKKGtkWTagBQsTjuNtLbmJVb5UvJEqkbpUkYxji7VQ62o1I3519R4yNE04dX5m+vMR9DLwwbHiv9YvuuvbBp99G4dnY1ik0Rxzzfw4qaGbD9/CtNrJOapMlAKz9lv7IA1OQAyjTOs4+TEU8CH6eTe7Mn9cEEp0rruOELgRZXSzWp4la8leb2o/rJowqHwjfd+vq1ocDQlNur1JAhgZF9eW+BXQrIL/NmuaBwM3U4E4PCKxg9ogIf+If6qkXyYLDaMb5RVT3sFfBD5iKM8YU4gtB8HzhZ0lf6MeAhcZ/uhJiaF2jB7R2QeaXurysiQgfdv7EW53S0w8QId5m1k1mgUeKoS/d5pIlCsIiQPTPwBQyGp0P4hOdz40Ic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6" o:spid="_x0000_s1113"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9504;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5" o:spid="_x0000_s1114"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9.4pt;margin-top:-94.9pt;height:5pt;width:5pt;visibility:hidden;z-index:251668480;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4" o:spid="_x0000_s1115"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9.4pt;margin-top:-94.9pt;height:5pt;width:5pt;visibility:hidden;z-index:251667456;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3" o:spid="_x0000_s111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9.4pt;margin-top:-94.9pt;height:5pt;width:5pt;visibility:hidden;z-index:251666432;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2" o:spid="_x0000_s1117"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5408;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pacing w:val="0"/>
          <w:sz w:val="32"/>
          <w:szCs w:val="32"/>
          <w:lang w:val="en-US" w:eastAsia="zh-CN"/>
        </w:rPr>
        <w:pict>
          <v:rect id="KGD_KG_Seal_11" o:spid="_x0000_s1118"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9.4pt;margin-top:-94.9pt;height:5pt;width:5pt;visibility:hidden;z-index:251664384;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eastAsia" w:ascii="Times New Roman" w:hAnsi="Times New Roman" w:eastAsia="方正仿宋_GBK" w:cs="Times New Roman"/>
          <w:b/>
          <w:bCs/>
          <w:spacing w:val="0"/>
          <w:sz w:val="32"/>
          <w:szCs w:val="32"/>
          <w:lang w:val="en-US" w:eastAsia="zh-CN"/>
        </w:rPr>
        <w:t>一是</w:t>
      </w:r>
      <w:r>
        <w:rPr>
          <w:rFonts w:hint="default" w:ascii="Times New Roman" w:hAnsi="Times New Roman" w:eastAsia="方正仿宋_GBK" w:cs="Times New Roman"/>
          <w:spacing w:val="0"/>
          <w:sz w:val="32"/>
          <w:szCs w:val="32"/>
          <w:lang w:val="en-US" w:eastAsia="zh-CN"/>
        </w:rPr>
        <w:t>1C026号部分地块及1C029号地块用地性质由零售商业用地调整为二类居住用地</w:t>
      </w:r>
      <w:r>
        <w:rPr>
          <w:rFonts w:hint="eastAsia" w:ascii="Times New Roman" w:hAnsi="Times New Roman" w:eastAsia="方正仿宋_GBK" w:cs="Times New Roman"/>
          <w:spacing w:val="0"/>
          <w:sz w:val="32"/>
          <w:szCs w:val="32"/>
          <w:lang w:val="en-US" w:eastAsia="zh-CN"/>
        </w:rPr>
        <w:t>；</w:t>
      </w:r>
      <w:r>
        <w:rPr>
          <w:rFonts w:hint="eastAsia" w:eastAsia="方正仿宋_GBK" w:cs="Times New Roman"/>
          <w:b/>
          <w:bCs/>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容积率由≤1.2调整为1.0＜容积率≤1.2；建筑密度由≤30％调整为≤43％；绿地率由≥20％调整为≥30％；建筑限高由≤16米调整为≤18米；停车位：机动车停车位0.8个/100</w:t>
      </w:r>
      <w:r>
        <w:rPr>
          <w:rFonts w:hint="eastAsia" w:eastAsia="方正仿宋_GBK" w:cs="Times New Roman"/>
          <w:spacing w:val="0"/>
          <w:sz w:val="32"/>
          <w:szCs w:val="32"/>
          <w:lang w:val="en-US" w:eastAsia="zh-CN"/>
        </w:rPr>
        <w:t>平方米</w:t>
      </w:r>
      <w:r>
        <w:rPr>
          <w:rFonts w:hint="default" w:ascii="Times New Roman" w:hAnsi="Times New Roman" w:eastAsia="方正仿宋_GBK" w:cs="Times New Roman"/>
          <w:spacing w:val="0"/>
          <w:sz w:val="32"/>
          <w:szCs w:val="32"/>
          <w:lang w:val="en-US" w:eastAsia="zh-CN"/>
        </w:rPr>
        <w:t>建筑面积，非机动车2个/户；其它按照《德宏州城乡规划管理技术规定》要求配建。</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请你</w:t>
      </w:r>
      <w:r>
        <w:rPr>
          <w:rFonts w:hint="eastAsia" w:eastAsia="方正仿宋_GBK" w:cs="Times New Roman"/>
          <w:spacing w:val="0"/>
          <w:sz w:val="32"/>
          <w:szCs w:val="32"/>
          <w:lang w:val="en-US" w:eastAsia="zh-CN"/>
        </w:rPr>
        <w:t>单位</w:t>
      </w:r>
      <w:r>
        <w:rPr>
          <w:rFonts w:hint="default" w:ascii="Times New Roman" w:hAnsi="Times New Roman" w:eastAsia="方正仿宋_GBK" w:cs="Times New Roman"/>
          <w:spacing w:val="0"/>
          <w:sz w:val="32"/>
          <w:szCs w:val="32"/>
        </w:rPr>
        <w:t>接文后，严格按照有关法律、法规和程序要求，积极与有关部门对接，完善相关手续，做好</w:t>
      </w:r>
      <w:r>
        <w:rPr>
          <w:rFonts w:hint="default" w:ascii="Times New Roman" w:hAnsi="Times New Roman" w:eastAsia="方正仿宋_GBK" w:cs="Times New Roman"/>
          <w:spacing w:val="0"/>
          <w:sz w:val="32"/>
          <w:szCs w:val="32"/>
          <w:lang w:val="en-US" w:eastAsia="zh-CN"/>
        </w:rPr>
        <w:t>相关</w:t>
      </w:r>
      <w:r>
        <w:rPr>
          <w:rFonts w:hint="default" w:ascii="Times New Roman" w:hAnsi="Times New Roman" w:eastAsia="方正仿宋_GBK" w:cs="Times New Roman"/>
          <w:spacing w:val="0"/>
          <w:sz w:val="32"/>
          <w:szCs w:val="32"/>
        </w:rPr>
        <w:t>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eastAsia="方正仿宋_GBK" w:cs="Times New Roman"/>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default" w:ascii="Times New Roman" w:hAnsi="Times New Roman" w:eastAsia="方正仿宋_GBK" w:cs="Times New Roman"/>
          <w:spacing w:val="-6"/>
          <w:sz w:val="32"/>
          <w:szCs w:val="32"/>
          <w:lang w:val="en-US" w:eastAsia="zh-CN"/>
        </w:rPr>
      </w:pPr>
      <w:r>
        <w:rPr>
          <w:rFonts w:hint="eastAsia" w:eastAsia="方正仿宋_GBK" w:cs="Times New Roman"/>
          <w:spacing w:val="0"/>
          <w:sz w:val="32"/>
          <w:szCs w:val="32"/>
          <w:lang w:val="en-US" w:eastAsia="zh-CN"/>
        </w:rPr>
        <w:t>附件：</w:t>
      </w:r>
      <w:r>
        <w:rPr>
          <w:rFonts w:hint="default" w:ascii="Times New Roman" w:hAnsi="Times New Roman" w:eastAsia="方正仿宋_GBK" w:cs="Times New Roman"/>
          <w:spacing w:val="-6"/>
          <w:sz w:val="32"/>
          <w:szCs w:val="32"/>
          <w:lang w:val="en-US" w:eastAsia="zh-CN"/>
        </w:rPr>
        <w:t>盈江县自然资源局关于盈江县县城控制性详细规划1C026、1C027号部分地块及1C029、1C030号地块用地性质及指标调整的请示（盈自然资请〔2020〕244号）</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5440" w:firstLineChars="1700"/>
        <w:jc w:val="both"/>
        <w:rPr>
          <w:rFonts w:hint="default" w:ascii="Times New Roman" w:hAnsi="Times New Roman" w:eastAsia="方正仿宋_GBK" w:cs="Times New Roman"/>
          <w:sz w:val="32"/>
          <w:szCs w:val="32"/>
        </w:rPr>
      </w:pPr>
      <w:r>
        <w:rPr>
          <w:sz w:val="32"/>
        </w:rPr>
        <w:pict>
          <v:rect id="KG_Shd_2" o:spid="_x0000_s1121" o:spt="1" style="position:absolute;left:0pt;margin-left:-297.65pt;margin-top:-420.95pt;height:1683.8pt;width:1190.6pt;z-index:251723776;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盈江县人</w:t>
      </w:r>
      <w:r>
        <w:rPr>
          <w:sz w:val="32"/>
        </w:rPr>
        <w:pict>
          <v:shape id="KG_5FDC699A$01$29$0001$N$000200" o:spid="_x0000_s1120" o:spt="75" alt="Seal" type="#_x0000_t75" style="position:absolute;left:0pt;margin-left:347.2pt;margin-top:481.7pt;height:127.55pt;width:127.55pt;mso-position-horizontal-relative:page;mso-position-vertical-relative:page;z-index:-251660288;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民政府</w:t>
      </w:r>
    </w:p>
    <w:p>
      <w:pPr>
        <w:tabs>
          <w:tab w:val="left" w:pos="7526"/>
          <w:tab w:val="left" w:pos="7668"/>
          <w:tab w:val="left" w:pos="7810"/>
        </w:tabs>
        <w:spacing w:line="600" w:lineRule="exact"/>
        <w:ind w:firstLine="5280" w:firstLineChars="16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w:pict>
          <v:line id="_x0000_s1082" o:spid="_x0000_s1082" o:spt="20" style="position:absolute;left:0pt;margin-left:7.1pt;margin-top:3.5pt;height:0pt;width:433.1pt;z-index:251660288;mso-width-relative:page;mso-height-relative:page;" filled="f" coordsize="21600,21600">
            <v:path arrowok="t"/>
            <v:fill on="f" focussize="0,0"/>
            <v:stroke weight="0.99pt"/>
            <v:imagedata o:title=""/>
            <o:lock v:ext="edit"/>
          </v:line>
        </w:pict>
      </w:r>
    </w:p>
    <w:p>
      <w:pPr>
        <w:spacing w:line="360" w:lineRule="exact"/>
        <w:ind w:firstLine="280"/>
        <w:rPr>
          <w:rFonts w:eastAsia="方正仿宋_GBK"/>
          <w:sz w:val="32"/>
          <w:szCs w:val="32"/>
        </w:rPr>
      </w:pPr>
      <w:r>
        <w:rPr>
          <w:rFonts w:eastAsia="方正仿宋_GBK"/>
          <w:sz w:val="32"/>
          <w:szCs w:val="32"/>
        </w:rPr>
        <w:pict>
          <v:line id="_x0000_s1072" o:spid="_x0000_s1072" o:spt="20" style="position:absolute;left:0pt;margin-left:7.1pt;margin-top:27.8pt;height:0pt;width:433.1pt;z-index:251659264;mso-width-relative:page;mso-height-relative:page;" filled="f" coordsize="21600,21600">
            <v:path arrowok="t"/>
            <v:fill on="f" focussize="0,0"/>
            <v:stroke weight="0.99pt"/>
            <v:imagedata o:title=""/>
            <o:lock v:ext="edit"/>
          </v:line>
        </w:pic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20</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18</w:t>
      </w:r>
      <w:r>
        <w:rPr>
          <w:rFonts w:eastAsia="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1"/>
      <w:ind w:right="140"/>
      <w:jc w:val="right"/>
      <w:rPr>
        <w:rStyle w:val="8"/>
        <w:rFonts w:hint="eastAsia"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ThCHmlUuOa3m10qrhNHrJQ2Ragw=" w:salt="HCDA/+dpqLm+htN22gqsTg=="/>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C23C1E54-F3D5-4CBB-8428-A2490F16C8E3}"/>
    <w:docVar w:name="DocumentName" w:val="盈政复〔2020〕 255号  盈江县人民政府关于盈江县县城控制性详细规划1C026、1C027号部分地块及1C029、1C030号地块用地性质及指标调整的批复"/>
  </w:docVars>
  <w:rsids>
    <w:rsidRoot w:val="6C40569D"/>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E4D455C"/>
    <w:rsid w:val="17550C32"/>
    <w:rsid w:val="278A5DAD"/>
    <w:rsid w:val="3D7A242B"/>
    <w:rsid w:val="3FEA0287"/>
    <w:rsid w:val="48C4310C"/>
    <w:rsid w:val="52E31EB6"/>
    <w:rsid w:val="53877E05"/>
    <w:rsid w:val="55443A85"/>
    <w:rsid w:val="565D670C"/>
    <w:rsid w:val="609E7AB0"/>
    <w:rsid w:val="648A172E"/>
    <w:rsid w:val="6C40569D"/>
    <w:rsid w:val="6D9D509C"/>
    <w:rsid w:val="755C4ED0"/>
    <w:rsid w:val="79F04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8&#24180;&#65288;&#26368;&#26032;&#65289;&#25991;&#20214;&#27169;&#26495;\&#30408;&#25919;&#2279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21"/>
    <customShpInfo spid="_x0000_s1120"/>
    <customShpInfo spid="_x0000_s1082"/>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盈政复.wpt</Template>
  <Company>德宏州盈江县党政机关单位</Company>
  <Pages>2</Pages>
  <Words>127</Words>
  <Characters>158</Characters>
  <Lines>2</Lines>
  <Paragraphs>1</Paragraphs>
  <TotalTime>0</TotalTime>
  <ScaleCrop>false</ScaleCrop>
  <LinksUpToDate>false</LinksUpToDate>
  <CharactersWithSpaces>263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2020-03-05T08:23:00Z</dcterms:created>
  <dc:creator>盈江人民政府办收发员</dc:creator>
  <cp:lastModifiedBy>盈江人民政府办收发员</cp:lastModifiedBy>
  <cp:lastPrinted>2020-12-18T08:24:00Z</cp:lastPrinted>
  <dcterms:modified xsi:type="dcterms:W3CDTF">2020-12-18T08:34:51Z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