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color w:val="auto"/>
        </w:rPr>
      </w:pPr>
    </w:p>
    <w:p>
      <w:pPr>
        <w:jc w:val="center"/>
        <w:rPr>
          <w:color w:val="auto"/>
        </w:rPr>
      </w:pPr>
      <w:r>
        <w:rPr>
          <w:rFonts w:hint="eastAsia" w:ascii="微软雅黑" w:hAnsi="微软雅黑" w:eastAsia="微软雅黑"/>
          <w:b/>
          <w:bCs/>
          <w:color w:val="auto"/>
          <w:sz w:val="40"/>
          <w:szCs w:val="40"/>
          <w:u w:val="none"/>
          <w:lang w:val="en-US" w:eastAsia="zh-CN"/>
        </w:rPr>
        <w:t>盈江县城1E081部分地块控规调整论证报告</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both"/>
        <w:rPr>
          <w:rFonts w:hint="eastAsia" w:ascii="微软雅黑" w:hAnsi="微软雅黑" w:eastAsia="微软雅黑"/>
          <w:b/>
          <w:bCs/>
          <w:color w:val="auto"/>
          <w:sz w:val="40"/>
          <w:szCs w:val="40"/>
          <w:u w:val="none"/>
          <w:lang w:val="en-US" w:eastAsia="zh-CN"/>
        </w:rPr>
      </w:pPr>
    </w:p>
    <w:p>
      <w:pPr>
        <w:jc w:val="both"/>
        <w:rPr>
          <w:rFonts w:hint="eastAsia" w:ascii="微软雅黑" w:hAnsi="微软雅黑" w:eastAsia="微软雅黑"/>
          <w:b/>
          <w:bCs/>
          <w:color w:val="auto"/>
          <w:sz w:val="40"/>
          <w:szCs w:val="40"/>
          <w:u w:val="none"/>
          <w:lang w:val="en-US" w:eastAsia="zh-CN"/>
        </w:rPr>
      </w:pPr>
    </w:p>
    <w:p>
      <w:pPr>
        <w:jc w:val="both"/>
        <w:rPr>
          <w:rFonts w:hint="eastAsia" w:ascii="微软雅黑" w:hAnsi="微软雅黑" w:eastAsia="微软雅黑"/>
          <w:b/>
          <w:bCs/>
          <w:color w:val="auto"/>
          <w:sz w:val="40"/>
          <w:szCs w:val="40"/>
          <w:u w:val="none"/>
          <w:lang w:val="en-US" w:eastAsia="zh-CN"/>
        </w:rPr>
      </w:pPr>
    </w:p>
    <w:p>
      <w:pPr>
        <w:jc w:val="center"/>
        <w:rPr>
          <w:rFonts w:hint="eastAsia" w:ascii="微软雅黑" w:hAnsi="微软雅黑" w:eastAsia="微软雅黑"/>
          <w:b/>
          <w:bCs/>
          <w:color w:val="auto"/>
          <w:sz w:val="40"/>
          <w:szCs w:val="40"/>
          <w:u w:val="none"/>
          <w:lang w:val="en-US" w:eastAsia="zh-CN"/>
        </w:rPr>
      </w:pPr>
    </w:p>
    <w:p>
      <w:pPr>
        <w:jc w:val="center"/>
        <w:rPr>
          <w:rFonts w:hint="eastAsia" w:ascii="仿宋" w:hAnsi="仿宋" w:eastAsia="仿宋" w:cs="仿宋"/>
          <w:b w:val="0"/>
          <w:bCs w:val="0"/>
          <w:color w:val="auto"/>
          <w:sz w:val="28"/>
          <w:szCs w:val="28"/>
          <w:u w:val="none"/>
          <w:lang w:val="en-US" w:eastAsia="zh-CN"/>
        </w:rPr>
      </w:pPr>
      <w:r>
        <w:rPr>
          <w:rFonts w:hint="eastAsia" w:ascii="仿宋" w:hAnsi="仿宋" w:eastAsia="仿宋" w:cs="仿宋"/>
          <w:b w:val="0"/>
          <w:bCs w:val="0"/>
          <w:color w:val="auto"/>
          <w:sz w:val="28"/>
          <w:szCs w:val="28"/>
          <w:u w:val="none"/>
          <w:lang w:val="en-US" w:eastAsia="zh-CN"/>
        </w:rPr>
        <w:t>昆明市建筑设计研究院股份有限公司</w:t>
      </w:r>
    </w:p>
    <w:p>
      <w:pPr>
        <w:jc w:val="center"/>
        <w:rPr>
          <w:rFonts w:hint="eastAsia" w:ascii="仿宋" w:hAnsi="仿宋" w:eastAsia="仿宋" w:cs="仿宋"/>
          <w:b w:val="0"/>
          <w:bCs w:val="0"/>
          <w:color w:val="auto"/>
          <w:sz w:val="28"/>
          <w:szCs w:val="28"/>
          <w:u w:val="none"/>
          <w:lang w:val="en-US" w:eastAsia="zh-CN"/>
        </w:rPr>
      </w:pPr>
      <w:r>
        <w:rPr>
          <w:rFonts w:hint="eastAsia" w:ascii="仿宋" w:hAnsi="仿宋" w:eastAsia="仿宋" w:cs="仿宋"/>
          <w:b w:val="0"/>
          <w:bCs w:val="0"/>
          <w:color w:val="auto"/>
          <w:sz w:val="28"/>
          <w:szCs w:val="28"/>
          <w:u w:val="none"/>
          <w:lang w:val="en-US" w:eastAsia="zh-CN"/>
        </w:rPr>
        <w:t>2020年6月</w:t>
      </w:r>
    </w:p>
    <w:p>
      <w:pPr>
        <w:rPr>
          <w:color w:val="auto"/>
        </w:rPr>
      </w:pPr>
    </w:p>
    <w:p>
      <w:pPr>
        <w:rPr>
          <w:color w:val="auto"/>
        </w:rPr>
      </w:pPr>
    </w:p>
    <w:p>
      <w:pPr>
        <w:rPr>
          <w:color w:val="auto"/>
        </w:rPr>
      </w:pPr>
    </w:p>
    <w:p>
      <w:pPr>
        <w:rPr>
          <w:color w:val="auto"/>
        </w:rPr>
      </w:pPr>
    </w:p>
    <w:p>
      <w:pPr>
        <w:rPr>
          <w:color w:val="auto"/>
        </w:rPr>
      </w:pPr>
    </w:p>
    <w:p>
      <w:pPr>
        <w:rPr>
          <w:color w:val="auto"/>
        </w:rPr>
      </w:pPr>
    </w:p>
    <w:p>
      <w:pPr>
        <w:spacing w:before="0" w:beforeLines="0" w:after="0" w:afterLines="0" w:line="240" w:lineRule="auto"/>
        <w:ind w:left="0" w:leftChars="0" w:right="0" w:rightChars="0" w:firstLine="0" w:firstLineChars="0"/>
        <w:jc w:val="both"/>
        <w:rPr>
          <w:rFonts w:ascii="宋体" w:hAnsi="宋体" w:eastAsia="宋体" w:cstheme="minorBidi"/>
          <w:b/>
          <w:bCs/>
          <w:color w:val="auto"/>
          <w:kern w:val="2"/>
          <w:sz w:val="28"/>
          <w:szCs w:val="36"/>
          <w:highlight w:val="none"/>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sectPr>
          <w:pgSz w:w="11906" w:h="16838"/>
          <w:pgMar w:top="1440" w:right="1800" w:bottom="1440" w:left="1800" w:header="851" w:footer="992" w:gutter="0"/>
          <w:pgNumType w:start="1"/>
          <w:cols w:space="425"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4512945" cy="3190875"/>
            <wp:effectExtent l="0" t="0" r="1905" b="9525"/>
            <wp:docPr id="10" name="图片 10" descr="微信图片_2019041209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412094844"/>
                    <pic:cNvPicPr>
                      <a:picLocks noChangeAspect="1"/>
                    </pic:cNvPicPr>
                  </pic:nvPicPr>
                  <pic:blipFill>
                    <a:blip r:embed="rId6"/>
                    <a:stretch>
                      <a:fillRect/>
                    </a:stretch>
                  </pic:blipFill>
                  <pic:spPr>
                    <a:xfrm>
                      <a:off x="0" y="0"/>
                      <a:ext cx="4512945" cy="3190875"/>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3841750" cy="5426710"/>
            <wp:effectExtent l="0" t="0" r="6350" b="2540"/>
            <wp:docPr id="11" name="图片 11" descr="微信图片_2019041209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12094836"/>
                    <pic:cNvPicPr>
                      <a:picLocks noChangeAspect="1"/>
                    </pic:cNvPicPr>
                  </pic:nvPicPr>
                  <pic:blipFill>
                    <a:blip r:embed="rId7"/>
                    <a:stretch>
                      <a:fillRect/>
                    </a:stretch>
                  </pic:blipFill>
                  <pic:spPr>
                    <a:xfrm>
                      <a:off x="0" y="0"/>
                      <a:ext cx="3841750" cy="5426710"/>
                    </a:xfrm>
                    <a:prstGeom prst="rect">
                      <a:avLst/>
                    </a:prstGeom>
                  </pic:spPr>
                </pic:pic>
              </a:graphicData>
            </a:graphic>
          </wp:inline>
        </w:drawing>
      </w:r>
    </w:p>
    <w:p>
      <w:pPr>
        <w:jc w:val="center"/>
        <w:rPr>
          <w:rFonts w:hint="eastAsia" w:ascii="仿宋" w:hAnsi="仿宋" w:eastAsia="仿宋" w:cs="仿宋"/>
          <w:b/>
          <w:color w:val="auto"/>
          <w:sz w:val="30"/>
          <w:szCs w:val="30"/>
          <w:shd w:val="clear" w:color="auto" w:fill="FFFFFF"/>
          <w:lang w:eastAsia="zh-CN"/>
        </w:rPr>
      </w:pPr>
      <w:r>
        <w:rPr>
          <w:rFonts w:hint="eastAsia" w:ascii="仿宋" w:hAnsi="仿宋" w:eastAsia="仿宋" w:cs="仿宋"/>
          <w:b/>
          <w:color w:val="auto"/>
          <w:sz w:val="30"/>
          <w:szCs w:val="30"/>
          <w:shd w:val="clear" w:color="auto" w:fill="FFFFFF"/>
          <w:lang w:eastAsia="zh-CN"/>
        </w:rPr>
        <w:t>项目扉页</w:t>
      </w:r>
    </w:p>
    <w:tbl>
      <w:tblPr>
        <w:tblStyle w:val="9"/>
        <w:tblW w:w="8221"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8"/>
        <w:gridCol w:w="6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b/>
                <w:bCs/>
                <w:color w:val="auto"/>
                <w:kern w:val="0"/>
                <w:sz w:val="24"/>
                <w:szCs w:val="24"/>
                <w:lang w:val="en-US" w:eastAsia="zh-CN"/>
              </w:rPr>
              <w:t>项目名称</w:t>
            </w:r>
          </w:p>
        </w:tc>
        <w:tc>
          <w:tcPr>
            <w:tcW w:w="6123"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盈江县城1E081部分地块控规调整论证报告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工程编号</w:t>
            </w:r>
          </w:p>
        </w:tc>
        <w:tc>
          <w:tcPr>
            <w:tcW w:w="6123" w:type="dxa"/>
            <w:vAlign w:val="top"/>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 </w:t>
            </w:r>
            <w:r>
              <w:rPr>
                <w:rFonts w:hint="eastAsia" w:ascii="仿宋" w:hAnsi="仿宋" w:eastAsia="仿宋" w:cs="仿宋"/>
                <w:color w:val="auto"/>
                <w:kern w:val="0"/>
                <w:sz w:val="24"/>
                <w:szCs w:val="24"/>
                <w:highlight w:val="none"/>
                <w:lang w:val="en-US" w:eastAsia="zh-CN"/>
              </w:rPr>
              <w:t>2020-154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项目类型</w:t>
            </w:r>
          </w:p>
        </w:tc>
        <w:tc>
          <w:tcPr>
            <w:tcW w:w="6123" w:type="dxa"/>
            <w:vAlign w:val="top"/>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其他规划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项目委托单位</w:t>
            </w:r>
          </w:p>
        </w:tc>
        <w:tc>
          <w:tcPr>
            <w:tcW w:w="6123" w:type="dxa"/>
            <w:vAlign w:val="top"/>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default"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rPr>
              <w:t> 赵成光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昆明市建筑设计研究院股份有限公司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编制单位Email</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kad@ynkad.com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编制单位联系电话</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lang w:val="en-US" w:eastAsia="zh-CN"/>
              </w:rPr>
              <w:t>0871-63165915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编制单位证书名称</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城乡规划编制资质证书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资质证书编号</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[建]城规编（141259）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资质证书等级</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法定代表人</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杨宝璋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项目总负责人</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lang w:eastAsia="zh-CN"/>
              </w:rPr>
              <w:t>王丽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专业负责人</w:t>
            </w:r>
          </w:p>
        </w:tc>
        <w:tc>
          <w:tcPr>
            <w:tcW w:w="6123"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规划</w:t>
            </w:r>
            <w:r>
              <w:rPr>
                <w:rFonts w:hint="eastAsia" w:ascii="仿宋" w:hAnsi="仿宋" w:eastAsia="仿宋" w:cs="仿宋"/>
                <w:color w:val="auto"/>
                <w:sz w:val="24"/>
                <w:szCs w:val="24"/>
              </w:rPr>
              <w:t>专业</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lang w:eastAsia="zh-CN"/>
              </w:rPr>
              <w:t>王丽</w:t>
            </w:r>
            <w:r>
              <w:rPr>
                <w:rFonts w:hint="eastAsia" w:ascii="仿宋" w:hAnsi="仿宋" w:eastAsia="仿宋" w:cs="仿宋"/>
                <w:color w:val="auto"/>
                <w:sz w:val="24"/>
                <w:szCs w:val="24"/>
              </w:rPr>
              <w:t xml:space="preserve">  职称：</w:t>
            </w:r>
            <w:r>
              <w:rPr>
                <w:rFonts w:hint="eastAsia" w:ascii="仿宋" w:hAnsi="仿宋" w:eastAsia="仿宋" w:cs="仿宋"/>
                <w:color w:val="auto"/>
                <w:sz w:val="24"/>
                <w:szCs w:val="24"/>
                <w:lang w:eastAsia="zh-CN"/>
              </w:rPr>
              <w:t>工程师</w:t>
            </w:r>
            <w:r>
              <w:rPr>
                <w:rFonts w:hint="eastAsia" w:ascii="仿宋" w:hAnsi="仿宋" w:eastAsia="仿宋" w:cs="仿宋"/>
                <w:color w:val="auto"/>
                <w:sz w:val="24"/>
                <w:szCs w:val="24"/>
              </w:rPr>
              <w:t xml:space="preserve">  注册情况：</w:t>
            </w:r>
            <w:r>
              <w:rPr>
                <w:rFonts w:hint="eastAsia" w:ascii="仿宋" w:hAnsi="仿宋" w:eastAsia="仿宋" w:cs="仿宋"/>
                <w:color w:val="auto"/>
                <w:sz w:val="24"/>
                <w:szCs w:val="24"/>
                <w:lang w:eastAsia="zh-CN"/>
              </w:rPr>
              <w:t>注册城乡规划师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专业技术人员</w:t>
            </w:r>
          </w:p>
        </w:tc>
        <w:tc>
          <w:tcPr>
            <w:tcW w:w="6123"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规划</w:t>
            </w:r>
            <w:r>
              <w:rPr>
                <w:rFonts w:hint="eastAsia" w:ascii="仿宋" w:hAnsi="仿宋" w:eastAsia="仿宋" w:cs="仿宋"/>
                <w:color w:val="auto"/>
                <w:sz w:val="24"/>
                <w:szCs w:val="24"/>
              </w:rPr>
              <w:t>专业</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lang w:eastAsia="zh-CN"/>
              </w:rPr>
              <w:t>任美玲</w:t>
            </w:r>
            <w:r>
              <w:rPr>
                <w:rFonts w:hint="eastAsia" w:ascii="仿宋" w:hAnsi="仿宋" w:eastAsia="仿宋" w:cs="仿宋"/>
                <w:color w:val="auto"/>
                <w:sz w:val="24"/>
                <w:szCs w:val="24"/>
              </w:rPr>
              <w:t xml:space="preserve">   职称：</w:t>
            </w:r>
            <w:r>
              <w:rPr>
                <w:rFonts w:hint="eastAsia" w:ascii="仿宋" w:hAnsi="仿宋" w:eastAsia="仿宋" w:cs="仿宋"/>
                <w:color w:val="auto"/>
                <w:sz w:val="24"/>
                <w:szCs w:val="24"/>
                <w:lang w:eastAsia="zh-CN"/>
              </w:rPr>
              <w:t>工程师</w:t>
            </w:r>
            <w:r>
              <w:rPr>
                <w:rFonts w:hint="eastAsia" w:ascii="仿宋" w:hAnsi="仿宋" w:eastAsia="仿宋" w:cs="仿宋"/>
                <w:color w:val="auto"/>
                <w:sz w:val="24"/>
                <w:szCs w:val="24"/>
              </w:rPr>
              <w:t xml:space="preserve">  注册情况：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7" w:hRule="atLeast"/>
          <w:tblCellSpacing w:w="0" w:type="dxa"/>
          <w:jc w:val="center"/>
        </w:trPr>
        <w:tc>
          <w:tcPr>
            <w:tcW w:w="8221" w:type="dxa"/>
            <w:gridSpan w:val="2"/>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项目电子章</w:t>
            </w:r>
            <w:r>
              <w:rPr>
                <w:rFonts w:hint="eastAsia" w:ascii="仿宋" w:hAnsi="仿宋" w:eastAsia="仿宋" w:cs="仿宋"/>
                <w:b/>
                <w:bCs/>
                <w:color w:val="auto"/>
                <w:sz w:val="24"/>
                <w:szCs w:val="24"/>
                <w:highlight w:val="none"/>
              </w:rPr>
              <w:t>：</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drawing>
                <wp:inline distT="0" distB="0" distL="114300" distR="114300">
                  <wp:extent cx="1449705" cy="2832100"/>
                  <wp:effectExtent l="0" t="0" r="17145" b="6350"/>
                  <wp:docPr id="1" name="图片 1" descr="2020-1154G盈江县城1E081地块控规调整论证报告（规划成果）202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1154G盈江县城1E081地块控规调整论证报告（规划成果）20200622"/>
                          <pic:cNvPicPr>
                            <a:picLocks noChangeAspect="1"/>
                          </pic:cNvPicPr>
                        </pic:nvPicPr>
                        <pic:blipFill>
                          <a:blip r:embed="rId8"/>
                          <a:stretch>
                            <a:fillRect/>
                          </a:stretch>
                        </pic:blipFill>
                        <pic:spPr>
                          <a:xfrm>
                            <a:off x="0" y="0"/>
                            <a:ext cx="1449705" cy="2832100"/>
                          </a:xfrm>
                          <a:prstGeom prst="rect">
                            <a:avLst/>
                          </a:prstGeom>
                        </pic:spPr>
                      </pic:pic>
                    </a:graphicData>
                  </a:graphic>
                </wp:inline>
              </w:drawing>
            </w:r>
          </w:p>
        </w:tc>
      </w:tr>
    </w:tbl>
    <w:sdt>
      <w:sdtPr>
        <w:rPr>
          <w:rFonts w:ascii="宋体" w:hAnsi="宋体" w:eastAsia="宋体" w:cstheme="minorBidi"/>
          <w:b/>
          <w:bCs/>
          <w:color w:val="auto"/>
          <w:kern w:val="2"/>
          <w:sz w:val="28"/>
          <w:szCs w:val="36"/>
          <w:highlight w:val="none"/>
          <w:lang w:val="en-US" w:eastAsia="zh-CN" w:bidi="ar-SA"/>
        </w:rPr>
        <w:id w:val="147456709"/>
        <w15:color w:val="DBDBDB"/>
        <w:docPartObj>
          <w:docPartGallery w:val="Table of Contents"/>
          <w:docPartUnique/>
        </w:docPartObj>
      </w:sdtPr>
      <w:sdtEndPr>
        <w:rPr>
          <w:rFonts w:hint="eastAsia" w:ascii="仿宋" w:hAnsi="仿宋" w:eastAsia="仿宋" w:cs="仿宋"/>
          <w:b/>
          <w:bCs/>
          <w:color w:val="auto"/>
          <w:kern w:val="2"/>
          <w:sz w:val="28"/>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pPr>
        </w:p>
        <w:p>
          <w:pPr>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5271135" cy="7450455"/>
                <wp:effectExtent l="0" t="0" r="5715" b="17145"/>
                <wp:docPr id="9" name="图片 9" descr="汇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汇总"/>
                        <pic:cNvPicPr>
                          <a:picLocks noChangeAspect="1"/>
                        </pic:cNvPicPr>
                      </pic:nvPicPr>
                      <pic:blipFill>
                        <a:blip r:embed="rId9"/>
                        <a:stretch>
                          <a:fillRect/>
                        </a:stretch>
                      </pic:blipFill>
                      <pic:spPr>
                        <a:xfrm>
                          <a:off x="0" y="0"/>
                          <a:ext cx="5271135" cy="7450455"/>
                        </a:xfrm>
                        <a:prstGeom prst="rect">
                          <a:avLst/>
                        </a:prstGeom>
                      </pic:spPr>
                    </pic:pic>
                  </a:graphicData>
                </a:graphic>
              </wp:inline>
            </w:drawing>
          </w: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br w:type="page"/>
          </w:r>
        </w:p>
        <w:p>
          <w:pPr>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5271135" cy="7450455"/>
                <wp:effectExtent l="0" t="0" r="5715" b="17145"/>
                <wp:docPr id="14" name="图片 14" descr="路倩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路倩0002"/>
                        <pic:cNvPicPr>
                          <a:picLocks noChangeAspect="1"/>
                        </pic:cNvPicPr>
                      </pic:nvPicPr>
                      <pic:blipFill>
                        <a:blip r:embed="rId10"/>
                        <a:stretch>
                          <a:fillRect/>
                        </a:stretch>
                      </pic:blipFill>
                      <pic:spPr>
                        <a:xfrm>
                          <a:off x="0" y="0"/>
                          <a:ext cx="5271135" cy="7450455"/>
                        </a:xfrm>
                        <a:prstGeom prst="rect">
                          <a:avLst/>
                        </a:prstGeom>
                      </pic:spPr>
                    </pic:pic>
                  </a:graphicData>
                </a:graphic>
              </wp:inline>
            </w:drawing>
          </w: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br w:type="page"/>
          </w:r>
        </w:p>
        <w:p>
          <w:pPr>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5271135" cy="7450455"/>
                <wp:effectExtent l="0" t="0" r="5715" b="17145"/>
                <wp:docPr id="17" name="图片 17" descr="评审意见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评审意见0003"/>
                        <pic:cNvPicPr>
                          <a:picLocks noChangeAspect="1"/>
                        </pic:cNvPicPr>
                      </pic:nvPicPr>
                      <pic:blipFill>
                        <a:blip r:embed="rId11"/>
                        <a:stretch>
                          <a:fillRect/>
                        </a:stretch>
                      </pic:blipFill>
                      <pic:spPr>
                        <a:xfrm>
                          <a:off x="0" y="0"/>
                          <a:ext cx="5271135" cy="7450455"/>
                        </a:xfrm>
                        <a:prstGeom prst="rect">
                          <a:avLst/>
                        </a:prstGeom>
                      </pic:spPr>
                    </pic:pic>
                  </a:graphicData>
                </a:graphic>
              </wp:inline>
            </w:drawing>
          </w: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br w:type="page"/>
          </w:r>
        </w:p>
        <w:p>
          <w:pPr>
            <w:jc w:val="cente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5271135" cy="7450455"/>
                <wp:effectExtent l="0" t="0" r="5715" b="17145"/>
                <wp:docPr id="19" name="图片 19" descr="评审意见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评审意见0005"/>
                        <pic:cNvPicPr>
                          <a:picLocks noChangeAspect="1"/>
                        </pic:cNvPicPr>
                      </pic:nvPicPr>
                      <pic:blipFill>
                        <a:blip r:embed="rId12"/>
                        <a:stretch>
                          <a:fillRect/>
                        </a:stretch>
                      </pic:blipFill>
                      <pic:spPr>
                        <a:xfrm>
                          <a:off x="0" y="0"/>
                          <a:ext cx="5271135" cy="7450455"/>
                        </a:xfrm>
                        <a:prstGeom prst="rect">
                          <a:avLst/>
                        </a:prstGeom>
                      </pic:spPr>
                    </pic:pic>
                  </a:graphicData>
                </a:graphic>
              </wp:inline>
            </w:drawing>
          </w: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br w:type="page"/>
          </w:r>
        </w:p>
        <w:p>
          <w:pP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5721350" cy="8086725"/>
                <wp:effectExtent l="0" t="0" r="12700" b="9525"/>
                <wp:docPr id="20" name="图片 20" descr="评审意见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评审意见0006"/>
                        <pic:cNvPicPr>
                          <a:picLocks noChangeAspect="1"/>
                        </pic:cNvPicPr>
                      </pic:nvPicPr>
                      <pic:blipFill>
                        <a:blip r:embed="rId13"/>
                        <a:stretch>
                          <a:fillRect/>
                        </a:stretch>
                      </pic:blipFill>
                      <pic:spPr>
                        <a:xfrm>
                          <a:off x="0" y="0"/>
                          <a:ext cx="5721350" cy="8086725"/>
                        </a:xfrm>
                        <a:prstGeom prst="rect">
                          <a:avLst/>
                        </a:prstGeom>
                      </pic:spPr>
                    </pic:pic>
                  </a:graphicData>
                </a:graphic>
              </wp:inline>
            </w:drawing>
          </w:r>
        </w:p>
        <w:p>
          <w:pPr>
            <w:jc w:val="center"/>
            <w:rPr>
              <w:rFonts w:hint="eastAsia" w:ascii="仿宋" w:hAnsi="仿宋" w:eastAsia="仿宋" w:cs="仿宋"/>
              <w:b/>
              <w:bCs/>
              <w:sz w:val="32"/>
              <w:szCs w:val="32"/>
              <w:u w:val="none"/>
              <w:lang w:val="en-US" w:eastAsia="zh-CN"/>
            </w:rPr>
          </w:pPr>
          <w:r>
            <w:rPr>
              <w:rFonts w:ascii="宋体" w:hAnsi="宋体" w:eastAsia="宋体" w:cstheme="minorBidi"/>
              <w:b/>
              <w:bCs/>
              <w:color w:val="auto"/>
              <w:kern w:val="2"/>
              <w:sz w:val="28"/>
              <w:szCs w:val="36"/>
              <w:highlight w:val="none"/>
              <w:lang w:val="en-US" w:eastAsia="zh-CN" w:bidi="ar-SA"/>
            </w:rPr>
            <w:drawing>
              <wp:inline distT="0" distB="0" distL="114300" distR="114300">
                <wp:extent cx="5607685" cy="7926705"/>
                <wp:effectExtent l="0" t="0" r="12065" b="17145"/>
                <wp:docPr id="18" name="图片 18" descr="评审意见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评审意见0004"/>
                        <pic:cNvPicPr>
                          <a:picLocks noChangeAspect="1"/>
                        </pic:cNvPicPr>
                      </pic:nvPicPr>
                      <pic:blipFill>
                        <a:blip r:embed="rId14"/>
                        <a:stretch>
                          <a:fillRect/>
                        </a:stretch>
                      </pic:blipFill>
                      <pic:spPr>
                        <a:xfrm>
                          <a:off x="0" y="0"/>
                          <a:ext cx="5607685" cy="7926705"/>
                        </a:xfrm>
                        <a:prstGeom prst="rect">
                          <a:avLst/>
                        </a:prstGeom>
                      </pic:spPr>
                    </pic:pic>
                  </a:graphicData>
                </a:graphic>
              </wp:inline>
            </w:drawing>
          </w:r>
          <w:r>
            <w:rPr>
              <w:rFonts w:ascii="宋体" w:hAnsi="宋体" w:eastAsia="宋体" w:cstheme="minorBidi"/>
              <w:b/>
              <w:bCs/>
              <w:color w:val="auto"/>
              <w:kern w:val="2"/>
              <w:sz w:val="28"/>
              <w:szCs w:val="36"/>
              <w:highlight w:val="none"/>
              <w:lang w:val="en-US" w:eastAsia="zh-CN" w:bidi="ar-SA"/>
            </w:rPr>
            <w:br w:type="page"/>
          </w:r>
          <w:bookmarkStart w:id="0" w:name="_Toc405279957"/>
          <w:r>
            <w:rPr>
              <w:rFonts w:hint="eastAsia" w:ascii="仿宋" w:hAnsi="仿宋" w:eastAsia="仿宋" w:cs="仿宋"/>
              <w:b/>
              <w:bCs/>
              <w:sz w:val="32"/>
              <w:szCs w:val="32"/>
              <w:u w:val="none"/>
              <w:lang w:val="en-US" w:eastAsia="zh-CN"/>
            </w:rPr>
            <w:t>《盈江县城1E081地块控规调整论证报告》</w:t>
          </w:r>
          <w:bookmarkEnd w:id="0"/>
          <w:r>
            <w:rPr>
              <w:rFonts w:hint="eastAsia" w:ascii="仿宋" w:hAnsi="仿宋" w:eastAsia="仿宋" w:cs="仿宋"/>
              <w:b/>
              <w:bCs/>
              <w:sz w:val="32"/>
              <w:szCs w:val="32"/>
              <w:u w:val="none"/>
              <w:lang w:val="en-US" w:eastAsia="zh-CN"/>
            </w:rPr>
            <w:t>评审专家汇总表</w:t>
          </w:r>
        </w:p>
        <w:p>
          <w:pPr>
            <w:jc w:val="center"/>
            <w:rPr>
              <w:rFonts w:hint="eastAsia" w:ascii="仿宋" w:hAnsi="仿宋" w:eastAsia="仿宋" w:cs="仿宋"/>
              <w:b/>
              <w:bCs/>
              <w:sz w:val="28"/>
              <w:szCs w:val="28"/>
              <w:u w:val="none"/>
              <w:lang w:val="en-US" w:eastAsia="zh-CN"/>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1244"/>
            <w:gridCol w:w="2707"/>
            <w:gridCol w:w="963"/>
            <w:gridCol w:w="1619"/>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序号</w:t>
                </w:r>
              </w:p>
            </w:tc>
            <w:tc>
              <w:tcPr>
                <w:tcW w:w="1244"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姓名</w:t>
                </w:r>
              </w:p>
            </w:tc>
            <w:tc>
              <w:tcPr>
                <w:tcW w:w="2707"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工作单位</w:t>
                </w:r>
              </w:p>
            </w:tc>
            <w:tc>
              <w:tcPr>
                <w:tcW w:w="963"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职务</w:t>
                </w:r>
              </w:p>
            </w:tc>
            <w:tc>
              <w:tcPr>
                <w:tcW w:w="1619"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联系方式</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1</w:t>
                </w:r>
              </w:p>
            </w:tc>
            <w:tc>
              <w:tcPr>
                <w:tcW w:w="124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路倩</w:t>
                </w:r>
              </w:p>
            </w:tc>
            <w:tc>
              <w:tcPr>
                <w:tcW w:w="2707"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昆明市规划设计研究院</w:t>
                </w:r>
              </w:p>
            </w:tc>
            <w:tc>
              <w:tcPr>
                <w:tcW w:w="963"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highlight w:val="none"/>
                    <w:u w:val="none"/>
                    <w:vertAlign w:val="baseline"/>
                    <w:lang w:val="en-US" w:eastAsia="zh-CN"/>
                  </w:rPr>
                  <w:t>高工</w:t>
                </w:r>
              </w:p>
            </w:tc>
            <w:tc>
              <w:tcPr>
                <w:tcW w:w="1619"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13888108544</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2</w:t>
                </w:r>
              </w:p>
            </w:tc>
            <w:tc>
              <w:tcPr>
                <w:tcW w:w="124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龙运军</w:t>
                </w:r>
              </w:p>
            </w:tc>
            <w:tc>
              <w:tcPr>
                <w:tcW w:w="2707"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昆明市规划设计研究院</w:t>
                </w:r>
              </w:p>
            </w:tc>
            <w:tc>
              <w:tcPr>
                <w:tcW w:w="963" w:type="dxa"/>
                <w:noWrap w:val="0"/>
                <w:vAlign w:val="center"/>
              </w:tcPr>
              <w:p>
                <w:pPr>
                  <w:jc w:val="center"/>
                  <w:rPr>
                    <w:rFonts w:hint="default" w:ascii="仿宋" w:hAnsi="仿宋" w:eastAsia="仿宋" w:cs="仿宋"/>
                    <w:b w:val="0"/>
                    <w:bCs w:val="0"/>
                    <w:sz w:val="24"/>
                    <w:szCs w:val="24"/>
                    <w:highlight w:val="none"/>
                    <w:u w:val="none"/>
                    <w:vertAlign w:val="baseline"/>
                    <w:lang w:val="en-US" w:eastAsia="zh-CN"/>
                  </w:rPr>
                </w:pPr>
                <w:r>
                  <w:rPr>
                    <w:rFonts w:hint="eastAsia" w:ascii="仿宋" w:hAnsi="仿宋" w:eastAsia="仿宋" w:cs="仿宋"/>
                    <w:b w:val="0"/>
                    <w:bCs w:val="0"/>
                    <w:sz w:val="24"/>
                    <w:szCs w:val="24"/>
                    <w:highlight w:val="none"/>
                    <w:u w:val="none"/>
                    <w:vertAlign w:val="baseline"/>
                    <w:lang w:val="en-US" w:eastAsia="zh-CN"/>
                  </w:rPr>
                  <w:t>高工</w:t>
                </w:r>
              </w:p>
            </w:tc>
            <w:tc>
              <w:tcPr>
                <w:tcW w:w="1619" w:type="dxa"/>
                <w:noWrap w:val="0"/>
                <w:vAlign w:val="center"/>
              </w:tcPr>
              <w:p>
                <w:pPr>
                  <w:jc w:val="center"/>
                  <w:rPr>
                    <w:rFonts w:hint="default" w:ascii="仿宋" w:hAnsi="仿宋" w:eastAsia="仿宋" w:cs="仿宋"/>
                    <w:b w:val="0"/>
                    <w:bCs w:val="0"/>
                    <w:sz w:val="24"/>
                    <w:szCs w:val="24"/>
                    <w:highlight w:val="none"/>
                    <w:u w:val="none"/>
                    <w:vertAlign w:val="baseline"/>
                    <w:lang w:val="en-US" w:eastAsia="zh-CN"/>
                  </w:rPr>
                </w:pPr>
                <w:r>
                  <w:rPr>
                    <w:rFonts w:hint="eastAsia" w:ascii="仿宋" w:hAnsi="仿宋" w:eastAsia="仿宋" w:cs="仿宋"/>
                    <w:b w:val="0"/>
                    <w:bCs w:val="0"/>
                    <w:sz w:val="24"/>
                    <w:szCs w:val="24"/>
                    <w:highlight w:val="none"/>
                    <w:u w:val="none"/>
                    <w:vertAlign w:val="baseline"/>
                    <w:lang w:val="en-US" w:eastAsia="zh-CN"/>
                  </w:rPr>
                  <w:t>13888162471</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3</w:t>
                </w:r>
              </w:p>
            </w:tc>
            <w:tc>
              <w:tcPr>
                <w:tcW w:w="124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赵馥蕾</w:t>
                </w:r>
              </w:p>
            </w:tc>
            <w:tc>
              <w:tcPr>
                <w:tcW w:w="2707"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云南同元土地事务有限责任公司</w:t>
                </w:r>
              </w:p>
            </w:tc>
            <w:tc>
              <w:tcPr>
                <w:tcW w:w="963"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高工</w:t>
                </w:r>
              </w:p>
            </w:tc>
            <w:tc>
              <w:tcPr>
                <w:tcW w:w="1619"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13888804016</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4</w:t>
                </w:r>
              </w:p>
            </w:tc>
            <w:tc>
              <w:tcPr>
                <w:tcW w:w="124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冯亚梅</w:t>
                </w:r>
              </w:p>
            </w:tc>
            <w:tc>
              <w:tcPr>
                <w:tcW w:w="2707"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云南省地矿测绘院</w:t>
                </w:r>
              </w:p>
            </w:tc>
            <w:tc>
              <w:tcPr>
                <w:tcW w:w="963"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高工</w:t>
                </w:r>
              </w:p>
            </w:tc>
            <w:tc>
              <w:tcPr>
                <w:tcW w:w="1619"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18082740975</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5</w:t>
                </w:r>
              </w:p>
            </w:tc>
            <w:tc>
              <w:tcPr>
                <w:tcW w:w="1244"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宁有勋</w:t>
                </w:r>
              </w:p>
            </w:tc>
            <w:tc>
              <w:tcPr>
                <w:tcW w:w="2707"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云南开发规划设计院</w:t>
                </w:r>
              </w:p>
            </w:tc>
            <w:tc>
              <w:tcPr>
                <w:tcW w:w="963"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高工</w:t>
                </w:r>
              </w:p>
            </w:tc>
            <w:tc>
              <w:tcPr>
                <w:tcW w:w="1619" w:type="dxa"/>
                <w:noWrap w:val="0"/>
                <w:vAlign w:val="center"/>
              </w:tcPr>
              <w:p>
                <w:pPr>
                  <w:jc w:val="center"/>
                  <w:rPr>
                    <w:rFonts w:hint="default" w:ascii="仿宋" w:hAnsi="仿宋" w:eastAsia="仿宋" w:cs="仿宋"/>
                    <w:b w:val="0"/>
                    <w:bCs w:val="0"/>
                    <w:sz w:val="24"/>
                    <w:szCs w:val="24"/>
                    <w:u w:val="none"/>
                    <w:vertAlign w:val="baseline"/>
                    <w:lang w:val="en-US" w:eastAsia="zh-CN"/>
                  </w:rPr>
                </w:pPr>
                <w:r>
                  <w:rPr>
                    <w:rFonts w:hint="eastAsia" w:ascii="仿宋" w:hAnsi="仿宋" w:eastAsia="仿宋" w:cs="仿宋"/>
                    <w:b w:val="0"/>
                    <w:bCs w:val="0"/>
                    <w:sz w:val="24"/>
                    <w:szCs w:val="24"/>
                    <w:u w:val="none"/>
                    <w:vertAlign w:val="baseline"/>
                    <w:lang w:val="en-US" w:eastAsia="zh-CN"/>
                  </w:rPr>
                  <w:t>13888832695</w:t>
                </w:r>
              </w:p>
            </w:tc>
            <w:tc>
              <w:tcPr>
                <w:tcW w:w="1201" w:type="dxa"/>
                <w:noWrap w:val="0"/>
                <w:vAlign w:val="center"/>
              </w:tcPr>
              <w:p>
                <w:pPr>
                  <w:jc w:val="center"/>
                  <w:rPr>
                    <w:rFonts w:hint="eastAsia" w:ascii="仿宋" w:hAnsi="仿宋" w:eastAsia="仿宋" w:cs="仿宋"/>
                    <w:b w:val="0"/>
                    <w:bCs w:val="0"/>
                    <w:sz w:val="24"/>
                    <w:szCs w:val="24"/>
                    <w:u w:val="none"/>
                    <w:vertAlign w:val="baseline"/>
                    <w:lang w:val="en-US" w:eastAsia="zh-CN"/>
                  </w:rPr>
                </w:pPr>
              </w:p>
            </w:tc>
          </w:tr>
        </w:tbl>
        <w:p>
          <w:pPr>
            <w:jc w:val="center"/>
            <w:rPr>
              <w:rFonts w:hint="eastAsia" w:ascii="仿宋" w:hAnsi="仿宋" w:eastAsia="仿宋" w:cs="仿宋"/>
              <w:b/>
              <w:bCs/>
              <w:sz w:val="28"/>
              <w:szCs w:val="28"/>
              <w:u w:val="none"/>
              <w:lang w:val="en-US" w:eastAsia="zh-CN"/>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rPr>
              <w:rFonts w:ascii="宋体" w:hAnsi="宋体" w:eastAsia="宋体" w:cstheme="minorBidi"/>
              <w:b/>
              <w:bCs/>
              <w:color w:val="auto"/>
              <w:kern w:val="2"/>
              <w:sz w:val="28"/>
              <w:szCs w:val="36"/>
              <w:highlight w:val="none"/>
              <w:lang w:val="en-US" w:eastAsia="zh-CN" w:bidi="ar-SA"/>
            </w:rPr>
          </w:pPr>
        </w:p>
        <w:p>
          <w:pPr>
            <w:spacing w:before="0" w:beforeLines="0" w:after="0" w:afterLines="0" w:line="240" w:lineRule="auto"/>
            <w:ind w:left="0" w:leftChars="0" w:right="0" w:rightChars="0" w:firstLine="0"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目</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录</w:t>
          </w:r>
        </w:p>
        <w:p>
          <w:pPr>
            <w:pStyle w:val="7"/>
            <w:tabs>
              <w:tab w:val="right" w:leader="dot" w:pos="8306"/>
            </w:tabs>
            <w:rPr>
              <w:rFonts w:hint="eastAsia" w:ascii="仿宋" w:hAnsi="仿宋" w:eastAsia="仿宋" w:cs="仿宋"/>
              <w:b/>
              <w:bCs/>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color w:val="auto"/>
              <w:kern w:val="2"/>
              <w:sz w:val="28"/>
              <w:szCs w:val="28"/>
              <w:highlight w:val="none"/>
              <w:lang w:val="en-US" w:eastAsia="zh-CN" w:bidi="ar-SA"/>
            </w:rPr>
            <w:instrText xml:space="preserve">TOC \o "1-2" \h \u </w:instrText>
          </w:r>
          <w:r>
            <w:rPr>
              <w:rFonts w:hint="eastAsia" w:ascii="仿宋" w:hAnsi="仿宋" w:eastAsia="仿宋" w:cs="仿宋"/>
              <w:color w:val="auto"/>
              <w:kern w:val="2"/>
              <w:sz w:val="28"/>
              <w:szCs w:val="28"/>
              <w:highlight w:val="none"/>
              <w:lang w:val="en-US" w:eastAsia="zh-CN" w:bidi="ar-SA"/>
            </w:rPr>
            <w:fldChar w:fldCharType="separate"/>
          </w: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_Toc12926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rPr>
            <w:t>第一章 项目概况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_Toc12926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_Toc25794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rPr>
            <w:t>一、 项目情况说明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_Toc25794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_Toc10188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rPr>
            <w:t>二、 评估依据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_Toc10188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_Toc3165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三、 项目位置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_Toc3165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_Toc25608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四、 项目控规实施评估范围和面积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_Toc25608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_Toc24992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第二章 地块现行控规实施评估</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_Toc24992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3</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_Toc23808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一、规划情况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_Toc23808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_Toc18583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二、用地实施情况评估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_Toc18583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_Toc32288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三、地块开发成本评估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_Toc32288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_Toc73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w:t>
          </w:r>
          <w:r>
            <w:rPr>
              <w:rFonts w:hint="eastAsia" w:ascii="仿宋" w:hAnsi="仿宋" w:eastAsia="仿宋" w:cs="仿宋"/>
              <w:b/>
              <w:bCs/>
              <w:sz w:val="28"/>
              <w:szCs w:val="28"/>
              <w:highlight w:val="none"/>
              <w:lang w:val="en-US" w:eastAsia="zh-CN"/>
            </w:rPr>
            <w:t>三</w:t>
          </w:r>
          <w:r>
            <w:rPr>
              <w:rFonts w:hint="eastAsia" w:ascii="仿宋" w:hAnsi="仿宋" w:eastAsia="仿宋" w:cs="仿宋"/>
              <w:b/>
              <w:bCs/>
              <w:sz w:val="28"/>
              <w:szCs w:val="28"/>
              <w:highlight w:val="none"/>
              <w:lang w:eastAsia="zh-CN"/>
            </w:rPr>
            <w:t>章 调整的必要性研究</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_Toc73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5</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_Toc11894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w:t>
          </w:r>
          <w:r>
            <w:rPr>
              <w:rFonts w:hint="eastAsia" w:ascii="仿宋" w:hAnsi="仿宋" w:eastAsia="仿宋" w:cs="仿宋"/>
              <w:sz w:val="28"/>
              <w:szCs w:val="28"/>
              <w:highlight w:val="none"/>
            </w:rPr>
            <w:t>城市总体发展战略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_Toc11894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_Toc28453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区域发展的需求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_Toc28453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_Toc20454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三、城市旧城改造的需要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_Toc20454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_Toc30700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四、土地合理开发建设的需要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_Toc30700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_Toc18671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五</w:t>
          </w:r>
          <w:r>
            <w:rPr>
              <w:rFonts w:hint="eastAsia" w:ascii="仿宋" w:hAnsi="仿宋" w:eastAsia="仿宋" w:cs="仿宋"/>
              <w:sz w:val="28"/>
              <w:szCs w:val="28"/>
              <w:highlight w:val="none"/>
              <w:lang w:eastAsia="zh-CN"/>
            </w:rPr>
            <w:t>、《城市居住区规划设计标准》（GB50180-2018）施行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_Toc18671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_Toc17113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w:t>
          </w:r>
          <w:r>
            <w:rPr>
              <w:rFonts w:hint="eastAsia" w:ascii="仿宋" w:hAnsi="仿宋" w:eastAsia="仿宋" w:cs="仿宋"/>
              <w:b/>
              <w:bCs/>
              <w:sz w:val="28"/>
              <w:szCs w:val="28"/>
              <w:highlight w:val="none"/>
              <w:lang w:val="en-US" w:eastAsia="zh-CN"/>
            </w:rPr>
            <w:t>四</w:t>
          </w:r>
          <w:r>
            <w:rPr>
              <w:rFonts w:hint="eastAsia" w:ascii="仿宋" w:hAnsi="仿宋" w:eastAsia="仿宋" w:cs="仿宋"/>
              <w:b/>
              <w:bCs/>
              <w:sz w:val="28"/>
              <w:szCs w:val="28"/>
              <w:highlight w:val="none"/>
              <w:lang w:eastAsia="zh-CN"/>
            </w:rPr>
            <w:t>章 评估结论与建议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_Toc17113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8</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_Toc30129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一、评估结论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_Toc30129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_Toc1299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二、评估建议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_Toc1299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_Toc537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三、地块控规调整前后情况比较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_Toc537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_Toc24754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附件：国有土地使用证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_Toc24754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2"/>
            <w:jc w:val="both"/>
            <w:outlineLvl w:val="9"/>
            <w:rPr>
              <w:rFonts w:hint="eastAsia" w:ascii="仿宋" w:hAnsi="仿宋" w:eastAsia="仿宋" w:cs="仿宋"/>
              <w:color w:val="auto"/>
              <w:sz w:val="28"/>
              <w:szCs w:val="28"/>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color w:val="auto"/>
              <w:kern w:val="2"/>
              <w:sz w:val="28"/>
              <w:szCs w:val="28"/>
              <w:highlight w:val="none"/>
              <w:lang w:val="en-US" w:eastAsia="zh-CN" w:bidi="ar-SA"/>
            </w:rPr>
            <w:fldChar w:fldCharType="end"/>
          </w:r>
        </w:p>
      </w:sdtContent>
    </w:sdt>
    <w:p>
      <w:pPr>
        <w:pStyle w:val="2"/>
        <w:jc w:val="center"/>
        <w:outlineLvl w:val="0"/>
        <w:rPr>
          <w:rFonts w:hint="eastAsia"/>
          <w:color w:val="auto"/>
          <w:highlight w:val="none"/>
        </w:rPr>
      </w:pPr>
      <w:bookmarkStart w:id="1" w:name="_Toc12926"/>
      <w:r>
        <w:rPr>
          <w:rFonts w:hint="eastAsia"/>
          <w:color w:val="auto"/>
          <w:highlight w:val="none"/>
        </w:rPr>
        <w:t>第一章 项目概况</w:t>
      </w:r>
      <w:bookmarkEnd w:id="1"/>
    </w:p>
    <w:p>
      <w:pPr>
        <w:pStyle w:val="3"/>
        <w:outlineLvl w:val="1"/>
        <w:rPr>
          <w:rFonts w:hint="eastAsia" w:ascii="仿宋" w:hAnsi="仿宋" w:eastAsia="仿宋" w:cs="仿宋"/>
          <w:color w:val="auto"/>
          <w:highlight w:val="none"/>
        </w:rPr>
      </w:pPr>
      <w:bookmarkStart w:id="2" w:name="_Toc25794"/>
      <w:r>
        <w:rPr>
          <w:rFonts w:hint="eastAsia" w:ascii="仿宋" w:hAnsi="仿宋" w:eastAsia="仿宋" w:cs="仿宋"/>
          <w:color w:val="auto"/>
          <w:highlight w:val="none"/>
        </w:rPr>
        <w:t>一、 项目情况说明</w:t>
      </w:r>
      <w:bookmarkEnd w:id="2"/>
      <w:r>
        <w:rPr>
          <w:rFonts w:hint="eastAsia" w:ascii="仿宋" w:hAnsi="仿宋" w:eastAsia="仿宋" w:cs="仿宋"/>
          <w:color w:val="auto"/>
          <w:highlight w:val="none"/>
        </w:rPr>
        <w:t xml:space="preserve">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本次控规实施评估范围为</w:t>
      </w:r>
      <w:r>
        <w:rPr>
          <w:rFonts w:hint="eastAsia" w:ascii="仿宋" w:hAnsi="仿宋" w:eastAsia="仿宋" w:cs="仿宋"/>
          <w:color w:val="auto"/>
          <w:sz w:val="28"/>
          <w:szCs w:val="28"/>
          <w:highlight w:val="none"/>
          <w:lang w:val="en-US" w:eastAsia="zh-CN"/>
        </w:rPr>
        <w:t>盈江县城控制性详细规划中的1E081部分地块，</w:t>
      </w:r>
      <w:r>
        <w:rPr>
          <w:rFonts w:hint="eastAsia" w:ascii="仿宋" w:hAnsi="仿宋" w:eastAsia="仿宋" w:cs="仿宋"/>
          <w:color w:val="auto"/>
          <w:sz w:val="28"/>
          <w:szCs w:val="28"/>
          <w:highlight w:val="none"/>
          <w:lang w:eastAsia="zh-CN"/>
        </w:rPr>
        <w:t>用地性质为</w:t>
      </w:r>
      <w:r>
        <w:rPr>
          <w:rFonts w:hint="eastAsia" w:ascii="仿宋" w:hAnsi="仿宋" w:eastAsia="仿宋" w:cs="仿宋"/>
          <w:color w:val="auto"/>
          <w:sz w:val="28"/>
          <w:szCs w:val="28"/>
          <w:highlight w:val="none"/>
          <w:lang w:val="en-US" w:eastAsia="zh-CN"/>
        </w:rPr>
        <w:t>R2二类居住用地</w:t>
      </w:r>
      <w:r>
        <w:rPr>
          <w:rFonts w:hint="eastAsia" w:ascii="仿宋" w:hAnsi="仿宋" w:eastAsia="仿宋" w:cs="仿宋"/>
          <w:color w:val="auto"/>
          <w:sz w:val="28"/>
          <w:szCs w:val="28"/>
          <w:highlight w:val="none"/>
          <w:lang w:eastAsia="zh-CN"/>
        </w:rPr>
        <w:t>。</w:t>
      </w:r>
    </w:p>
    <w:p>
      <w:pPr>
        <w:ind w:firstLine="57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盈江县县城控制性详细规划</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总用地面积31.67平方公里，其中规划城市建设用地面积为19.53平方公里</w:t>
      </w:r>
      <w:r>
        <w:rPr>
          <w:rFonts w:hint="eastAsia" w:ascii="仿宋" w:hAnsi="仿宋" w:eastAsia="仿宋" w:cs="仿宋"/>
          <w:color w:val="auto"/>
          <w:sz w:val="28"/>
          <w:szCs w:val="28"/>
          <w:highlight w:val="none"/>
          <w:lang w:val="en-US" w:eastAsia="zh-CN"/>
        </w:rPr>
        <w:t>，由</w:t>
      </w:r>
      <w:r>
        <w:rPr>
          <w:rFonts w:hint="eastAsia" w:ascii="仿宋" w:hAnsi="仿宋" w:eastAsia="仿宋" w:cs="仿宋"/>
          <w:color w:val="auto"/>
          <w:sz w:val="28"/>
          <w:szCs w:val="28"/>
          <w:highlight w:val="none"/>
        </w:rPr>
        <w:t>广州市城市规划勘测设计研究院西南分院编制，</w:t>
      </w:r>
      <w:r>
        <w:rPr>
          <w:rFonts w:hint="eastAsia" w:ascii="仿宋" w:hAnsi="仿宋" w:eastAsia="仿宋" w:cs="仿宋"/>
          <w:color w:val="auto"/>
          <w:sz w:val="28"/>
          <w:szCs w:val="28"/>
          <w:highlight w:val="none"/>
          <w:lang w:eastAsia="zh-CN"/>
        </w:rPr>
        <w:t>已通过</w:t>
      </w:r>
      <w:r>
        <w:rPr>
          <w:rFonts w:hint="eastAsia" w:ascii="仿宋" w:hAnsi="仿宋" w:eastAsia="仿宋" w:cs="仿宋"/>
          <w:color w:val="auto"/>
          <w:sz w:val="28"/>
          <w:szCs w:val="28"/>
          <w:highlight w:val="none"/>
        </w:rPr>
        <w:t>盈江县人民政府</w:t>
      </w:r>
      <w:r>
        <w:rPr>
          <w:rFonts w:hint="eastAsia" w:ascii="仿宋" w:hAnsi="仿宋" w:eastAsia="仿宋" w:cs="仿宋"/>
          <w:color w:val="auto"/>
          <w:sz w:val="28"/>
          <w:szCs w:val="28"/>
          <w:highlight w:val="none"/>
          <w:lang w:eastAsia="zh-CN"/>
        </w:rPr>
        <w:t>批复实施，文号：</w:t>
      </w:r>
      <w:r>
        <w:rPr>
          <w:rFonts w:hint="eastAsia" w:ascii="仿宋" w:hAnsi="仿宋" w:eastAsia="仿宋" w:cs="仿宋"/>
          <w:color w:val="auto"/>
          <w:sz w:val="28"/>
          <w:szCs w:val="28"/>
          <w:highlight w:val="none"/>
        </w:rPr>
        <w:t>盈政复【2016】60号。</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本次拟调整控规范围土地于2008年出让，用途为商业用地。</w:t>
      </w:r>
    </w:p>
    <w:p>
      <w:pPr>
        <w:pStyle w:val="3"/>
        <w:outlineLvl w:val="1"/>
        <w:rPr>
          <w:rFonts w:hint="eastAsia" w:ascii="仿宋" w:hAnsi="仿宋" w:eastAsia="仿宋" w:cs="仿宋"/>
          <w:b/>
          <w:color w:val="auto"/>
          <w:highlight w:val="none"/>
        </w:rPr>
      </w:pPr>
      <w:bookmarkStart w:id="3" w:name="_Toc10188"/>
      <w:r>
        <w:rPr>
          <w:rFonts w:hint="eastAsia" w:ascii="仿宋" w:hAnsi="仿宋" w:eastAsia="仿宋" w:cs="仿宋"/>
          <w:b/>
          <w:color w:val="auto"/>
          <w:highlight w:val="none"/>
        </w:rPr>
        <w:t>二、 评估依据</w:t>
      </w:r>
      <w:bookmarkEnd w:id="3"/>
      <w:r>
        <w:rPr>
          <w:rFonts w:hint="eastAsia" w:ascii="仿宋" w:hAnsi="仿宋" w:eastAsia="仿宋" w:cs="仿宋"/>
          <w:b/>
          <w:color w:val="auto"/>
          <w:highlight w:val="none"/>
        </w:rPr>
        <w:t xml:space="preserve"> </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1.《中华人民共和国城乡规划法》(2019修正)；</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2.《城市居住区规划设计标准》（GB50180-2018）；</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德宏州人民政府公告第55号）；</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《云南省盈江县城市总体规划（2006-2020）》</w:t>
      </w:r>
      <w:r>
        <w:rPr>
          <w:rFonts w:hint="eastAsia" w:ascii="仿宋" w:hAnsi="仿宋" w:eastAsia="仿宋" w:cs="仿宋"/>
          <w:color w:val="auto"/>
          <w:sz w:val="28"/>
          <w:szCs w:val="28"/>
          <w:highlight w:val="none"/>
          <w:lang w:eastAsia="zh-CN"/>
        </w:rPr>
        <w:t>；</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盈江县县城控</w:t>
      </w:r>
      <w:r>
        <w:rPr>
          <w:rFonts w:hint="eastAsia" w:ascii="仿宋" w:hAnsi="仿宋" w:eastAsia="仿宋" w:cs="仿宋"/>
          <w:color w:val="auto"/>
          <w:sz w:val="28"/>
          <w:szCs w:val="28"/>
          <w:highlight w:val="none"/>
        </w:rPr>
        <w:t>制性详细规划</w:t>
      </w:r>
      <w:r>
        <w:rPr>
          <w:rFonts w:hint="eastAsia" w:ascii="仿宋" w:hAnsi="仿宋" w:eastAsia="仿宋" w:cs="仿宋"/>
          <w:color w:val="auto"/>
          <w:sz w:val="28"/>
          <w:szCs w:val="28"/>
          <w:highlight w:val="none"/>
          <w:lang w:val="en-US" w:eastAsia="zh-CN"/>
        </w:rPr>
        <w:t>》；</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其它相关法律、法规、规范和文件</w:t>
      </w:r>
      <w:r>
        <w:rPr>
          <w:rFonts w:hint="eastAsia" w:ascii="仿宋" w:hAnsi="仿宋" w:eastAsia="仿宋" w:cs="仿宋"/>
          <w:color w:val="auto"/>
          <w:sz w:val="28"/>
          <w:szCs w:val="28"/>
          <w:highlight w:val="none"/>
          <w:lang w:eastAsia="zh-CN"/>
        </w:rPr>
        <w:t>。</w:t>
      </w:r>
    </w:p>
    <w:p>
      <w:pPr>
        <w:pStyle w:val="3"/>
        <w:outlineLvl w:val="1"/>
        <w:rPr>
          <w:rFonts w:hint="eastAsia" w:ascii="仿宋" w:hAnsi="仿宋" w:eastAsia="仿宋" w:cs="仿宋"/>
          <w:b/>
          <w:color w:val="auto"/>
          <w:highlight w:val="none"/>
          <w:lang w:eastAsia="zh-CN"/>
        </w:rPr>
      </w:pPr>
      <w:bookmarkStart w:id="4" w:name="_Toc3165"/>
      <w:r>
        <w:rPr>
          <w:rFonts w:hint="eastAsia" w:ascii="仿宋" w:hAnsi="仿宋" w:eastAsia="仿宋" w:cs="仿宋"/>
          <w:b/>
          <w:color w:val="auto"/>
          <w:highlight w:val="none"/>
          <w:lang w:eastAsia="zh-CN"/>
        </w:rPr>
        <w:t>三、 项目位置</w:t>
      </w:r>
      <w:bookmarkEnd w:id="4"/>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本次控规实施评估的地块位于盈江县城赏建路和槟江路交叉口西南侧，地块东西宽约140米，南北长约130米。地块现状为保山金鸡牛肉馆。该用地属于盈江县城南部新城，地块周边交通便利，</w:t>
      </w:r>
      <w:r>
        <w:rPr>
          <w:rFonts w:hint="eastAsia" w:ascii="仿宋" w:hAnsi="仿宋" w:eastAsia="仿宋" w:cs="仿宋"/>
          <w:color w:val="auto"/>
          <w:sz w:val="28"/>
          <w:szCs w:val="28"/>
          <w:highlight w:val="none"/>
          <w:lang w:eastAsia="zh-CN"/>
        </w:rPr>
        <w:t>城市生活配套功能</w:t>
      </w:r>
      <w:r>
        <w:rPr>
          <w:rFonts w:hint="eastAsia" w:ascii="仿宋" w:hAnsi="仿宋" w:eastAsia="仿宋" w:cs="仿宋"/>
          <w:color w:val="auto"/>
          <w:sz w:val="28"/>
          <w:szCs w:val="28"/>
          <w:highlight w:val="none"/>
          <w:lang w:val="en-US" w:eastAsia="zh-CN"/>
        </w:rPr>
        <w:t>齐全。</w:t>
      </w:r>
    </w:p>
    <w:p>
      <w:pPr>
        <w:ind w:left="0" w:leftChars="0" w:firstLine="0" w:firstLineChars="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drawing>
          <wp:inline distT="0" distB="0" distL="114300" distR="114300">
            <wp:extent cx="4370070" cy="3310255"/>
            <wp:effectExtent l="0" t="0" r="3810" b="12065"/>
            <wp:docPr id="2" name="图片 2" descr="C:\Users\tyven\Desktop\控规调整报告（16.11亩）\x130-土地利用规划图20140414.jpgx130-土地利用规划图2014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yven\Desktop\控规调整报告（16.11亩）\x130-土地利用规划图20140414.jpgx130-土地利用规划图20140414"/>
                    <pic:cNvPicPr>
                      <a:picLocks noChangeAspect="1"/>
                    </pic:cNvPicPr>
                  </pic:nvPicPr>
                  <pic:blipFill>
                    <a:blip r:embed="rId15"/>
                    <a:srcRect/>
                    <a:stretch>
                      <a:fillRect/>
                    </a:stretch>
                  </pic:blipFill>
                  <pic:spPr>
                    <a:xfrm>
                      <a:off x="0" y="0"/>
                      <a:ext cx="4370070" cy="3310255"/>
                    </a:xfrm>
                    <a:prstGeom prst="rect">
                      <a:avLst/>
                    </a:prstGeom>
                  </pic:spPr>
                </pic:pic>
              </a:graphicData>
            </a:graphic>
          </wp:inline>
        </w:drawing>
      </w:r>
    </w:p>
    <w:p>
      <w:pPr>
        <w:ind w:left="0" w:leftChars="0" w:firstLine="0" w:firstLineChars="0"/>
        <w:jc w:val="center"/>
        <w:rPr>
          <w:rFonts w:hint="eastAsia"/>
          <w:highlight w:val="none"/>
          <w:lang w:val="en-US"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1-1  拟调整地块在盈江县城的位置</w:t>
      </w:r>
    </w:p>
    <w:p>
      <w:pPr>
        <w:pStyle w:val="3"/>
        <w:outlineLvl w:val="1"/>
        <w:rPr>
          <w:rFonts w:hint="eastAsia" w:ascii="仿宋" w:hAnsi="仿宋" w:eastAsia="仿宋" w:cs="仿宋"/>
          <w:b/>
          <w:color w:val="auto"/>
          <w:highlight w:val="none"/>
          <w:lang w:eastAsia="zh-CN"/>
        </w:rPr>
      </w:pPr>
      <w:bookmarkStart w:id="5" w:name="_Toc25608"/>
      <w:r>
        <w:rPr>
          <w:rFonts w:hint="eastAsia" w:ascii="仿宋" w:hAnsi="仿宋" w:eastAsia="仿宋" w:cs="仿宋"/>
          <w:b/>
          <w:color w:val="auto"/>
          <w:highlight w:val="none"/>
          <w:lang w:eastAsia="zh-CN"/>
        </w:rPr>
        <w:t>四、 项目控规实施评估范围和面积</w:t>
      </w:r>
      <w:bookmarkEnd w:id="5"/>
      <w:r>
        <w:rPr>
          <w:rFonts w:hint="eastAsia" w:ascii="仿宋" w:hAnsi="仿宋" w:eastAsia="仿宋" w:cs="仿宋"/>
          <w:b/>
          <w:color w:val="auto"/>
          <w:highlight w:val="none"/>
          <w:lang w:eastAsia="zh-CN"/>
        </w:rPr>
        <w:t xml:space="preserve">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规划范围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1E081部分</w:t>
      </w:r>
      <w:r>
        <w:rPr>
          <w:rFonts w:hint="eastAsia" w:ascii="仿宋" w:hAnsi="仿宋" w:eastAsia="仿宋" w:cs="仿宋"/>
          <w:color w:val="auto"/>
          <w:sz w:val="28"/>
          <w:szCs w:val="28"/>
          <w:highlight w:val="none"/>
        </w:rPr>
        <w:t>地块</w:t>
      </w:r>
      <w:r>
        <w:rPr>
          <w:rFonts w:hint="eastAsia" w:ascii="仿宋" w:hAnsi="仿宋" w:eastAsia="仿宋" w:cs="仿宋"/>
          <w:color w:val="auto"/>
          <w:sz w:val="28"/>
          <w:szCs w:val="28"/>
          <w:highlight w:val="none"/>
          <w:lang w:val="en-US" w:eastAsia="zh-CN"/>
        </w:rPr>
        <w:t>，北至槟江路，南临那邦边境检查站。</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2.规划面积</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本次拟调整控规的1E081部分</w:t>
      </w:r>
      <w:r>
        <w:rPr>
          <w:rFonts w:hint="eastAsia" w:ascii="仿宋" w:hAnsi="仿宋" w:eastAsia="仿宋" w:cs="仿宋"/>
          <w:color w:val="auto"/>
          <w:sz w:val="28"/>
          <w:szCs w:val="28"/>
          <w:highlight w:val="none"/>
        </w:rPr>
        <w:t>地块</w:t>
      </w:r>
      <w:r>
        <w:rPr>
          <w:rFonts w:hint="eastAsia" w:ascii="仿宋" w:hAnsi="仿宋" w:eastAsia="仿宋" w:cs="仿宋"/>
          <w:color w:val="auto"/>
          <w:sz w:val="28"/>
          <w:szCs w:val="28"/>
          <w:highlight w:val="none"/>
          <w:lang w:val="en-US" w:eastAsia="zh-CN"/>
        </w:rPr>
        <w:t>总用地面积约10741平方米。</w:t>
      </w:r>
    </w:p>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drawing>
          <wp:inline distT="0" distB="0" distL="114300" distR="114300">
            <wp:extent cx="5270500" cy="3707765"/>
            <wp:effectExtent l="0" t="0" r="2540" b="10795"/>
            <wp:docPr id="3" name="图片 3" descr="C:\Users\tyven\Desktop\控规调整报告（16.11亩）\x调整前.jpgx调整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tyven\Desktop\控规调整报告（16.11亩）\x调整前.jpgx调整前"/>
                    <pic:cNvPicPr>
                      <a:picLocks noChangeAspect="1"/>
                    </pic:cNvPicPr>
                  </pic:nvPicPr>
                  <pic:blipFill>
                    <a:blip r:embed="rId16"/>
                    <a:srcRect l="22636" t="19397" r="29382" b="32845"/>
                    <a:stretch>
                      <a:fillRect/>
                    </a:stretch>
                  </pic:blipFill>
                  <pic:spPr>
                    <a:xfrm>
                      <a:off x="0" y="0"/>
                      <a:ext cx="5270500" cy="3707765"/>
                    </a:xfrm>
                    <a:prstGeom prst="rect">
                      <a:avLst/>
                    </a:prstGeom>
                  </pic:spPr>
                </pic:pic>
              </a:graphicData>
            </a:graphic>
          </wp:inline>
        </w:drawing>
      </w:r>
    </w:p>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1-4  评估地块与控规地块位置关系图</w:t>
      </w:r>
    </w:p>
    <w:p>
      <w:pPr>
        <w:pStyle w:val="2"/>
        <w:jc w:val="center"/>
        <w:outlineLvl w:val="0"/>
        <w:rPr>
          <w:rFonts w:hint="eastAsia"/>
          <w:b/>
          <w:color w:val="auto"/>
          <w:highlight w:val="none"/>
          <w:lang w:eastAsia="zh-CN"/>
        </w:rPr>
      </w:pPr>
      <w:bookmarkStart w:id="6" w:name="_Toc24992"/>
      <w:r>
        <w:rPr>
          <w:rFonts w:hint="eastAsia"/>
          <w:b/>
          <w:color w:val="auto"/>
          <w:highlight w:val="none"/>
          <w:lang w:eastAsia="zh-CN"/>
        </w:rPr>
        <w:t>第二章 地块现行控规实施评估</w:t>
      </w:r>
      <w:bookmarkEnd w:id="6"/>
    </w:p>
    <w:p>
      <w:pPr>
        <w:pStyle w:val="3"/>
        <w:outlineLvl w:val="1"/>
        <w:rPr>
          <w:rFonts w:hint="eastAsia" w:ascii="仿宋" w:hAnsi="仿宋" w:eastAsia="仿宋" w:cs="仿宋"/>
          <w:b/>
          <w:color w:val="auto"/>
          <w:highlight w:val="none"/>
          <w:lang w:eastAsia="zh-CN"/>
        </w:rPr>
      </w:pPr>
      <w:bookmarkStart w:id="7" w:name="_Toc23808"/>
      <w:r>
        <w:rPr>
          <w:rFonts w:hint="eastAsia" w:ascii="仿宋" w:hAnsi="仿宋" w:eastAsia="仿宋" w:cs="仿宋"/>
          <w:b/>
          <w:color w:val="auto"/>
          <w:highlight w:val="none"/>
          <w:lang w:eastAsia="zh-CN"/>
        </w:rPr>
        <w:t>一、规划情况</w:t>
      </w:r>
      <w:bookmarkEnd w:id="7"/>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根据《</w:t>
      </w:r>
      <w:r>
        <w:rPr>
          <w:rFonts w:hint="eastAsia" w:ascii="仿宋" w:hAnsi="仿宋" w:eastAsia="仿宋" w:cs="仿宋"/>
          <w:color w:val="auto"/>
          <w:sz w:val="28"/>
          <w:szCs w:val="28"/>
          <w:highlight w:val="none"/>
        </w:rPr>
        <w:t>盈江县县城控制性详细规划</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地块具体指标为：1E081</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R2，</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二类居住用地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容积率≤</w:t>
      </w:r>
      <w:r>
        <w:rPr>
          <w:rFonts w:hint="eastAsia" w:ascii="仿宋" w:hAnsi="仿宋" w:eastAsia="仿宋" w:cs="仿宋"/>
          <w:color w:val="auto"/>
          <w:sz w:val="28"/>
          <w:szCs w:val="28"/>
          <w:highlight w:val="none"/>
          <w:lang w:val="en-US" w:eastAsia="zh-CN"/>
        </w:rPr>
        <w:t>1.5，建筑密度≤30%，绿地率≥25%，建筑限高24米。</w:t>
      </w:r>
    </w:p>
    <w:p>
      <w:pPr>
        <w:pStyle w:val="3"/>
        <w:outlineLvl w:val="1"/>
        <w:rPr>
          <w:rFonts w:hint="eastAsia" w:ascii="仿宋" w:hAnsi="仿宋" w:eastAsia="仿宋" w:cs="仿宋"/>
          <w:b/>
          <w:color w:val="auto"/>
          <w:highlight w:val="none"/>
          <w:lang w:val="en-US" w:eastAsia="zh-CN"/>
        </w:rPr>
      </w:pPr>
      <w:bookmarkStart w:id="8" w:name="_Toc18583"/>
      <w:r>
        <w:rPr>
          <w:rFonts w:hint="eastAsia" w:ascii="仿宋" w:hAnsi="仿宋" w:eastAsia="仿宋" w:cs="仿宋"/>
          <w:b/>
          <w:color w:val="auto"/>
          <w:highlight w:val="none"/>
          <w:lang w:val="en-US" w:eastAsia="zh-CN"/>
        </w:rPr>
        <w:t>二、用地实施情况评估</w:t>
      </w:r>
      <w:bookmarkEnd w:id="8"/>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color w:val="auto"/>
          <w:sz w:val="28"/>
          <w:szCs w:val="28"/>
          <w:highlight w:val="none"/>
          <w:lang w:val="en-US" w:eastAsia="zh-CN"/>
        </w:rPr>
        <w:t>拟调整地块</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盈江县城1E081部分地块，总用地面积约10741平方米，用地性质为R2二类居住用地。现状内部建筑主要为餐饮类商业建筑</w:t>
      </w:r>
      <w:r>
        <w:rPr>
          <w:rFonts w:hint="eastAsia" w:ascii="仿宋" w:hAnsi="仿宋" w:eastAsia="仿宋" w:cs="仿宋"/>
          <w:sz w:val="28"/>
          <w:szCs w:val="28"/>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eastAsiaTheme="minorEastAsia"/>
          <w:lang w:eastAsia="zh-CN"/>
        </w:rPr>
      </w:pPr>
      <w:r>
        <w:drawing>
          <wp:inline distT="0" distB="0" distL="114300" distR="114300">
            <wp:extent cx="5270500" cy="3705225"/>
            <wp:effectExtent l="0" t="0" r="2540" b="13335"/>
            <wp:docPr id="41" name="图片 3" descr="C:\Users\tyven\Desktop\控规调整报告（16.11亩）\x卫片.jpgx卫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C:\Users\tyven\Desktop\控规调整报告（16.11亩）\x卫片.jpgx卫片"/>
                    <pic:cNvPicPr>
                      <a:picLocks noChangeAspect="1"/>
                    </pic:cNvPicPr>
                  </pic:nvPicPr>
                  <pic:blipFill>
                    <a:blip r:embed="rId17"/>
                    <a:srcRect l="22672" t="19203" r="29353" b="33077"/>
                    <a:stretch>
                      <a:fillRect/>
                    </a:stretch>
                  </pic:blipFill>
                  <pic:spPr>
                    <a:xfrm>
                      <a:off x="0" y="0"/>
                      <a:ext cx="5270500" cy="37052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eastAsiaTheme="minorEastAsia"/>
          <w:highlight w:val="none"/>
          <w:lang w:val="en-US"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2-1  拟调整地块现状建设情况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8"/>
          <w:szCs w:val="28"/>
          <w:highlight w:val="none"/>
          <w:lang w:val="en-US" w:eastAsia="zh-CN"/>
        </w:rPr>
        <w:drawing>
          <wp:anchor distT="0" distB="0" distL="114300" distR="114300" simplePos="0" relativeHeight="251660288" behindDoc="0" locked="0" layoutInCell="1" allowOverlap="1">
            <wp:simplePos x="0" y="0"/>
            <wp:positionH relativeFrom="column">
              <wp:posOffset>2808605</wp:posOffset>
            </wp:positionH>
            <wp:positionV relativeFrom="paragraph">
              <wp:posOffset>124460</wp:posOffset>
            </wp:positionV>
            <wp:extent cx="2159635" cy="2879725"/>
            <wp:effectExtent l="0" t="0" r="4445" b="635"/>
            <wp:wrapSquare wrapText="bothSides"/>
            <wp:docPr id="6" name="图片 6" descr="微信图片_202006050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605000632"/>
                    <pic:cNvPicPr>
                      <a:picLocks noChangeAspect="1"/>
                    </pic:cNvPicPr>
                  </pic:nvPicPr>
                  <pic:blipFill>
                    <a:blip r:embed="rId18"/>
                    <a:stretch>
                      <a:fillRect/>
                    </a:stretch>
                  </pic:blipFill>
                  <pic:spPr>
                    <a:xfrm>
                      <a:off x="0" y="0"/>
                      <a:ext cx="2159635" cy="2879725"/>
                    </a:xfrm>
                    <a:prstGeom prst="rect">
                      <a:avLst/>
                    </a:prstGeom>
                  </pic:spPr>
                </pic:pic>
              </a:graphicData>
            </a:graphic>
          </wp:anchor>
        </w:drawing>
      </w:r>
      <w:r>
        <w:rPr>
          <w:rFonts w:hint="default" w:ascii="仿宋" w:hAnsi="仿宋" w:eastAsia="仿宋" w:cs="仿宋"/>
          <w:color w:val="auto"/>
          <w:sz w:val="28"/>
          <w:szCs w:val="28"/>
          <w:highlight w:val="none"/>
          <w:lang w:val="en-US" w:eastAsia="zh-CN"/>
        </w:rPr>
        <w:drawing>
          <wp:anchor distT="0" distB="0" distL="114300" distR="114300" simplePos="0" relativeHeight="251659264" behindDoc="0" locked="0" layoutInCell="1" allowOverlap="1">
            <wp:simplePos x="0" y="0"/>
            <wp:positionH relativeFrom="column">
              <wp:posOffset>210820</wp:posOffset>
            </wp:positionH>
            <wp:positionV relativeFrom="paragraph">
              <wp:posOffset>137160</wp:posOffset>
            </wp:positionV>
            <wp:extent cx="2159635" cy="2879725"/>
            <wp:effectExtent l="0" t="0" r="4445" b="635"/>
            <wp:wrapTopAndBottom/>
            <wp:docPr id="4" name="图片 4" descr="微信图片_202006050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605000612"/>
                    <pic:cNvPicPr>
                      <a:picLocks noChangeAspect="1"/>
                    </pic:cNvPicPr>
                  </pic:nvPicPr>
                  <pic:blipFill>
                    <a:blip r:embed="rId19"/>
                    <a:stretch>
                      <a:fillRect/>
                    </a:stretch>
                  </pic:blipFill>
                  <pic:spPr>
                    <a:xfrm>
                      <a:off x="0" y="0"/>
                      <a:ext cx="2159635" cy="2879725"/>
                    </a:xfrm>
                    <a:prstGeom prst="rect">
                      <a:avLst/>
                    </a:prstGeom>
                  </pic:spPr>
                </pic:pic>
              </a:graphicData>
            </a:graphic>
          </wp:anchor>
        </w:drawing>
      </w: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2-2  地块现状情况</w:t>
      </w:r>
    </w:p>
    <w:p>
      <w:pPr>
        <w:pStyle w:val="3"/>
        <w:outlineLvl w:val="1"/>
        <w:rPr>
          <w:rFonts w:hint="eastAsia" w:ascii="仿宋" w:hAnsi="仿宋" w:eastAsia="仿宋" w:cs="仿宋"/>
          <w:b/>
          <w:color w:val="auto"/>
          <w:highlight w:val="none"/>
          <w:lang w:val="en-US" w:eastAsia="zh-CN"/>
        </w:rPr>
      </w:pPr>
      <w:bookmarkStart w:id="9" w:name="_Toc32288"/>
      <w:r>
        <w:rPr>
          <w:rFonts w:hint="eastAsia" w:ascii="仿宋" w:hAnsi="仿宋" w:eastAsia="仿宋" w:cs="仿宋"/>
          <w:b/>
          <w:color w:val="auto"/>
          <w:highlight w:val="none"/>
          <w:lang w:val="en-US" w:eastAsia="zh-CN"/>
        </w:rPr>
        <w:t>三、地块开发成本评估</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outlineLvl w:val="9"/>
        <w:rPr>
          <w:rFonts w:hint="default" w:ascii="仿宋" w:hAnsi="仿宋" w:eastAsia="仿宋" w:cs="仿宋"/>
          <w:sz w:val="28"/>
          <w:szCs w:val="28"/>
          <w:highlight w:val="none"/>
          <w:lang w:val="en-US" w:eastAsia="zh-CN"/>
        </w:rPr>
      </w:pPr>
      <w:r>
        <w:rPr>
          <w:rFonts w:hint="eastAsia" w:ascii="仿宋" w:hAnsi="仿宋" w:eastAsia="仿宋" w:cs="仿宋"/>
          <w:color w:val="auto"/>
          <w:sz w:val="28"/>
          <w:szCs w:val="28"/>
          <w:highlight w:val="none"/>
          <w:lang w:val="en-US" w:eastAsia="zh-CN"/>
        </w:rPr>
        <w:t>拟调整地块土地价格为130万/亩，在现行1.5的容积率指标下，楼面价为1300元/平方米，在目前盈江县城新房均价4200元/平方米的市场环境下，不具备开发改造的可能性</w:t>
      </w:r>
      <w:r>
        <w:rPr>
          <w:rFonts w:hint="eastAsia" w:ascii="仿宋" w:hAnsi="仿宋" w:eastAsia="仿宋" w:cs="仿宋"/>
          <w:sz w:val="28"/>
          <w:szCs w:val="28"/>
          <w:highlight w:val="none"/>
          <w:lang w:val="en-US" w:eastAsia="zh-CN"/>
        </w:rPr>
        <w:t>。</w:t>
      </w:r>
    </w:p>
    <w:p>
      <w:pPr>
        <w:pStyle w:val="2"/>
        <w:jc w:val="center"/>
        <w:outlineLvl w:val="0"/>
        <w:rPr>
          <w:rFonts w:hint="eastAsia"/>
          <w:b/>
          <w:color w:val="auto"/>
          <w:highlight w:val="none"/>
          <w:lang w:eastAsia="zh-CN"/>
        </w:rPr>
      </w:pPr>
      <w:bookmarkStart w:id="10" w:name="_Toc73"/>
      <w:r>
        <w:rPr>
          <w:rFonts w:hint="eastAsia"/>
          <w:b/>
          <w:color w:val="auto"/>
          <w:highlight w:val="none"/>
          <w:lang w:eastAsia="zh-CN"/>
        </w:rPr>
        <w:t>第</w:t>
      </w:r>
      <w:r>
        <w:rPr>
          <w:rFonts w:hint="eastAsia"/>
          <w:b/>
          <w:color w:val="auto"/>
          <w:highlight w:val="none"/>
          <w:lang w:val="en-US" w:eastAsia="zh-CN"/>
        </w:rPr>
        <w:t>三</w:t>
      </w:r>
      <w:r>
        <w:rPr>
          <w:rFonts w:hint="eastAsia"/>
          <w:b/>
          <w:color w:val="auto"/>
          <w:highlight w:val="none"/>
          <w:lang w:eastAsia="zh-CN"/>
        </w:rPr>
        <w:t>章 调整的必要性研究</w:t>
      </w:r>
      <w:bookmarkEnd w:id="10"/>
    </w:p>
    <w:p>
      <w:pPr>
        <w:pStyle w:val="3"/>
        <w:outlineLvl w:val="1"/>
        <w:rPr>
          <w:rFonts w:hint="eastAsia" w:ascii="仿宋" w:hAnsi="仿宋" w:eastAsia="仿宋" w:cs="仿宋"/>
          <w:b/>
          <w:color w:val="auto"/>
          <w:highlight w:val="none"/>
        </w:rPr>
      </w:pPr>
      <w:bookmarkStart w:id="11" w:name="_Toc11894"/>
      <w:bookmarkStart w:id="12" w:name="_Toc19540"/>
      <w:r>
        <w:rPr>
          <w:rFonts w:hint="eastAsia" w:ascii="仿宋" w:hAnsi="仿宋" w:eastAsia="仿宋" w:cs="仿宋"/>
          <w:b/>
          <w:color w:val="auto"/>
          <w:highlight w:val="none"/>
          <w:lang w:eastAsia="zh-CN"/>
        </w:rPr>
        <w:t>一、</w:t>
      </w:r>
      <w:r>
        <w:rPr>
          <w:rFonts w:hint="eastAsia" w:ascii="仿宋" w:hAnsi="仿宋" w:eastAsia="仿宋" w:cs="仿宋"/>
          <w:b/>
          <w:color w:val="auto"/>
          <w:highlight w:val="none"/>
        </w:rPr>
        <w:t>城市总体发展战略</w:t>
      </w:r>
      <w:bookmarkEnd w:id="11"/>
      <w:bookmarkEnd w:id="12"/>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随着城市建设的快速发展，</w:t>
      </w:r>
      <w:r>
        <w:rPr>
          <w:rFonts w:hint="eastAsia" w:ascii="仿宋" w:hAnsi="仿宋" w:eastAsia="仿宋" w:cs="仿宋"/>
          <w:color w:val="auto"/>
          <w:sz w:val="28"/>
          <w:szCs w:val="28"/>
          <w:highlight w:val="none"/>
          <w:lang w:val="en-US" w:eastAsia="zh-CN"/>
        </w:rPr>
        <w:t>中心城区</w:t>
      </w:r>
      <w:r>
        <w:rPr>
          <w:rFonts w:hint="eastAsia" w:ascii="仿宋" w:hAnsi="仿宋" w:eastAsia="仿宋" w:cs="仿宋"/>
          <w:color w:val="auto"/>
          <w:sz w:val="28"/>
          <w:szCs w:val="28"/>
          <w:highlight w:val="none"/>
        </w:rPr>
        <w:t>的土地资源日趋匮乏。最大限度的合理利用城市土地资源，是符合盈江县土地利用规划中提出的“集约利用土地资源，弹性控制，紧凑开发，完善城市功能，保证城市持续、健康、有序发展”的原则。</w:t>
      </w:r>
    </w:p>
    <w:p>
      <w:pPr>
        <w:pStyle w:val="3"/>
        <w:outlineLvl w:val="1"/>
        <w:rPr>
          <w:rFonts w:hint="eastAsia" w:ascii="仿宋" w:hAnsi="仿宋" w:eastAsia="仿宋" w:cs="仿宋"/>
          <w:b/>
          <w:color w:val="auto"/>
          <w:highlight w:val="none"/>
        </w:rPr>
      </w:pPr>
      <w:bookmarkStart w:id="13" w:name="_Toc13889"/>
      <w:bookmarkStart w:id="14" w:name="_Toc28453"/>
      <w:r>
        <w:rPr>
          <w:rFonts w:hint="eastAsia" w:ascii="仿宋" w:hAnsi="仿宋" w:eastAsia="仿宋" w:cs="仿宋"/>
          <w:b/>
          <w:color w:val="auto"/>
          <w:highlight w:val="none"/>
          <w:lang w:val="en-US" w:eastAsia="zh-CN"/>
        </w:rPr>
        <w:t>二、</w:t>
      </w:r>
      <w:r>
        <w:rPr>
          <w:rFonts w:hint="eastAsia" w:ascii="仿宋" w:hAnsi="仿宋" w:eastAsia="仿宋" w:cs="仿宋"/>
          <w:b/>
          <w:color w:val="auto"/>
          <w:highlight w:val="none"/>
        </w:rPr>
        <w:t>区域发展的需求</w:t>
      </w:r>
      <w:bookmarkEnd w:id="13"/>
      <w:bookmarkEnd w:id="14"/>
    </w:p>
    <w:p>
      <w:pPr>
        <w:ind w:firstLine="57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拟调整地块</w:t>
      </w:r>
      <w:r>
        <w:rPr>
          <w:rFonts w:hint="eastAsia" w:ascii="仿宋" w:hAnsi="仿宋" w:eastAsia="仿宋" w:cs="仿宋"/>
          <w:color w:val="auto"/>
          <w:sz w:val="28"/>
          <w:szCs w:val="28"/>
          <w:highlight w:val="none"/>
          <w:lang w:val="en-US" w:eastAsia="zh-CN"/>
        </w:rPr>
        <w:t>位于盈江县城南部新城，临近老城区，是南部新城先行开发的核心区域。</w:t>
      </w:r>
      <w:r>
        <w:rPr>
          <w:rFonts w:hint="eastAsia" w:ascii="仿宋" w:hAnsi="仿宋" w:eastAsia="仿宋" w:cs="仿宋"/>
          <w:color w:val="auto"/>
          <w:sz w:val="28"/>
          <w:szCs w:val="28"/>
          <w:highlight w:val="none"/>
        </w:rPr>
        <w:t>本着“十分珍惜和合理利用土地”的基本原则，</w:t>
      </w:r>
      <w:r>
        <w:rPr>
          <w:rFonts w:hint="eastAsia" w:ascii="仿宋" w:hAnsi="仿宋" w:eastAsia="仿宋" w:cs="仿宋"/>
          <w:color w:val="auto"/>
          <w:sz w:val="28"/>
          <w:szCs w:val="28"/>
          <w:highlight w:val="none"/>
          <w:lang w:val="en-US" w:eastAsia="zh-CN"/>
        </w:rPr>
        <w:t>为实现土地价值最大化，完善城市功能，塑造城市新区风貌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应</w:t>
      </w:r>
      <w:r>
        <w:rPr>
          <w:rFonts w:hint="eastAsia" w:ascii="仿宋" w:hAnsi="仿宋" w:eastAsia="仿宋" w:cs="仿宋"/>
          <w:color w:val="auto"/>
          <w:sz w:val="28"/>
          <w:szCs w:val="28"/>
          <w:highlight w:val="none"/>
          <w:lang w:val="en-US" w:eastAsia="zh-CN"/>
        </w:rPr>
        <w:t>进行</w:t>
      </w:r>
      <w:r>
        <w:rPr>
          <w:rFonts w:hint="eastAsia" w:ascii="仿宋" w:hAnsi="仿宋" w:eastAsia="仿宋" w:cs="仿宋"/>
          <w:color w:val="auto"/>
          <w:sz w:val="28"/>
          <w:szCs w:val="28"/>
          <w:highlight w:val="none"/>
        </w:rPr>
        <w:t>高品位、高层次的开发。</w:t>
      </w:r>
      <w:r>
        <w:rPr>
          <w:rFonts w:hint="eastAsia" w:ascii="仿宋" w:hAnsi="仿宋" w:eastAsia="仿宋" w:cs="仿宋"/>
          <w:color w:val="auto"/>
          <w:sz w:val="28"/>
          <w:szCs w:val="28"/>
          <w:highlight w:val="none"/>
          <w:lang w:val="en-US" w:eastAsia="zh-CN"/>
        </w:rPr>
        <w:t>近年来，随着盈江城市的发展</w:t>
      </w:r>
      <w:r>
        <w:rPr>
          <w:rFonts w:hint="eastAsia" w:ascii="仿宋" w:hAnsi="仿宋" w:eastAsia="仿宋" w:cs="仿宋"/>
          <w:color w:val="auto"/>
          <w:sz w:val="28"/>
          <w:szCs w:val="28"/>
          <w:highlight w:val="none"/>
        </w:rPr>
        <w:t>，结合地块的</w:t>
      </w:r>
      <w:r>
        <w:rPr>
          <w:rFonts w:hint="eastAsia" w:ascii="仿宋" w:hAnsi="仿宋" w:eastAsia="仿宋" w:cs="仿宋"/>
          <w:color w:val="auto"/>
          <w:sz w:val="28"/>
          <w:szCs w:val="28"/>
          <w:highlight w:val="none"/>
          <w:lang w:val="en-US" w:eastAsia="zh-CN"/>
        </w:rPr>
        <w:t>区位及周边楼盘开发情况</w:t>
      </w:r>
      <w:r>
        <w:rPr>
          <w:rFonts w:hint="eastAsia" w:ascii="仿宋" w:hAnsi="仿宋" w:eastAsia="仿宋" w:cs="仿宋"/>
          <w:color w:val="auto"/>
          <w:sz w:val="28"/>
          <w:szCs w:val="28"/>
          <w:highlight w:val="none"/>
        </w:rPr>
        <w:t>，建议适度调整</w:t>
      </w:r>
      <w:r>
        <w:rPr>
          <w:rFonts w:hint="eastAsia" w:ascii="仿宋" w:hAnsi="仿宋" w:eastAsia="仿宋" w:cs="仿宋"/>
          <w:color w:val="auto"/>
          <w:sz w:val="28"/>
          <w:szCs w:val="28"/>
          <w:highlight w:val="none"/>
          <w:lang w:val="en-US" w:eastAsia="zh-CN"/>
        </w:rPr>
        <w:t>部分控制指标，以科学开发利用土地</w:t>
      </w:r>
      <w:r>
        <w:rPr>
          <w:rFonts w:hint="eastAsia" w:ascii="仿宋" w:hAnsi="仿宋" w:eastAsia="仿宋" w:cs="仿宋"/>
          <w:color w:val="auto"/>
          <w:sz w:val="28"/>
          <w:szCs w:val="28"/>
          <w:highlight w:val="none"/>
        </w:rPr>
        <w:t>。</w:t>
      </w:r>
    </w:p>
    <w:p>
      <w:pPr>
        <w:pStyle w:val="3"/>
        <w:outlineLvl w:val="1"/>
        <w:rPr>
          <w:rFonts w:hint="eastAsia" w:ascii="仿宋" w:hAnsi="仿宋" w:eastAsia="仿宋" w:cs="仿宋"/>
          <w:b/>
          <w:color w:val="auto"/>
          <w:highlight w:val="none"/>
          <w:lang w:val="en-US" w:eastAsia="zh-CN"/>
        </w:rPr>
      </w:pPr>
      <w:bookmarkStart w:id="15" w:name="_Toc20454"/>
      <w:r>
        <w:rPr>
          <w:rFonts w:hint="eastAsia" w:ascii="仿宋" w:hAnsi="仿宋" w:eastAsia="仿宋" w:cs="仿宋"/>
          <w:b/>
          <w:color w:val="auto"/>
          <w:highlight w:val="none"/>
          <w:lang w:val="en-US" w:eastAsia="zh-CN"/>
        </w:rPr>
        <w:t>三、城市旧城改造的需要</w:t>
      </w:r>
      <w:bookmarkEnd w:id="15"/>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旧城改造是新一轮</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"http://www.so.com/s?q=%E5%9F%8E%E5%B8%82%E5%8F%91%E5%B1%95&amp;ie=utf-8&amp;src=internal_wenda_recommend_textn" \t "https://wenda.so.com/q/_blank" </w:instrText>
      </w:r>
      <w:r>
        <w:rPr>
          <w:rFonts w:hint="eastAsia"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城市发展</w:t>
      </w:r>
      <w:r>
        <w:rPr>
          <w:rFonts w:hint="default"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lang w:eastAsia="zh-CN"/>
        </w:rPr>
        <w:t>建设</w:t>
      </w:r>
      <w:r>
        <w:rPr>
          <w:rFonts w:hint="eastAsia" w:ascii="仿宋" w:hAnsi="仿宋" w:eastAsia="仿宋" w:cs="仿宋"/>
          <w:color w:val="auto"/>
          <w:sz w:val="28"/>
          <w:szCs w:val="28"/>
          <w:highlight w:val="none"/>
        </w:rPr>
        <w:t>的重要内容，是集约利用</w:t>
      </w:r>
      <w:r>
        <w:rPr>
          <w:rFonts w:hint="default" w:ascii="仿宋" w:hAnsi="仿宋" w:eastAsia="仿宋" w:cs="仿宋"/>
          <w:color w:val="auto"/>
          <w:sz w:val="28"/>
          <w:szCs w:val="28"/>
          <w:highlight w:val="none"/>
        </w:rPr>
        <w:fldChar w:fldCharType="begin"/>
      </w:r>
      <w:r>
        <w:rPr>
          <w:rFonts w:hint="default" w:ascii="仿宋" w:hAnsi="仿宋" w:eastAsia="仿宋" w:cs="仿宋"/>
          <w:color w:val="auto"/>
          <w:sz w:val="28"/>
          <w:szCs w:val="28"/>
          <w:highlight w:val="none"/>
        </w:rPr>
        <w:instrText xml:space="preserve"> HYPERLINK "http://www.so.com/s?q=%E5%9F%8E%E5%B8%82%E5%9C%9F%E5%9C%B0&amp;ie=utf-8&amp;src=internal_wenda_recommend_textn" \t "https://wenda.so.com/q/_blank" </w:instrText>
      </w:r>
      <w:r>
        <w:rPr>
          <w:rFonts w:hint="default"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城市土地</w:t>
      </w:r>
      <w:r>
        <w:rPr>
          <w:rFonts w:hint="default"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，不断提高土地利用效益的重要途径，是使</w:t>
      </w:r>
      <w:r>
        <w:rPr>
          <w:rFonts w:hint="default" w:ascii="仿宋" w:hAnsi="仿宋" w:eastAsia="仿宋" w:cs="仿宋"/>
          <w:color w:val="auto"/>
          <w:sz w:val="28"/>
          <w:szCs w:val="28"/>
          <w:highlight w:val="none"/>
        </w:rPr>
        <w:fldChar w:fldCharType="begin"/>
      </w:r>
      <w:r>
        <w:rPr>
          <w:rFonts w:hint="default" w:ascii="仿宋" w:hAnsi="仿宋" w:eastAsia="仿宋" w:cs="仿宋"/>
          <w:color w:val="auto"/>
          <w:sz w:val="28"/>
          <w:szCs w:val="28"/>
          <w:highlight w:val="none"/>
        </w:rPr>
        <w:instrText xml:space="preserve"> HYPERLINK "http://www.so.com/s?q=%E5%9F%8E%E5%B8%82%E7%BB%93%E6%9E%84&amp;ie=utf-8&amp;src=internal_wenda_recommend_textn" \t "https://wenda.so.com/q/_blank" </w:instrText>
      </w:r>
      <w:r>
        <w:rPr>
          <w:rFonts w:hint="default"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城市结构</w:t>
      </w:r>
      <w:r>
        <w:rPr>
          <w:rFonts w:hint="default" w:ascii="仿宋" w:hAnsi="仿宋" w:eastAsia="仿宋" w:cs="仿宋"/>
          <w:color w:val="auto"/>
          <w:sz w:val="28"/>
          <w:szCs w:val="28"/>
          <w:highlight w:val="none"/>
        </w:rPr>
        <w:fldChar w:fldCharType="end"/>
      </w:r>
      <w:r>
        <w:rPr>
          <w:rFonts w:hint="default" w:ascii="仿宋" w:hAnsi="仿宋" w:eastAsia="仿宋" w:cs="仿宋"/>
          <w:color w:val="auto"/>
          <w:sz w:val="28"/>
          <w:szCs w:val="28"/>
          <w:highlight w:val="none"/>
        </w:rPr>
        <w:fldChar w:fldCharType="begin"/>
      </w:r>
      <w:r>
        <w:rPr>
          <w:rFonts w:hint="default" w:ascii="仿宋" w:hAnsi="仿宋" w:eastAsia="仿宋" w:cs="仿宋"/>
          <w:color w:val="auto"/>
          <w:sz w:val="28"/>
          <w:szCs w:val="28"/>
          <w:highlight w:val="none"/>
        </w:rPr>
        <w:instrText xml:space="preserve"> HYPERLINK "http://www.so.com/s?q=%E5%B8%83%E5%B1%80&amp;ie=utf-8&amp;src=internal_wenda_recommend_textn" \t "https://wenda.so.com/q/_blank" </w:instrText>
      </w:r>
      <w:r>
        <w:rPr>
          <w:rFonts w:hint="default"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布局</w:t>
      </w:r>
      <w:r>
        <w:rPr>
          <w:rFonts w:hint="default"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不断合理，并完善</w:t>
      </w:r>
      <w:r>
        <w:rPr>
          <w:rFonts w:hint="default" w:ascii="仿宋" w:hAnsi="仿宋" w:eastAsia="仿宋" w:cs="仿宋"/>
          <w:color w:val="auto"/>
          <w:sz w:val="28"/>
          <w:szCs w:val="28"/>
          <w:highlight w:val="none"/>
        </w:rPr>
        <w:fldChar w:fldCharType="begin"/>
      </w:r>
      <w:r>
        <w:rPr>
          <w:rFonts w:hint="default" w:ascii="仿宋" w:hAnsi="仿宋" w:eastAsia="仿宋" w:cs="仿宋"/>
          <w:color w:val="auto"/>
          <w:sz w:val="28"/>
          <w:szCs w:val="28"/>
          <w:highlight w:val="none"/>
        </w:rPr>
        <w:instrText xml:space="preserve"> HYPERLINK "http://www.so.com/s?q=%E5%9F%8E%E5%B8%82&amp;ie=utf-8&amp;src=internal_wenda_recommend_textn" \t "https://wenda.so.com/q/_blank" </w:instrText>
      </w:r>
      <w:r>
        <w:rPr>
          <w:rFonts w:hint="default"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城市</w:t>
      </w:r>
      <w:r>
        <w:rPr>
          <w:rFonts w:hint="default"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不同功能所必须采取的措施。</w:t>
      </w:r>
      <w:r>
        <w:rPr>
          <w:rFonts w:hint="eastAsia" w:ascii="仿宋" w:hAnsi="仿宋" w:eastAsia="仿宋" w:cs="仿宋"/>
          <w:color w:val="auto"/>
          <w:sz w:val="28"/>
          <w:szCs w:val="28"/>
          <w:highlight w:val="none"/>
          <w:lang w:val="en-US" w:eastAsia="zh-CN"/>
        </w:rPr>
        <w:t>因此，对于盈江县城的城市旧城改造势在必行。拟调整地块处于新老城区交汇处，现状土地开发粗放，亟需对土地进行旧城改造。</w:t>
      </w:r>
    </w:p>
    <w:p>
      <w:pPr>
        <w:pStyle w:val="3"/>
        <w:outlineLvl w:val="1"/>
        <w:rPr>
          <w:rFonts w:hint="eastAsia" w:ascii="仿宋" w:hAnsi="仿宋" w:eastAsia="仿宋" w:cs="仿宋"/>
          <w:b/>
          <w:color w:val="auto"/>
          <w:highlight w:val="none"/>
          <w:lang w:val="en-US" w:eastAsia="zh-CN"/>
        </w:rPr>
      </w:pPr>
      <w:bookmarkStart w:id="16" w:name="_Toc30700"/>
      <w:r>
        <w:rPr>
          <w:rFonts w:hint="eastAsia" w:ascii="仿宋" w:hAnsi="仿宋" w:eastAsia="仿宋" w:cs="仿宋"/>
          <w:b/>
          <w:color w:val="auto"/>
          <w:highlight w:val="none"/>
          <w:lang w:val="en-US" w:eastAsia="zh-CN"/>
        </w:rPr>
        <w:t>四、土地合理开发建设的需要</w:t>
      </w:r>
      <w:bookmarkEnd w:id="16"/>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该地块的调整主要涉及对容积率的调整，容积率调整应综合考虑地块的整体开发价值，拟调整地块土地价格为130万/亩，在现行1.5的容积率指标下，地价折算成楼面价为1300元/平方米，目前盈江县城新房均价约为4200元/平方米，房屋建安费、室外工程费、税费等费用折算成楼面价约3200元/平方米，在不考虑拆迁成本的情况下，开发成本约4500元/平方米，超出新房均价。为保障开发的合理利益空间，开发商势必要提高房价。针对盈江的实际情况，房价提高一方面市场难以接受，另一方面开发商销售压力增大，资金回笼困难，极易形成烂尾项目，对城市的开发建设非常不利。因此，综合考虑以上情况，</w:t>
      </w:r>
      <w:r>
        <w:rPr>
          <w:rFonts w:hint="eastAsia" w:ascii="仿宋" w:hAnsi="仿宋" w:eastAsia="仿宋" w:cs="仿宋"/>
          <w:sz w:val="28"/>
          <w:szCs w:val="28"/>
          <w:highlight w:val="none"/>
          <w:lang w:val="en-US" w:eastAsia="zh-CN"/>
        </w:rPr>
        <w:t>为保证开发的合理权益，应对地块相关指标进行合理调整。</w:t>
      </w:r>
    </w:p>
    <w:p>
      <w:pPr>
        <w:pStyle w:val="3"/>
        <w:outlineLvl w:val="1"/>
        <w:rPr>
          <w:rFonts w:hint="eastAsia" w:ascii="仿宋" w:hAnsi="仿宋" w:eastAsia="仿宋" w:cs="仿宋"/>
          <w:b/>
          <w:color w:val="auto"/>
          <w:highlight w:val="none"/>
          <w:lang w:eastAsia="zh-CN"/>
        </w:rPr>
      </w:pPr>
      <w:bookmarkStart w:id="17" w:name="_Toc1214"/>
      <w:bookmarkStart w:id="18" w:name="_Toc18671"/>
      <w:r>
        <w:rPr>
          <w:rFonts w:hint="eastAsia" w:ascii="仿宋" w:hAnsi="仿宋" w:eastAsia="仿宋" w:cs="仿宋"/>
          <w:b/>
          <w:color w:val="auto"/>
          <w:highlight w:val="none"/>
          <w:lang w:val="en-US" w:eastAsia="zh-CN"/>
        </w:rPr>
        <w:t>五</w:t>
      </w:r>
      <w:r>
        <w:rPr>
          <w:rFonts w:hint="eastAsia" w:ascii="仿宋" w:hAnsi="仿宋" w:eastAsia="仿宋" w:cs="仿宋"/>
          <w:b/>
          <w:color w:val="auto"/>
          <w:highlight w:val="none"/>
          <w:lang w:eastAsia="zh-CN"/>
        </w:rPr>
        <w:t>、《城市居住区规划设计标准》（GB50180-2018）施行</w:t>
      </w:r>
      <w:bookmarkEnd w:id="17"/>
      <w:bookmarkEnd w:id="18"/>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拟调整用地应</w:t>
      </w:r>
      <w:r>
        <w:rPr>
          <w:rFonts w:hint="eastAsia" w:ascii="仿宋" w:hAnsi="仿宋" w:eastAsia="仿宋" w:cs="仿宋"/>
          <w:color w:val="auto"/>
          <w:sz w:val="28"/>
          <w:szCs w:val="28"/>
          <w:highlight w:val="none"/>
          <w:lang w:eastAsia="zh-CN"/>
        </w:rPr>
        <w:t>以《城市居住区规划设计标准》（GB50180-2018）为重要依据，作为用地控制指标、</w:t>
      </w:r>
      <w:r>
        <w:rPr>
          <w:rFonts w:hint="eastAsia" w:ascii="仿宋" w:hAnsi="仿宋" w:eastAsia="仿宋" w:cs="仿宋"/>
          <w:color w:val="auto"/>
          <w:sz w:val="28"/>
          <w:szCs w:val="28"/>
          <w:highlight w:val="none"/>
          <w:lang w:val="en-US" w:eastAsia="zh-CN"/>
        </w:rPr>
        <w:t>配套设施</w:t>
      </w:r>
      <w:r>
        <w:rPr>
          <w:rFonts w:hint="eastAsia" w:ascii="仿宋" w:hAnsi="仿宋" w:eastAsia="仿宋" w:cs="仿宋"/>
          <w:color w:val="auto"/>
          <w:sz w:val="28"/>
          <w:szCs w:val="28"/>
          <w:highlight w:val="none"/>
          <w:lang w:eastAsia="zh-CN"/>
        </w:rPr>
        <w:t>配建标准等规划内容进行控制</w:t>
      </w:r>
      <w:r>
        <w:rPr>
          <w:rFonts w:hint="eastAsia" w:ascii="仿宋" w:hAnsi="仿宋" w:eastAsia="仿宋" w:cs="仿宋"/>
          <w:color w:val="auto"/>
          <w:sz w:val="28"/>
          <w:szCs w:val="28"/>
          <w:highlight w:val="none"/>
          <w:lang w:val="en-US" w:eastAsia="zh-CN"/>
        </w:rPr>
        <w:t>。</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新版居住区规范按照居民在合理的步行距离内满足基本生活需求的原则，划分为十五分钟生活圈居住区、十分钟生活圈居住区、五分钟生活圈居住区及居住街坊四级。居住区应根据其分级控制规模，对应规划建设配套设施和公共绿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根据居住区规范中对生活圈配套设施的要求，</w:t>
      </w:r>
      <w:r>
        <w:rPr>
          <w:rFonts w:hint="default" w:ascii="仿宋" w:hAnsi="仿宋" w:eastAsia="仿宋" w:cs="仿宋"/>
          <w:color w:val="auto"/>
          <w:sz w:val="28"/>
          <w:szCs w:val="28"/>
          <w:highlight w:val="none"/>
          <w:lang w:val="en-US" w:eastAsia="zh-CN"/>
        </w:rPr>
        <w:t xml:space="preserve">配套设施应遵循配套建设、方便使用，统筹开放、兼顾发展的原则进行配置，其布局应遵循集中和分散兼顾、独立和混合使用并重的原则，并应符合下列规定：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r>
        <w:rPr>
          <w:rFonts w:hint="default" w:ascii="仿宋" w:hAnsi="仿宋" w:eastAsia="仿宋" w:cs="仿宋"/>
          <w:color w:val="auto"/>
          <w:sz w:val="28"/>
          <w:szCs w:val="28"/>
          <w:highlight w:val="none"/>
          <w:lang w:val="en-US" w:eastAsia="zh-CN"/>
        </w:rPr>
        <w:t xml:space="preserve">十五分钟和十分钟生活圈居住区配套设施，应依照其服务半径相对居中布局。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default" w:ascii="仿宋" w:hAnsi="仿宋" w:eastAsia="仿宋" w:cs="仿宋"/>
          <w:color w:val="auto"/>
          <w:sz w:val="28"/>
          <w:szCs w:val="28"/>
          <w:highlight w:val="none"/>
          <w:lang w:val="en-US" w:eastAsia="zh-CN"/>
        </w:rPr>
        <w:t>十五分钟生活圈居住区配套设施中，文化活动中心、社区服务中心（街道级）、街道办事处等服务设施宜联合建设并形成街道综合服务中心，其用地面积不宜小于1hm</w:t>
      </w:r>
      <w:r>
        <w:rPr>
          <w:rFonts w:hint="default" w:ascii="仿宋" w:hAnsi="仿宋" w:eastAsia="仿宋" w:cs="仿宋"/>
          <w:color w:val="auto"/>
          <w:sz w:val="28"/>
          <w:szCs w:val="28"/>
          <w:highlight w:val="none"/>
          <w:vertAlign w:val="superscript"/>
          <w:lang w:val="en-US" w:eastAsia="zh-CN"/>
        </w:rPr>
        <w:t>2</w:t>
      </w:r>
      <w:r>
        <w:rPr>
          <w:rFonts w:hint="default" w:ascii="仿宋" w:hAnsi="仿宋" w:eastAsia="仿宋" w:cs="仿宋"/>
          <w:color w:val="auto"/>
          <w:sz w:val="28"/>
          <w:szCs w:val="28"/>
          <w:highlight w:val="none"/>
          <w:lang w:val="en-US" w:eastAsia="zh-CN"/>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default" w:ascii="仿宋" w:hAnsi="仿宋" w:eastAsia="仿宋" w:cs="仿宋"/>
          <w:color w:val="auto"/>
          <w:sz w:val="28"/>
          <w:szCs w:val="28"/>
          <w:highlight w:val="none"/>
          <w:lang w:val="en-US" w:eastAsia="zh-CN"/>
        </w:rPr>
        <w:t>五分钟生活圈居住区配套设施中，社区服务站、文化活动站（含青少年、老年活动站）、老年人日间照料中心（托老所）、社区卫生服务站、社区商业网点等服务设施，宜集中布局、联合建设，并形成社区综合服务中心，其用地面积不宜小于0.3hm</w:t>
      </w:r>
      <w:r>
        <w:rPr>
          <w:rFonts w:hint="default" w:ascii="仿宋" w:hAnsi="仿宋" w:eastAsia="仿宋" w:cs="仿宋"/>
          <w:color w:val="auto"/>
          <w:sz w:val="28"/>
          <w:szCs w:val="28"/>
          <w:highlight w:val="none"/>
          <w:vertAlign w:val="superscript"/>
          <w:lang w:val="en-US" w:eastAsia="zh-CN"/>
        </w:rPr>
        <w:t>2</w:t>
      </w:r>
      <w:r>
        <w:rPr>
          <w:rFonts w:hint="default" w:ascii="仿宋" w:hAnsi="仿宋" w:eastAsia="仿宋" w:cs="仿宋"/>
          <w:color w:val="auto"/>
          <w:sz w:val="28"/>
          <w:szCs w:val="28"/>
          <w:highlight w:val="none"/>
          <w:lang w:val="en-US" w:eastAsia="zh-CN"/>
        </w:rPr>
        <w:t xml:space="preserve">。 </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4.旧区改建项目应根据所在居住区各级配套设施的承载能力合理确定居住人口规模与住宅建筑容量；当不匹配时，应增补相应的配套设施或对应控制住宅建筑增量。</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根据拟调整地块规模，需按照居住街坊的要求配套相应设施。</w:t>
      </w:r>
    </w:p>
    <w:p>
      <w:pPr>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5397500" cy="3641725"/>
            <wp:effectExtent l="0" t="0" r="12700" b="635"/>
            <wp:docPr id="15" name="图片 15" descr="C:\Users\tyven\Desktop\控规调整报告（16.11亩）\140-土地利用规划图20140414.jpg140-土地利用规划图2014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yven\Desktop\控规调整报告（16.11亩）\140-土地利用规划图20140414.jpg140-土地利用规划图20140414"/>
                    <pic:cNvPicPr>
                      <a:picLocks noChangeAspect="1"/>
                    </pic:cNvPicPr>
                  </pic:nvPicPr>
                  <pic:blipFill>
                    <a:blip r:embed="rId20"/>
                    <a:srcRect b="4592"/>
                    <a:stretch>
                      <a:fillRect/>
                    </a:stretch>
                  </pic:blipFill>
                  <pic:spPr>
                    <a:xfrm>
                      <a:off x="0" y="0"/>
                      <a:ext cx="5397500" cy="3641725"/>
                    </a:xfrm>
                    <a:prstGeom prst="rect">
                      <a:avLst/>
                    </a:prstGeom>
                  </pic:spPr>
                </pic:pic>
              </a:graphicData>
            </a:graphic>
          </wp:inline>
        </w:drawing>
      </w:r>
    </w:p>
    <w:p>
      <w:pPr>
        <w:ind w:left="0" w:leftChars="0" w:firstLine="0" w:firstLineChars="0"/>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3-1  以拟调整用地为中心的生活圈示意</w:t>
      </w:r>
    </w:p>
    <w:p>
      <w:pPr>
        <w:pStyle w:val="2"/>
        <w:jc w:val="center"/>
        <w:outlineLvl w:val="0"/>
        <w:rPr>
          <w:rFonts w:hint="eastAsia"/>
          <w:b/>
          <w:color w:val="auto"/>
          <w:highlight w:val="none"/>
          <w:lang w:eastAsia="zh-CN"/>
        </w:rPr>
      </w:pPr>
      <w:bookmarkStart w:id="19" w:name="_Toc17113"/>
      <w:r>
        <w:rPr>
          <w:rFonts w:hint="eastAsia"/>
          <w:b/>
          <w:color w:val="auto"/>
          <w:highlight w:val="none"/>
          <w:lang w:eastAsia="zh-CN"/>
        </w:rPr>
        <w:t>第</w:t>
      </w:r>
      <w:r>
        <w:rPr>
          <w:rFonts w:hint="eastAsia"/>
          <w:b/>
          <w:color w:val="auto"/>
          <w:highlight w:val="none"/>
          <w:lang w:val="en-US" w:eastAsia="zh-CN"/>
        </w:rPr>
        <w:t>四</w:t>
      </w:r>
      <w:r>
        <w:rPr>
          <w:rFonts w:hint="eastAsia"/>
          <w:b/>
          <w:color w:val="auto"/>
          <w:highlight w:val="none"/>
          <w:lang w:eastAsia="zh-CN"/>
        </w:rPr>
        <w:t>章 评估结论与建议</w:t>
      </w:r>
      <w:bookmarkEnd w:id="19"/>
      <w:r>
        <w:rPr>
          <w:rFonts w:hint="eastAsia"/>
          <w:b/>
          <w:color w:val="auto"/>
          <w:highlight w:val="none"/>
          <w:lang w:eastAsia="zh-CN"/>
        </w:rPr>
        <w:t xml:space="preserve"> </w:t>
      </w:r>
    </w:p>
    <w:p>
      <w:pPr>
        <w:pStyle w:val="3"/>
        <w:outlineLvl w:val="1"/>
        <w:rPr>
          <w:rFonts w:hint="eastAsia" w:ascii="仿宋" w:hAnsi="仿宋" w:eastAsia="仿宋" w:cs="仿宋"/>
          <w:b/>
          <w:color w:val="auto"/>
          <w:highlight w:val="none"/>
          <w:lang w:eastAsia="zh-CN"/>
        </w:rPr>
      </w:pPr>
      <w:bookmarkStart w:id="20" w:name="_Toc30129"/>
      <w:r>
        <w:rPr>
          <w:rFonts w:hint="eastAsia" w:ascii="仿宋" w:hAnsi="仿宋" w:eastAsia="仿宋" w:cs="仿宋"/>
          <w:b/>
          <w:color w:val="auto"/>
          <w:highlight w:val="none"/>
          <w:lang w:eastAsia="zh-CN"/>
        </w:rPr>
        <w:t>一、评估结论</w:t>
      </w:r>
      <w:bookmarkEnd w:id="20"/>
      <w:r>
        <w:rPr>
          <w:rFonts w:hint="eastAsia" w:ascii="仿宋" w:hAnsi="仿宋" w:eastAsia="仿宋" w:cs="仿宋"/>
          <w:b/>
          <w:color w:val="auto"/>
          <w:highlight w:val="none"/>
          <w:lang w:eastAsia="zh-CN"/>
        </w:rPr>
        <w:t xml:space="preserve">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在</w:t>
      </w:r>
      <w:r>
        <w:rPr>
          <w:rFonts w:hint="eastAsia" w:ascii="仿宋" w:hAnsi="仿宋" w:eastAsia="仿宋" w:cs="仿宋"/>
          <w:color w:val="auto"/>
          <w:sz w:val="28"/>
          <w:szCs w:val="28"/>
          <w:highlight w:val="none"/>
          <w:lang w:val="en-US" w:eastAsia="zh-CN"/>
        </w:rPr>
        <w:t>盈江县城市发展战略等</w:t>
      </w:r>
      <w:r>
        <w:rPr>
          <w:rFonts w:hint="eastAsia" w:ascii="仿宋" w:hAnsi="仿宋" w:eastAsia="仿宋" w:cs="仿宋"/>
          <w:color w:val="auto"/>
          <w:sz w:val="28"/>
          <w:szCs w:val="28"/>
          <w:highlight w:val="none"/>
          <w:lang w:eastAsia="zh-CN"/>
        </w:rPr>
        <w:t>背景下，</w:t>
      </w:r>
      <w:r>
        <w:rPr>
          <w:rFonts w:hint="eastAsia" w:ascii="仿宋" w:hAnsi="仿宋" w:eastAsia="仿宋" w:cs="仿宋"/>
          <w:color w:val="auto"/>
          <w:sz w:val="28"/>
          <w:szCs w:val="28"/>
          <w:highlight w:val="none"/>
          <w:lang w:val="en-US" w:eastAsia="zh-CN"/>
        </w:rPr>
        <w:t>盈江县南部新城作为盈江县城的新城重要片区应合理土地开发，完善新区城市功能。</w:t>
      </w:r>
      <w:r>
        <w:rPr>
          <w:rFonts w:hint="eastAsia" w:ascii="仿宋" w:hAnsi="仿宋" w:eastAsia="仿宋" w:cs="仿宋"/>
          <w:color w:val="auto"/>
          <w:sz w:val="28"/>
          <w:szCs w:val="28"/>
          <w:highlight w:val="none"/>
          <w:lang w:eastAsia="zh-CN"/>
        </w:rPr>
        <w:t>为了进一步落实新的发展形势，更好的发挥片区土地效益，实现土地价值最大化，建议开展控规调整工作。</w:t>
      </w:r>
    </w:p>
    <w:p>
      <w:pPr>
        <w:pStyle w:val="3"/>
        <w:outlineLvl w:val="1"/>
        <w:rPr>
          <w:rFonts w:hint="eastAsia" w:ascii="仿宋" w:hAnsi="仿宋" w:eastAsia="仿宋" w:cs="仿宋"/>
          <w:b/>
          <w:color w:val="auto"/>
          <w:highlight w:val="none"/>
          <w:lang w:eastAsia="zh-CN"/>
        </w:rPr>
      </w:pPr>
      <w:bookmarkStart w:id="21" w:name="_Toc1299"/>
      <w:r>
        <w:rPr>
          <w:rFonts w:hint="eastAsia" w:ascii="仿宋" w:hAnsi="仿宋" w:eastAsia="仿宋" w:cs="仿宋"/>
          <w:b/>
          <w:color w:val="auto"/>
          <w:highlight w:val="none"/>
          <w:lang w:eastAsia="zh-CN"/>
        </w:rPr>
        <w:t>二、评估建议</w:t>
      </w:r>
      <w:bookmarkEnd w:id="21"/>
      <w:r>
        <w:rPr>
          <w:rFonts w:hint="eastAsia" w:ascii="仿宋" w:hAnsi="仿宋" w:eastAsia="仿宋" w:cs="仿宋"/>
          <w:b/>
          <w:color w:val="auto"/>
          <w:highlight w:val="none"/>
          <w:lang w:eastAsia="zh-CN"/>
        </w:rPr>
        <w:t xml:space="preserve"> </w:t>
      </w:r>
    </w:p>
    <w:p>
      <w:pP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（一）相关程序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按照城市规划听证</w:t>
      </w:r>
      <w:r>
        <w:rPr>
          <w:rFonts w:hint="eastAsia" w:ascii="仿宋" w:hAnsi="仿宋" w:eastAsia="仿宋" w:cs="仿宋"/>
          <w:color w:val="auto"/>
          <w:sz w:val="28"/>
          <w:szCs w:val="28"/>
          <w:highlight w:val="none"/>
          <w:lang w:val="en-US" w:eastAsia="zh-CN"/>
        </w:rPr>
        <w:t>事项的规定相关程序，征求《盈江县城1E081部分地块控制性详</w:t>
      </w:r>
      <w:r>
        <w:rPr>
          <w:rFonts w:hint="eastAsia" w:ascii="仿宋" w:hAnsi="仿宋" w:eastAsia="仿宋" w:cs="仿宋"/>
          <w:color w:val="auto"/>
          <w:sz w:val="28"/>
          <w:szCs w:val="28"/>
          <w:highlight w:val="none"/>
          <w:lang w:eastAsia="zh-CN"/>
        </w:rPr>
        <w:t>细规划调整》规划地段内利害关系人相关意见，并进行控制性详细规划技术修正批前公示和批后公布。</w:t>
      </w:r>
      <w:r>
        <w:rPr>
          <w:rFonts w:hint="eastAsia" w:ascii="仿宋" w:hAnsi="仿宋" w:eastAsia="仿宋" w:cs="仿宋"/>
          <w:color w:val="auto"/>
          <w:sz w:val="28"/>
          <w:szCs w:val="28"/>
          <w:highlight w:val="none"/>
          <w:lang w:val="en-US" w:eastAsia="zh-CN"/>
        </w:rPr>
        <w:t>参照《中华人民共和国城乡规划法》第四十八条　修改控制性详细规划的，组织编制机关应当对修改的必要性进行论证，征求规划地段内利害关系人的意见，并向原审批机关提出专题报告，经原审批机关同意后，方可编制修改方案。修改后的控制性详细规划，应当依照本法第十九条、第二十条规定的审批程序报批。控制性详细规划修</w:t>
      </w:r>
      <w:bookmarkStart w:id="26" w:name="_GoBack"/>
      <w:bookmarkEnd w:id="26"/>
      <w:r>
        <w:rPr>
          <w:rFonts w:hint="eastAsia" w:ascii="仿宋" w:hAnsi="仿宋" w:eastAsia="仿宋" w:cs="仿宋"/>
          <w:color w:val="auto"/>
          <w:sz w:val="28"/>
          <w:szCs w:val="28"/>
          <w:highlight w:val="none"/>
          <w:lang w:val="en-US" w:eastAsia="zh-CN"/>
        </w:rPr>
        <w:t>改涉及城市总体规划、镇总体规划的强制性内容的，应当先修改总体规划。</w:t>
      </w:r>
    </w:p>
    <w:p>
      <w:pP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（二）指标调整建议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控规调整要落实上位规划及技术标准，完善配套设施。本次论证建议对控规容积率、</w:t>
      </w:r>
      <w:r>
        <w:rPr>
          <w:rFonts w:hint="eastAsia" w:ascii="仿宋" w:hAnsi="仿宋" w:eastAsia="仿宋" w:cs="仿宋"/>
          <w:color w:val="auto"/>
          <w:sz w:val="28"/>
          <w:szCs w:val="28"/>
          <w:highlight w:val="none"/>
          <w:lang w:val="en-US" w:eastAsia="zh-CN"/>
        </w:rPr>
        <w:t>建筑限高和停车泊位</w:t>
      </w:r>
      <w:r>
        <w:rPr>
          <w:rFonts w:hint="eastAsia" w:ascii="仿宋" w:hAnsi="仿宋" w:eastAsia="仿宋" w:cs="仿宋"/>
          <w:color w:val="auto"/>
          <w:sz w:val="28"/>
          <w:szCs w:val="28"/>
          <w:highlight w:val="none"/>
          <w:lang w:eastAsia="zh-CN"/>
        </w:rPr>
        <w:t>进行调整，调整</w:t>
      </w:r>
      <w:r>
        <w:rPr>
          <w:rFonts w:hint="eastAsia" w:ascii="仿宋" w:hAnsi="仿宋" w:eastAsia="仿宋" w:cs="仿宋"/>
          <w:color w:val="auto"/>
          <w:sz w:val="28"/>
          <w:szCs w:val="28"/>
          <w:highlight w:val="none"/>
          <w:lang w:val="en-US" w:eastAsia="zh-CN"/>
        </w:rPr>
        <w:t>建议</w:t>
      </w:r>
      <w:r>
        <w:rPr>
          <w:rFonts w:hint="eastAsia" w:ascii="仿宋" w:hAnsi="仿宋" w:eastAsia="仿宋" w:cs="仿宋"/>
          <w:color w:val="auto"/>
          <w:sz w:val="28"/>
          <w:szCs w:val="28"/>
          <w:highlight w:val="none"/>
          <w:lang w:eastAsia="zh-CN"/>
        </w:rPr>
        <w:t>如下：</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块指标的调整充分参考周边二类居住用地的控制指标及现状开发情况。如图所示，地块周边二类居住用地控制容积率范围为1.5-3.0；建筑限高控制范围为24-60米。拟调整地块在控规中的容积率1.5及建筑限高24米在片区中均偏低，考虑地块所在区域为南部新区先行开发的重要区域，且该地块紧邻珠宝城和盈江县客运站，地理区位较好，应加强对现状建筑的更新改造，提升南部新区整体城市风貌，在对建筑层数控制为多层范围的基础上，结合《城市居住区规划设计标准》和《德宏州城乡规划管理技术规定》适度调整部分控制指标。</w:t>
      </w:r>
    </w:p>
    <w:p>
      <w:pPr>
        <w:ind w:left="0" w:leftChars="0" w:firstLine="0"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5201920" cy="3611245"/>
            <wp:effectExtent l="0" t="0" r="10160" b="635"/>
            <wp:docPr id="5" name="图片 5" descr="C:\Users\tyven\Desktop\控规调整报告（16.11亩）\x周边地块.jpgx周边地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yven\Desktop\控规调整报告（16.11亩）\x周边地块.jpgx周边地块"/>
                    <pic:cNvPicPr>
                      <a:picLocks noChangeAspect="1"/>
                    </pic:cNvPicPr>
                  </pic:nvPicPr>
                  <pic:blipFill>
                    <a:blip r:embed="rId21"/>
                    <a:srcRect/>
                    <a:stretch>
                      <a:fillRect/>
                    </a:stretch>
                  </pic:blipFill>
                  <pic:spPr>
                    <a:xfrm>
                      <a:off x="0" y="0"/>
                      <a:ext cx="5201920" cy="3611245"/>
                    </a:xfrm>
                    <a:prstGeom prst="rect">
                      <a:avLst/>
                    </a:prstGeom>
                  </pic:spPr>
                </pic:pic>
              </a:graphicData>
            </a:graphic>
          </wp:inline>
        </w:drawing>
      </w:r>
    </w:p>
    <w:p>
      <w:pPr>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4-1  地块周边二类居住用地容积率、建筑限高指标情况</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城市居住区规划设计标准》中对居住街坊的用地与建筑控制指标要求，盈江县属于Ⅴ类气候区，标准中对居住街坊用地与建筑控制指标进行规定，住宅建筑平均层数类别为多层Ⅱ类（7层-9层），住宅用地容积率1.7-2.1，建筑密度最大值30%，住宅建筑高度控制最大值36米。（住宅建筑平均层数定义：一定用地范围内，住宅建筑总面积与住宅建筑基底总面积的比值所得的层数。）</w:t>
      </w:r>
    </w:p>
    <w:p>
      <w:pPr>
        <w:ind w:firstLine="57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（1）容积率调整：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容积率调整应综合考虑地块的整体开发价值，拟调整地块土地价格为130万/亩，在现行1.5的容积率指标下，地价折算成楼面价为1300元/平方米，目前盈江县城新房均价约为4200元/平方米，房屋建安费、室外工程费、税费等费用折算成楼面价约3200元/平方米，在不考虑拆迁成本的情况下，开发成本约4500元/平方米，不具备开发改造的可能性，因此需要对地块容积率进行适度提高，以集约节约利用土地资源</w:t>
      </w:r>
      <w:r>
        <w:rPr>
          <w:rFonts w:hint="eastAsia" w:ascii="仿宋" w:hAnsi="仿宋" w:eastAsia="仿宋" w:cs="仿宋"/>
          <w:sz w:val="28"/>
          <w:szCs w:val="28"/>
          <w:highlight w:val="none"/>
          <w:lang w:val="en-US" w:eastAsia="zh-CN"/>
        </w:rPr>
        <w:t>。在考虑开发商5%的利润空间的情况下粗略推算地块容积率，开发商的收益主要由三部分构成，包括土地成本，房屋建安费、室外工程费、税费等成本和利润，设每公顷的建筑面积为X，则4200X÷10000=130×15+3200X÷10000+4200X÷10000×5%，计算可得X=24683平方米，即可得出容积率为2.468。综合考虑盈江实际开发建设情况和地块所在区位，根据</w:t>
      </w:r>
      <w:r>
        <w:rPr>
          <w:rFonts w:hint="eastAsia" w:ascii="仿宋" w:hAnsi="仿宋" w:eastAsia="仿宋" w:cs="仿宋"/>
          <w:color w:val="auto"/>
          <w:sz w:val="28"/>
          <w:szCs w:val="28"/>
          <w:highlight w:val="none"/>
          <w:lang w:val="en-US" w:eastAsia="zh-CN"/>
        </w:rPr>
        <w:t>《城市居住区规划设计标准》中住宅建筑平均层数类别为多层Ⅱ类（7层-9层）的控制要求，提出该地块建议控制容积率指标为1.7≤FAR≤2.1。</w:t>
      </w:r>
    </w:p>
    <w:p>
      <w:pPr>
        <w:ind w:firstLine="57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（2）绿地率调整：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按照</w:t>
      </w:r>
      <w:r>
        <w:rPr>
          <w:rFonts w:hint="eastAsia" w:ascii="仿宋" w:hAnsi="仿宋" w:eastAsia="仿宋" w:cs="仿宋"/>
          <w:color w:val="auto"/>
          <w:sz w:val="28"/>
          <w:szCs w:val="28"/>
          <w:highlight w:val="none"/>
          <w:lang w:eastAsia="zh-CN"/>
        </w:rPr>
        <w:t>《城市居住区规划设计标准》对住宅用地</w:t>
      </w:r>
      <w:r>
        <w:rPr>
          <w:rFonts w:hint="eastAsia" w:ascii="仿宋" w:hAnsi="仿宋" w:eastAsia="仿宋" w:cs="仿宋"/>
          <w:color w:val="auto"/>
          <w:sz w:val="28"/>
          <w:szCs w:val="28"/>
          <w:highlight w:val="none"/>
          <w:lang w:val="en-US" w:eastAsia="zh-CN"/>
        </w:rPr>
        <w:t>绿地率</w:t>
      </w:r>
      <w:r>
        <w:rPr>
          <w:rFonts w:hint="eastAsia" w:ascii="仿宋" w:hAnsi="仿宋" w:eastAsia="仿宋" w:cs="仿宋"/>
          <w:color w:val="auto"/>
          <w:sz w:val="28"/>
          <w:szCs w:val="28"/>
          <w:highlight w:val="none"/>
          <w:lang w:eastAsia="zh-CN"/>
        </w:rPr>
        <w:t>的要求，</w:t>
      </w:r>
      <w:r>
        <w:rPr>
          <w:rFonts w:hint="eastAsia" w:ascii="仿宋" w:hAnsi="仿宋" w:eastAsia="仿宋" w:cs="仿宋"/>
          <w:color w:val="auto"/>
          <w:sz w:val="28"/>
          <w:szCs w:val="28"/>
          <w:highlight w:val="none"/>
          <w:lang w:val="en-US" w:eastAsia="zh-CN"/>
        </w:rPr>
        <w:t>提出绿地率建议控制最小值为30%，绿地率从原控规中的25%提高至30%。</w:t>
      </w:r>
    </w:p>
    <w:p>
      <w:pPr>
        <w:ind w:firstLine="57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（3）建筑高度调整：</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建筑高度的调整充分考虑地块所在片区的整体建筑高度控制，以及对地块容积率的调整提升，拟调整方案建议地块整体高度控制在</w:t>
      </w:r>
      <w:r>
        <w:rPr>
          <w:rFonts w:hint="eastAsia" w:ascii="仿宋" w:hAnsi="仿宋" w:eastAsia="仿宋" w:cs="仿宋"/>
          <w:color w:val="auto"/>
          <w:sz w:val="28"/>
          <w:szCs w:val="28"/>
          <w:highlight w:val="none"/>
          <w:lang w:eastAsia="zh-CN"/>
        </w:rPr>
        <w:t>《城市居住区规划设计标准》</w:t>
      </w:r>
      <w:r>
        <w:rPr>
          <w:rFonts w:hint="eastAsia" w:ascii="仿宋" w:hAnsi="仿宋" w:eastAsia="仿宋" w:cs="仿宋"/>
          <w:color w:val="auto"/>
          <w:sz w:val="28"/>
          <w:szCs w:val="28"/>
          <w:highlight w:val="none"/>
          <w:lang w:val="en-US" w:eastAsia="zh-CN"/>
        </w:rPr>
        <w:t>多层Ⅱ类的平均层数范围内，即7-9层，提出建筑高度建议控制最大值为27米，不破坏片区城市天际线。</w:t>
      </w:r>
    </w:p>
    <w:p>
      <w:pPr>
        <w:ind w:firstLine="570"/>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（4）停车泊位调整：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按照</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lang w:eastAsia="zh-CN"/>
        </w:rPr>
        <w:t>》中对</w:t>
      </w:r>
      <w:r>
        <w:rPr>
          <w:rFonts w:hint="eastAsia" w:ascii="仿宋" w:hAnsi="仿宋" w:eastAsia="仿宋" w:cs="仿宋"/>
          <w:sz w:val="28"/>
          <w:szCs w:val="28"/>
          <w:highlight w:val="none"/>
          <w:lang w:val="en-US" w:eastAsia="zh-CN"/>
        </w:rPr>
        <w:t>停车位设置的要求进行控制。机动车停车位：住宅0.8个车位/100平方米建筑面积、商业0.5个车位/100平方米建筑面积。非机动车停车位：每户建筑面积≤144平方米设2个停车位，＞144平方米设1个停车位。</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调整后的建议控制指标如下：</w:t>
      </w:r>
    </w:p>
    <w:p>
      <w:pPr>
        <w:ind w:left="0" w:leftChars="0"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表4-1 调整前后建议控制指标对照表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6"/>
        <w:gridCol w:w="764"/>
        <w:gridCol w:w="708"/>
        <w:gridCol w:w="984"/>
        <w:gridCol w:w="960"/>
        <w:gridCol w:w="840"/>
        <w:gridCol w:w="816"/>
        <w:gridCol w:w="768"/>
        <w:gridCol w:w="17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blHeader/>
          <w:jc w:val="center"/>
        </w:trPr>
        <w:tc>
          <w:tcPr>
            <w:tcW w:w="555" w:type="pct"/>
            <w:tcBorders>
              <w:right w:val="single" w:color="auto" w:sz="4" w:space="0"/>
            </w:tcBorders>
            <w:noWrap w:val="0"/>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调整情况</w:t>
            </w:r>
          </w:p>
        </w:tc>
        <w:tc>
          <w:tcPr>
            <w:tcW w:w="448" w:type="pct"/>
            <w:tcBorders>
              <w:left w:val="single" w:color="auto" w:sz="4" w:space="0"/>
            </w:tcBorders>
            <w:noWrap w:val="0"/>
            <w:vAlign w:val="center"/>
          </w:tcPr>
          <w:p>
            <w:pPr>
              <w:jc w:val="center"/>
              <w:rPr>
                <w:rFonts w:hint="default" w:ascii="仿宋" w:hAnsi="仿宋" w:eastAsia="仿宋" w:cs="仿宋"/>
                <w:b/>
                <w:color w:val="auto"/>
                <w:sz w:val="21"/>
                <w:szCs w:val="21"/>
                <w:highlight w:val="none"/>
                <w:lang w:val="en-US"/>
              </w:rPr>
            </w:pPr>
            <w:r>
              <w:rPr>
                <w:rFonts w:hint="eastAsia" w:ascii="仿宋" w:hAnsi="仿宋" w:eastAsia="仿宋" w:cs="仿宋"/>
                <w:b/>
                <w:color w:val="auto"/>
                <w:sz w:val="21"/>
                <w:szCs w:val="21"/>
                <w:highlight w:val="none"/>
                <w:lang w:val="en-US" w:eastAsia="zh-CN"/>
              </w:rPr>
              <w:t>地块编号</w:t>
            </w:r>
          </w:p>
        </w:tc>
        <w:tc>
          <w:tcPr>
            <w:tcW w:w="415" w:type="pct"/>
            <w:noWrap w:val="0"/>
            <w:vAlign w:val="center"/>
          </w:tcPr>
          <w:p>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用地性质</w:t>
            </w:r>
          </w:p>
        </w:tc>
        <w:tc>
          <w:tcPr>
            <w:tcW w:w="577" w:type="pct"/>
            <w:noWrap w:val="0"/>
            <w:vAlign w:val="center"/>
          </w:tcPr>
          <w:p>
            <w:pPr>
              <w:jc w:val="center"/>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sz w:val="21"/>
                <w:szCs w:val="21"/>
                <w:highlight w:val="none"/>
                <w:lang w:val="en-US" w:eastAsia="zh-CN"/>
              </w:rPr>
              <w:t>用地面积（㎡）</w:t>
            </w:r>
          </w:p>
        </w:tc>
        <w:tc>
          <w:tcPr>
            <w:tcW w:w="563"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容积率</w:t>
            </w:r>
          </w:p>
        </w:tc>
        <w:tc>
          <w:tcPr>
            <w:tcW w:w="493"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建筑密度</w:t>
            </w:r>
            <w:r>
              <w:rPr>
                <w:rFonts w:hint="eastAsia" w:ascii="仿宋" w:hAnsi="仿宋" w:eastAsia="仿宋" w:cs="仿宋"/>
                <w:b/>
                <w:color w:val="auto"/>
                <w:sz w:val="21"/>
                <w:szCs w:val="21"/>
                <w:highlight w:val="none"/>
              </w:rPr>
              <w:t>（%）</w:t>
            </w:r>
          </w:p>
        </w:tc>
        <w:tc>
          <w:tcPr>
            <w:tcW w:w="478"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绿地率（%）</w:t>
            </w:r>
          </w:p>
        </w:tc>
        <w:tc>
          <w:tcPr>
            <w:tcW w:w="450"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建筑</w:t>
            </w:r>
            <w:r>
              <w:rPr>
                <w:rFonts w:hint="eastAsia" w:ascii="仿宋" w:hAnsi="仿宋" w:eastAsia="仿宋" w:cs="仿宋"/>
                <w:b/>
                <w:color w:val="auto"/>
                <w:sz w:val="21"/>
                <w:szCs w:val="21"/>
                <w:highlight w:val="none"/>
                <w:lang w:eastAsia="zh-CN"/>
              </w:rPr>
              <w:t>高度</w:t>
            </w:r>
            <w:r>
              <w:rPr>
                <w:rFonts w:hint="eastAsia" w:ascii="仿宋" w:hAnsi="仿宋" w:eastAsia="仿宋" w:cs="仿宋"/>
                <w:b/>
                <w:color w:val="auto"/>
                <w:sz w:val="21"/>
                <w:szCs w:val="21"/>
                <w:highlight w:val="none"/>
              </w:rPr>
              <w:t>（米）</w:t>
            </w:r>
          </w:p>
        </w:tc>
        <w:tc>
          <w:tcPr>
            <w:tcW w:w="1017" w:type="pct"/>
            <w:noWrap w:val="0"/>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停车泊位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5" w:type="pct"/>
            <w:tcBorders>
              <w:righ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控规指标</w:t>
            </w:r>
          </w:p>
        </w:tc>
        <w:tc>
          <w:tcPr>
            <w:tcW w:w="448" w:type="pct"/>
            <w:tcBorders>
              <w:left w:val="single" w:color="auto" w:sz="4" w:space="0"/>
            </w:tcBorders>
            <w:noWrap w:val="0"/>
            <w:vAlign w:val="center"/>
          </w:tcPr>
          <w:p>
            <w:pPr>
              <w:autoSpaceDN w:val="0"/>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1E081-1</w:t>
            </w:r>
          </w:p>
        </w:tc>
        <w:tc>
          <w:tcPr>
            <w:tcW w:w="415" w:type="pct"/>
            <w:noWrap w:val="0"/>
            <w:vAlign w:val="center"/>
          </w:tcPr>
          <w:p>
            <w:pPr>
              <w:autoSpaceDN w:val="0"/>
              <w:jc w:val="center"/>
              <w:textAlignment w:val="center"/>
              <w:rPr>
                <w:rFonts w:hint="eastAsia" w:ascii="仿宋" w:hAnsi="仿宋" w:eastAsia="仿宋" w:cs="仿宋"/>
                <w:color w:val="auto"/>
                <w:sz w:val="21"/>
                <w:szCs w:val="21"/>
                <w:highlight w:val="none"/>
                <w:lang w:val="en-US" w:eastAsia="zh-CN"/>
              </w:rPr>
            </w:pPr>
            <w:r>
              <w:rPr>
                <w:rFonts w:hint="eastAsia" w:ascii="仿宋" w:hAnsi="仿宋" w:eastAsia="仿宋" w:cs="仿宋"/>
                <w:sz w:val="21"/>
                <w:szCs w:val="21"/>
                <w:lang w:val="en-US" w:eastAsia="zh-CN"/>
              </w:rPr>
              <w:t>R2二类居住用地</w:t>
            </w:r>
          </w:p>
        </w:tc>
        <w:tc>
          <w:tcPr>
            <w:tcW w:w="577" w:type="pct"/>
            <w:noWrap w:val="0"/>
            <w:vAlign w:val="center"/>
          </w:tcPr>
          <w:p>
            <w:pPr>
              <w:autoSpaceDN w:val="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sz w:val="21"/>
                <w:szCs w:val="21"/>
                <w:lang w:val="en-US" w:eastAsia="zh-CN"/>
              </w:rPr>
              <w:t>10741</w:t>
            </w:r>
          </w:p>
        </w:tc>
        <w:tc>
          <w:tcPr>
            <w:tcW w:w="563" w:type="pct"/>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w:t>
            </w:r>
          </w:p>
        </w:tc>
        <w:tc>
          <w:tcPr>
            <w:tcW w:w="493" w:type="pct"/>
            <w:noWrap w:val="0"/>
            <w:vAlign w:val="center"/>
          </w:tcPr>
          <w:p>
            <w:pPr>
              <w:jc w:val="center"/>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30</w:t>
            </w:r>
          </w:p>
        </w:tc>
        <w:tc>
          <w:tcPr>
            <w:tcW w:w="478" w:type="pct"/>
            <w:noWrap w:val="0"/>
            <w:vAlign w:val="center"/>
          </w:tcPr>
          <w:p>
            <w:pPr>
              <w:jc w:val="center"/>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25</w:t>
            </w:r>
          </w:p>
        </w:tc>
        <w:tc>
          <w:tcPr>
            <w:tcW w:w="450" w:type="pct"/>
            <w:noWrap w:val="0"/>
            <w:vAlign w:val="center"/>
          </w:tcPr>
          <w:p>
            <w:pPr>
              <w:jc w:val="center"/>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24</w:t>
            </w:r>
          </w:p>
        </w:tc>
        <w:tc>
          <w:tcPr>
            <w:tcW w:w="1017" w:type="pct"/>
            <w:noWrap w:val="0"/>
            <w:vAlign w:val="center"/>
          </w:tcPr>
          <w:p>
            <w:pPr>
              <w:jc w:val="center"/>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160个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5" w:type="pct"/>
            <w:tcBorders>
              <w:right w:val="single" w:color="auto" w:sz="4" w:space="0"/>
            </w:tcBorders>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拟调整方案</w:t>
            </w:r>
          </w:p>
        </w:tc>
        <w:tc>
          <w:tcPr>
            <w:tcW w:w="448" w:type="pct"/>
            <w:tcBorders>
              <w:left w:val="single" w:color="auto" w:sz="4" w:space="0"/>
            </w:tcBorders>
            <w:noWrap w:val="0"/>
            <w:vAlign w:val="center"/>
          </w:tcPr>
          <w:p>
            <w:pPr>
              <w:autoSpaceDN w:val="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sz w:val="21"/>
                <w:szCs w:val="21"/>
                <w:lang w:val="en-US" w:eastAsia="zh-CN"/>
              </w:rPr>
              <w:t>1E081-1</w:t>
            </w:r>
          </w:p>
        </w:tc>
        <w:tc>
          <w:tcPr>
            <w:tcW w:w="415" w:type="pct"/>
            <w:noWrap w:val="0"/>
            <w:vAlign w:val="center"/>
          </w:tcPr>
          <w:p>
            <w:pPr>
              <w:autoSpaceDN w:val="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sz w:val="21"/>
                <w:szCs w:val="21"/>
                <w:lang w:val="en-US" w:eastAsia="zh-CN"/>
              </w:rPr>
              <w:t>R2二类居住用地</w:t>
            </w:r>
          </w:p>
        </w:tc>
        <w:tc>
          <w:tcPr>
            <w:tcW w:w="577" w:type="pct"/>
            <w:noWrap w:val="0"/>
            <w:vAlign w:val="center"/>
          </w:tcPr>
          <w:p>
            <w:pPr>
              <w:autoSpaceDN w:val="0"/>
              <w:jc w:val="center"/>
              <w:textAlignment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sz w:val="21"/>
                <w:szCs w:val="21"/>
                <w:lang w:val="en-US" w:eastAsia="zh-CN"/>
              </w:rPr>
              <w:t>10741</w:t>
            </w:r>
          </w:p>
        </w:tc>
        <w:tc>
          <w:tcPr>
            <w:tcW w:w="563"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1.7＜FAR≤2.1</w:t>
            </w:r>
          </w:p>
        </w:tc>
        <w:tc>
          <w:tcPr>
            <w:tcW w:w="49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30</w:t>
            </w:r>
          </w:p>
        </w:tc>
        <w:tc>
          <w:tcPr>
            <w:tcW w:w="478"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30</w:t>
            </w:r>
          </w:p>
        </w:tc>
        <w:tc>
          <w:tcPr>
            <w:tcW w:w="450"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27（楼梯电梯井除外）</w:t>
            </w:r>
          </w:p>
        </w:tc>
        <w:tc>
          <w:tcPr>
            <w:tcW w:w="1017"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机动车停车位：住宅0.8个车位/100平方米建筑面积、商业0.5个车位/100平方米建筑面积。非机动车停车位：每户建筑面积≤144平方米设2个停车位，＞144平方米设1个停车位。</w:t>
            </w:r>
          </w:p>
        </w:tc>
      </w:tr>
    </w:tbl>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 xml:space="preserve">（三）其他建议 </w:t>
      </w:r>
    </w:p>
    <w:p>
      <w:pPr>
        <w:ind w:firstLine="570"/>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8"/>
          <w:szCs w:val="28"/>
          <w:highlight w:val="none"/>
          <w:lang w:val="en-US" w:eastAsia="zh-CN"/>
        </w:rPr>
        <w:t>1.按照</w:t>
      </w:r>
      <w:r>
        <w:rPr>
          <w:rFonts w:hint="eastAsia" w:ascii="仿宋" w:hAnsi="仿宋" w:eastAsia="仿宋" w:cs="仿宋"/>
          <w:color w:val="auto"/>
          <w:sz w:val="28"/>
          <w:szCs w:val="28"/>
          <w:highlight w:val="none"/>
          <w:lang w:eastAsia="zh-CN"/>
        </w:rPr>
        <w:t>《城市居住区规划设计标准》（GB50180-2018）</w:t>
      </w:r>
      <w:r>
        <w:rPr>
          <w:rFonts w:hint="eastAsia" w:ascii="仿宋" w:hAnsi="仿宋" w:eastAsia="仿宋" w:cs="仿宋"/>
          <w:color w:val="auto"/>
          <w:sz w:val="28"/>
          <w:szCs w:val="28"/>
          <w:highlight w:val="none"/>
          <w:lang w:val="en-US" w:eastAsia="zh-CN"/>
        </w:rPr>
        <w:t>中居住街坊的要求配置相应配套设施。具体要求详见下表：</w:t>
      </w:r>
    </w:p>
    <w:p>
      <w:pPr>
        <w:ind w:left="0" w:leftChars="0" w:firstLine="0" w:firstLineChars="0"/>
        <w:jc w:val="center"/>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表</w:t>
      </w:r>
      <w:r>
        <w:rPr>
          <w:rFonts w:hint="eastAsia" w:ascii="仿宋" w:hAnsi="仿宋" w:eastAsia="仿宋" w:cs="仿宋"/>
          <w:color w:val="auto"/>
          <w:sz w:val="21"/>
          <w:szCs w:val="21"/>
          <w:highlight w:val="none"/>
          <w:lang w:val="en-US" w:eastAsia="zh-CN"/>
        </w:rPr>
        <w:t>4-2</w:t>
      </w:r>
      <w:r>
        <w:rPr>
          <w:rFonts w:hint="default" w:ascii="仿宋" w:hAnsi="仿宋" w:eastAsia="仿宋" w:cs="仿宋"/>
          <w:color w:val="auto"/>
          <w:sz w:val="21"/>
          <w:szCs w:val="21"/>
          <w:highlight w:val="none"/>
          <w:lang w:val="en-US" w:eastAsia="zh-CN"/>
        </w:rPr>
        <w:t xml:space="preserve"> 居住街坊配套设施规划建设控制要求 </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063"/>
        <w:gridCol w:w="1092"/>
        <w:gridCol w:w="1644"/>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restart"/>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设施名称</w:t>
            </w:r>
          </w:p>
        </w:tc>
        <w:tc>
          <w:tcPr>
            <w:tcW w:w="2155" w:type="dxa"/>
            <w:gridSpan w:val="2"/>
            <w:vAlign w:val="center"/>
          </w:tcPr>
          <w:p>
            <w:pPr>
              <w:jc w:val="center"/>
              <w:rPr>
                <w:rFonts w:hint="default"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单项规模</w:t>
            </w:r>
          </w:p>
        </w:tc>
        <w:tc>
          <w:tcPr>
            <w:tcW w:w="1644" w:type="dxa"/>
            <w:vMerge w:val="restart"/>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服务内容</w:t>
            </w:r>
          </w:p>
        </w:tc>
        <w:tc>
          <w:tcPr>
            <w:tcW w:w="3019" w:type="dxa"/>
            <w:vMerge w:val="restart"/>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continue"/>
            <w:vAlign w:val="center"/>
          </w:tcPr>
          <w:p>
            <w:pPr>
              <w:jc w:val="center"/>
              <w:rPr>
                <w:rFonts w:hint="default" w:ascii="仿宋" w:hAnsi="仿宋" w:eastAsia="仿宋" w:cs="仿宋"/>
                <w:color w:val="auto"/>
                <w:sz w:val="21"/>
                <w:szCs w:val="21"/>
                <w:highlight w:val="none"/>
                <w:lang w:eastAsia="zh-CN"/>
              </w:rPr>
            </w:pPr>
          </w:p>
        </w:tc>
        <w:tc>
          <w:tcPr>
            <w:tcW w:w="1063" w:type="dxa"/>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建筑面积（㎡）</w:t>
            </w:r>
          </w:p>
        </w:tc>
        <w:tc>
          <w:tcPr>
            <w:tcW w:w="1092" w:type="dxa"/>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用地面积（㎡）</w:t>
            </w:r>
          </w:p>
        </w:tc>
        <w:tc>
          <w:tcPr>
            <w:tcW w:w="1644" w:type="dxa"/>
            <w:vMerge w:val="continue"/>
            <w:vAlign w:val="center"/>
          </w:tcPr>
          <w:p>
            <w:pPr>
              <w:jc w:val="center"/>
              <w:rPr>
                <w:rFonts w:hint="default" w:ascii="仿宋" w:hAnsi="仿宋" w:eastAsia="仿宋" w:cs="仿宋"/>
                <w:color w:val="auto"/>
                <w:sz w:val="21"/>
                <w:szCs w:val="21"/>
                <w:highlight w:val="none"/>
                <w:lang w:eastAsia="zh-CN"/>
              </w:rPr>
            </w:pPr>
          </w:p>
        </w:tc>
        <w:tc>
          <w:tcPr>
            <w:tcW w:w="3019" w:type="dxa"/>
            <w:vMerge w:val="continue"/>
            <w:vAlign w:val="center"/>
          </w:tcPr>
          <w:p>
            <w:pPr>
              <w:jc w:val="center"/>
              <w:rPr>
                <w:rFonts w:hint="default" w:ascii="仿宋" w:hAnsi="仿宋" w:eastAsia="仿宋" w:cs="仿宋"/>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物业管理与服务</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物业管理与服务</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宜按照不低于物业总建筑面积的2‰配置物业管理用房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儿童、老年人活动场地</w:t>
            </w:r>
          </w:p>
        </w:tc>
        <w:tc>
          <w:tcPr>
            <w:tcW w:w="1063"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170-450</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儿童活动及老年人休憩设施</w:t>
            </w:r>
          </w:p>
        </w:tc>
        <w:tc>
          <w:tcPr>
            <w:tcW w:w="3019"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1)宜结合集中绿地设置，并宜设置休憩设施；</w:t>
            </w:r>
          </w:p>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（2）用地面积不应小于170㎡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便利店</w:t>
            </w:r>
          </w:p>
        </w:tc>
        <w:tc>
          <w:tcPr>
            <w:tcW w:w="1063"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50-100</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居民日常生活用品销售</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1000-3000人设置1处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邮件和快件送达设施</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智能快件箱、智能信包箱等可接收邮件和快件的设施或场所</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应结合物业管理设施或在居住街坊内设置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生活垃圾收集点*</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居民生活垃圾投放</w:t>
            </w:r>
          </w:p>
        </w:tc>
        <w:tc>
          <w:tcPr>
            <w:tcW w:w="3019"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1）服务半径不应大于70m，生活垃圾收集点应采用分类收集，宜采用密闭方式；</w:t>
            </w:r>
          </w:p>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（2）生活垃圾收集点可采用放置垃圾容器或建造垃圾容器间的方式；</w:t>
            </w:r>
          </w:p>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（3）采用混合收集垃圾容器间时，建筑面积不宜小于5㎡；</w:t>
            </w:r>
          </w:p>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（4）采用分类收集垃圾容器间时，建筑面积不宜小于10㎡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非机动车停车场（库）</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宜设置于居住街坊出入口附近；并按照每套住宅配建1辆～2辆配置；停车场面积按照0.8㎡/辆～1.2㎡/辆配置，停车库面积按照1.5㎡/辆～1.8㎡/辆配置；电动自行车较多的城市，新建居住街坊宜集中设置电动自行车停车场，并宜配置充电控制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机动车停车场（库）</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根据所在地城市规划有关规定配置，服务半径不宜大于150m</w:t>
            </w:r>
          </w:p>
        </w:tc>
      </w:tr>
    </w:tbl>
    <w:p>
      <w:pPr>
        <w:ind w:left="0" w:leftChars="0" w:firstLine="0" w:firstLineChars="0"/>
        <w:jc w:val="left"/>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注：加*的配套设施，其建筑面积与用地面积规模应满足国家相关规划标准有关规定。</w:t>
      </w:r>
    </w:p>
    <w:p>
      <w:pPr>
        <w:ind w:firstLine="570"/>
      </w:pPr>
      <w:r>
        <w:rPr>
          <w:rFonts w:hint="eastAsia" w:ascii="仿宋" w:hAnsi="仿宋" w:eastAsia="仿宋" w:cs="仿宋"/>
          <w:color w:val="auto"/>
          <w:sz w:val="28"/>
          <w:szCs w:val="28"/>
          <w:highlight w:val="none"/>
          <w:lang w:val="en-US" w:eastAsia="zh-CN"/>
        </w:rPr>
        <w:t>2.地块为居住用地，拟调整后容积率有所提升，需考虑区域范围内配套设施的设置情况，尤其是小学和幼儿园的配建。该地块调整后的居住用地面积为10741㎡，容积率上限由1.5提高至2.1，按照《城市居住区规划设计标准》Ⅴ类气候区，原控规控制建设指标主要以低层和多层相结合，人均居住用地面积指标取30㎡/人，拟调整</w:t>
      </w:r>
      <w:r>
        <w:rPr>
          <w:rFonts w:hint="eastAsia" w:ascii="仿宋" w:hAnsi="仿宋" w:eastAsia="仿宋" w:cs="仿宋"/>
          <w:color w:val="000000"/>
          <w:kern w:val="0"/>
          <w:sz w:val="28"/>
          <w:szCs w:val="28"/>
          <w:lang w:val="en-US" w:eastAsia="zh-CN" w:bidi="ar"/>
        </w:rPr>
        <w:t xml:space="preserve">后地块主要为多层建筑，人均居住用地面积指标取20㎡/人，估算该地块未来新增的人口规模为10741÷20-10741÷30≈178人。参照《德宏州城乡规划管理技术规定》中对小学的配置要求，1万人需配置一所 18 班小学，该地块需配套小学18÷10000×178=0.3班。根据《云南省教育厅云南省自然资源厅云南省住房和城乡建设厅关于印发云南省城镇小区配套幼儿园建设管理办法的通知》中的要求，5000人需配置一所9班幼儿园，该地块需配套幼儿园9÷5000×178=0.3班。所需小学、幼儿园配套班级数量需结合周边现有小学和幼儿园统筹解决。 </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3.加强对建筑风貌的控制引导，下一阶段修建性详细规划强调建筑风格、色彩、立面等需展示盈江新城风貌，并与周边城市风貌相协调。</w:t>
      </w:r>
    </w:p>
    <w:p>
      <w:pPr>
        <w:pStyle w:val="3"/>
        <w:outlineLvl w:val="1"/>
        <w:rPr>
          <w:rFonts w:hint="eastAsia" w:ascii="仿宋" w:hAnsi="仿宋" w:eastAsia="仿宋" w:cs="仿宋"/>
          <w:b/>
          <w:color w:val="auto"/>
          <w:highlight w:val="none"/>
          <w:lang w:eastAsia="zh-CN"/>
        </w:rPr>
      </w:pPr>
      <w:bookmarkStart w:id="22" w:name="_Toc5318"/>
      <w:bookmarkStart w:id="23" w:name="_Toc537"/>
      <w:r>
        <w:rPr>
          <w:rFonts w:hint="eastAsia" w:ascii="仿宋" w:hAnsi="仿宋" w:eastAsia="仿宋" w:cs="仿宋"/>
          <w:b/>
          <w:color w:val="auto"/>
          <w:highlight w:val="none"/>
          <w:lang w:eastAsia="zh-CN"/>
        </w:rPr>
        <w:t>三、地块控规调整前后情况比较</w:t>
      </w:r>
      <w:bookmarkEnd w:id="22"/>
      <w:bookmarkEnd w:id="23"/>
      <w:r>
        <w:rPr>
          <w:rFonts w:hint="eastAsia" w:ascii="仿宋" w:hAnsi="仿宋" w:eastAsia="仿宋" w:cs="仿宋"/>
          <w:b/>
          <w:color w:val="auto"/>
          <w:highlight w:val="none"/>
          <w:lang w:eastAsia="zh-CN"/>
        </w:rPr>
        <w:t xml:space="preserve"> </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地块的控规调整是盈江县城</w:t>
      </w:r>
      <w:r>
        <w:rPr>
          <w:rFonts w:hint="eastAsia" w:ascii="仿宋" w:hAnsi="仿宋" w:eastAsia="仿宋" w:cs="仿宋"/>
          <w:color w:val="auto"/>
          <w:sz w:val="28"/>
          <w:szCs w:val="28"/>
          <w:highlight w:val="none"/>
        </w:rPr>
        <w:t>旧城改造的重要</w:t>
      </w:r>
      <w:r>
        <w:rPr>
          <w:rFonts w:hint="eastAsia" w:ascii="仿宋" w:hAnsi="仿宋" w:eastAsia="仿宋" w:cs="仿宋"/>
          <w:color w:val="auto"/>
          <w:sz w:val="28"/>
          <w:szCs w:val="28"/>
          <w:highlight w:val="none"/>
          <w:lang w:eastAsia="zh-CN"/>
        </w:rPr>
        <w:t>部分</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是</w:t>
      </w:r>
      <w:r>
        <w:rPr>
          <w:rFonts w:hint="eastAsia" w:ascii="仿宋" w:hAnsi="仿宋" w:eastAsia="仿宋" w:cs="仿宋"/>
          <w:color w:val="auto"/>
          <w:sz w:val="28"/>
          <w:szCs w:val="28"/>
          <w:highlight w:val="none"/>
        </w:rPr>
        <w:t>集约利用</w:t>
      </w:r>
      <w:r>
        <w:rPr>
          <w:rFonts w:hint="default" w:ascii="仿宋" w:hAnsi="仿宋" w:eastAsia="仿宋" w:cs="仿宋"/>
          <w:color w:val="auto"/>
          <w:sz w:val="28"/>
          <w:szCs w:val="28"/>
          <w:highlight w:val="none"/>
        </w:rPr>
        <w:fldChar w:fldCharType="begin"/>
      </w:r>
      <w:r>
        <w:rPr>
          <w:rFonts w:hint="default" w:ascii="仿宋" w:hAnsi="仿宋" w:eastAsia="仿宋" w:cs="仿宋"/>
          <w:color w:val="auto"/>
          <w:sz w:val="28"/>
          <w:szCs w:val="28"/>
          <w:highlight w:val="none"/>
        </w:rPr>
        <w:instrText xml:space="preserve"> HYPERLINK "http://www.so.com/s?q=%E5%9F%8E%E5%B8%82%E5%9C%9F%E5%9C%B0&amp;ie=utf-8&amp;src=internal_wenda_recommend_textn" \t "https://wenda.so.com/q/_blank" </w:instrText>
      </w:r>
      <w:r>
        <w:rPr>
          <w:rFonts w:hint="default" w:ascii="仿宋" w:hAnsi="仿宋" w:eastAsia="仿宋" w:cs="仿宋"/>
          <w:color w:val="auto"/>
          <w:sz w:val="28"/>
          <w:szCs w:val="28"/>
          <w:highlight w:val="none"/>
        </w:rPr>
        <w:fldChar w:fldCharType="separate"/>
      </w:r>
      <w:r>
        <w:rPr>
          <w:rFonts w:hint="default" w:ascii="仿宋" w:hAnsi="仿宋" w:eastAsia="仿宋" w:cs="仿宋"/>
          <w:color w:val="auto"/>
          <w:sz w:val="28"/>
          <w:szCs w:val="28"/>
          <w:highlight w:val="none"/>
        </w:rPr>
        <w:t>城市土地</w:t>
      </w:r>
      <w:r>
        <w:rPr>
          <w:rFonts w:hint="default"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，不断提高土地利用效益的</w:t>
      </w:r>
      <w:r>
        <w:rPr>
          <w:rFonts w:hint="eastAsia" w:ascii="仿宋" w:hAnsi="仿宋" w:eastAsia="仿宋" w:cs="仿宋"/>
          <w:color w:val="auto"/>
          <w:sz w:val="28"/>
          <w:szCs w:val="28"/>
          <w:highlight w:val="none"/>
          <w:lang w:eastAsia="zh-CN"/>
        </w:rPr>
        <w:t>体现，</w:t>
      </w:r>
      <w:r>
        <w:rPr>
          <w:rFonts w:hint="eastAsia" w:ascii="仿宋" w:hAnsi="仿宋" w:eastAsia="仿宋" w:cs="仿宋"/>
          <w:color w:val="auto"/>
          <w:sz w:val="28"/>
          <w:szCs w:val="28"/>
          <w:highlight w:val="none"/>
          <w:lang w:val="en-US" w:eastAsia="zh-CN"/>
        </w:rPr>
        <w:t>符合当地社会、经济发展的需要，对地块进行控规调整的意义重大。</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块现行控规为居住用地，容积率1.5，建筑密度30%，绿地率25%，建筑限高24米。地块拟调整控规后用地性质不变，容积率1.7-2.1，建筑密度30%，绿地率30%，建筑限高27米。控制指标的调整方面，根据地块所在区域的区位优势及片区的整体发展容积率控制范围适度提升，是对土地集约节约利用的体现。绿地率提升，提高了绿化景观环境和品质，建筑限高的适度提高对塑造城市天际线提供了更多可能。同时参照《城市居住区规划设计标准》（GB50180-2018）对居住用地的配套设施进行了明确，提升了该区域的整体城市配套功能，利于区域环境的打造。</w:t>
      </w:r>
    </w:p>
    <w:p>
      <w:pPr>
        <w:ind w:firstLine="57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anchor distT="0" distB="0" distL="114300" distR="114300" simplePos="0" relativeHeight="251662336" behindDoc="1" locked="0" layoutInCell="1" allowOverlap="1">
            <wp:simplePos x="0" y="0"/>
            <wp:positionH relativeFrom="column">
              <wp:posOffset>-1141730</wp:posOffset>
            </wp:positionH>
            <wp:positionV relativeFrom="paragraph">
              <wp:posOffset>-9234805</wp:posOffset>
            </wp:positionV>
            <wp:extent cx="7555865" cy="10681970"/>
            <wp:effectExtent l="0" t="0" r="6985" b="5080"/>
            <wp:wrapThrough wrapText="bothSides">
              <wp:wrapPolygon>
                <wp:start x="0" y="0"/>
                <wp:lineTo x="0" y="21572"/>
                <wp:lineTo x="21566" y="21572"/>
                <wp:lineTo x="21566" y="0"/>
                <wp:lineTo x="0" y="0"/>
              </wp:wrapPolygon>
            </wp:wrapThrough>
            <wp:docPr id="16" name="图片 16" descr="G:\D德宏\Y盈江\控规调整报告（16.11亩）\x最终成果\2.1调整前后对比图（终）x - 副本.jpg2.1调整前后对比图（终）x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G:\D德宏\Y盈江\控规调整报告（16.11亩）\x最终成果\2.1调整前后对比图（终）x - 副本.jpg2.1调整前后对比图（终）x - 副本"/>
                    <pic:cNvPicPr>
                      <a:picLocks noChangeAspect="1"/>
                    </pic:cNvPicPr>
                  </pic:nvPicPr>
                  <pic:blipFill>
                    <a:blip r:embed="rId22"/>
                    <a:srcRect/>
                    <a:stretch>
                      <a:fillRect/>
                    </a:stretch>
                  </pic:blipFill>
                  <pic:spPr>
                    <a:xfrm>
                      <a:off x="0" y="0"/>
                      <a:ext cx="7555865" cy="10681970"/>
                    </a:xfrm>
                    <a:prstGeom prst="rect">
                      <a:avLst/>
                    </a:prstGeom>
                  </pic:spPr>
                </pic:pic>
              </a:graphicData>
            </a:graphic>
          </wp:anchor>
        </w:drawing>
      </w:r>
    </w:p>
    <w:p>
      <w:pPr>
        <w:pStyle w:val="3"/>
        <w:outlineLvl w:val="1"/>
        <w:rPr>
          <w:rFonts w:hint="eastAsia" w:ascii="仿宋" w:hAnsi="仿宋" w:eastAsia="仿宋" w:cs="仿宋"/>
          <w:b/>
          <w:color w:val="auto"/>
          <w:highlight w:val="none"/>
          <w:lang w:val="en-US" w:eastAsia="zh-CN"/>
        </w:rPr>
      </w:pPr>
      <w:bookmarkStart w:id="24" w:name="_Toc6491"/>
      <w:bookmarkStart w:id="25" w:name="_Toc24754"/>
      <w:r>
        <w:rPr>
          <w:rFonts w:hint="eastAsia" w:ascii="仿宋" w:hAnsi="仿宋" w:eastAsia="仿宋" w:cs="仿宋"/>
          <w:b/>
          <w:color w:val="auto"/>
          <w:highlight w:val="none"/>
          <w:lang w:val="en-US" w:eastAsia="zh-CN"/>
        </w:rPr>
        <w:t>附件：国有土地使用</w:t>
      </w:r>
      <w:bookmarkEnd w:id="24"/>
      <w:r>
        <w:rPr>
          <w:rFonts w:hint="eastAsia" w:ascii="仿宋" w:hAnsi="仿宋" w:eastAsia="仿宋" w:cs="仿宋"/>
          <w:b/>
          <w:color w:val="auto"/>
          <w:highlight w:val="none"/>
          <w:lang w:val="en-US" w:eastAsia="zh-CN"/>
        </w:rPr>
        <w:t>证</w:t>
      </w:r>
      <w:bookmarkEnd w:id="25"/>
    </w:p>
    <w:p>
      <w:pPr>
        <w:rPr>
          <w:rFonts w:hint="default"/>
          <w:lang w:val="en-US" w:eastAsia="zh-CN"/>
        </w:rPr>
      </w:pPr>
      <w:r>
        <w:drawing>
          <wp:inline distT="0" distB="0" distL="114300" distR="114300">
            <wp:extent cx="5423535" cy="7571105"/>
            <wp:effectExtent l="0" t="0" r="1905" b="31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a:stretch>
                      <a:fillRect/>
                    </a:stretch>
                  </pic:blipFill>
                  <pic:spPr>
                    <a:xfrm>
                      <a:off x="0" y="0"/>
                      <a:ext cx="5423535" cy="7571105"/>
                    </a:xfrm>
                    <a:prstGeom prst="rect">
                      <a:avLst/>
                    </a:prstGeom>
                    <a:noFill/>
                    <a:ln>
                      <a:noFill/>
                    </a:ln>
                  </pic:spPr>
                </pic:pic>
              </a:graphicData>
            </a:graphic>
          </wp:inline>
        </w:drawing>
      </w:r>
      <w:r>
        <w:drawing>
          <wp:inline distT="0" distB="0" distL="114300" distR="114300">
            <wp:extent cx="5173980" cy="6027420"/>
            <wp:effectExtent l="0" t="0" r="7620"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5173980" cy="6027420"/>
                    </a:xfrm>
                    <a:prstGeom prst="rect">
                      <a:avLst/>
                    </a:prstGeom>
                    <a:noFill/>
                    <a:ln>
                      <a:noFill/>
                    </a:ln>
                  </pic:spPr>
                </pic:pic>
              </a:graphicData>
            </a:graphic>
          </wp:inline>
        </w:drawing>
      </w: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p>
      <w:pPr>
        <w:ind w:left="2" w:leftChars="-495" w:hanging="1041" w:firstLineChars="0"/>
        <w:rPr>
          <w:rFonts w:hint="eastAsia" w:ascii="仿宋" w:hAnsi="仿宋" w:eastAsia="仿宋" w:cs="仿宋"/>
          <w:color w:val="auto"/>
          <w:sz w:val="28"/>
          <w:szCs w:val="28"/>
          <w:highlight w:val="none"/>
          <w:lang w:val="en-US" w:eastAsia="zh-CN"/>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4MTg4MzBkNjA4OTJhYTA1NzQzMzk1MWQwMWRhYmEifQ=="/>
  </w:docVars>
  <w:rsids>
    <w:rsidRoot w:val="4AC2338D"/>
    <w:rsid w:val="016C3C1A"/>
    <w:rsid w:val="048B3333"/>
    <w:rsid w:val="078A2A9D"/>
    <w:rsid w:val="08201036"/>
    <w:rsid w:val="085F7A74"/>
    <w:rsid w:val="09022B31"/>
    <w:rsid w:val="09450FDA"/>
    <w:rsid w:val="0B3574AB"/>
    <w:rsid w:val="0CEE2A66"/>
    <w:rsid w:val="0DD456EC"/>
    <w:rsid w:val="0EBE2FBA"/>
    <w:rsid w:val="0EF345C8"/>
    <w:rsid w:val="0F530932"/>
    <w:rsid w:val="0F5B7502"/>
    <w:rsid w:val="0F995518"/>
    <w:rsid w:val="108E1221"/>
    <w:rsid w:val="10DF1E70"/>
    <w:rsid w:val="115618F3"/>
    <w:rsid w:val="11D15F3E"/>
    <w:rsid w:val="11F5516A"/>
    <w:rsid w:val="124776C7"/>
    <w:rsid w:val="13380B35"/>
    <w:rsid w:val="143E4718"/>
    <w:rsid w:val="15DE7DC2"/>
    <w:rsid w:val="16F95651"/>
    <w:rsid w:val="18930D3F"/>
    <w:rsid w:val="1A1B55F2"/>
    <w:rsid w:val="1B6D398C"/>
    <w:rsid w:val="1C1F51D5"/>
    <w:rsid w:val="1C331BC4"/>
    <w:rsid w:val="1D2C6779"/>
    <w:rsid w:val="1DC43DA6"/>
    <w:rsid w:val="220C2D7A"/>
    <w:rsid w:val="22137A67"/>
    <w:rsid w:val="22883227"/>
    <w:rsid w:val="23502E49"/>
    <w:rsid w:val="25E518F6"/>
    <w:rsid w:val="27617C66"/>
    <w:rsid w:val="279B5A33"/>
    <w:rsid w:val="27C13695"/>
    <w:rsid w:val="27D67B1A"/>
    <w:rsid w:val="28893A4C"/>
    <w:rsid w:val="28AC16B0"/>
    <w:rsid w:val="28CF2417"/>
    <w:rsid w:val="29AC7903"/>
    <w:rsid w:val="2A1F1DAA"/>
    <w:rsid w:val="2B5A7C5A"/>
    <w:rsid w:val="2BF27A18"/>
    <w:rsid w:val="2D50683C"/>
    <w:rsid w:val="2ED76C0B"/>
    <w:rsid w:val="2F9224C4"/>
    <w:rsid w:val="2FFA02EF"/>
    <w:rsid w:val="32032270"/>
    <w:rsid w:val="325E71A0"/>
    <w:rsid w:val="32F312FE"/>
    <w:rsid w:val="32F924A3"/>
    <w:rsid w:val="33066196"/>
    <w:rsid w:val="33BD7A74"/>
    <w:rsid w:val="33CF7021"/>
    <w:rsid w:val="33E907B8"/>
    <w:rsid w:val="34C10900"/>
    <w:rsid w:val="367D2BB2"/>
    <w:rsid w:val="3745731E"/>
    <w:rsid w:val="3C2802BA"/>
    <w:rsid w:val="3D512069"/>
    <w:rsid w:val="3FEF000F"/>
    <w:rsid w:val="411A70B4"/>
    <w:rsid w:val="421C3FA3"/>
    <w:rsid w:val="428C79C2"/>
    <w:rsid w:val="42DB2C40"/>
    <w:rsid w:val="43B14CAD"/>
    <w:rsid w:val="43C95E33"/>
    <w:rsid w:val="459716ED"/>
    <w:rsid w:val="469A0A47"/>
    <w:rsid w:val="47EF5A2B"/>
    <w:rsid w:val="48A42AF2"/>
    <w:rsid w:val="48CC1DB2"/>
    <w:rsid w:val="4A973A18"/>
    <w:rsid w:val="4AC2338D"/>
    <w:rsid w:val="4ACC55FC"/>
    <w:rsid w:val="4B145FCD"/>
    <w:rsid w:val="4C126EB6"/>
    <w:rsid w:val="4DE73EB7"/>
    <w:rsid w:val="4DFF1817"/>
    <w:rsid w:val="4E7C3863"/>
    <w:rsid w:val="506069BF"/>
    <w:rsid w:val="50B06896"/>
    <w:rsid w:val="52497479"/>
    <w:rsid w:val="528B5725"/>
    <w:rsid w:val="55032D32"/>
    <w:rsid w:val="555D55EB"/>
    <w:rsid w:val="59A7416A"/>
    <w:rsid w:val="59EA6C08"/>
    <w:rsid w:val="5A723948"/>
    <w:rsid w:val="5B131913"/>
    <w:rsid w:val="5B9859C8"/>
    <w:rsid w:val="5BE765A7"/>
    <w:rsid w:val="5C2D0C9E"/>
    <w:rsid w:val="5C471307"/>
    <w:rsid w:val="5CE21EAF"/>
    <w:rsid w:val="5E2A60A3"/>
    <w:rsid w:val="5E8C4ED2"/>
    <w:rsid w:val="5F1C0DCD"/>
    <w:rsid w:val="5F841355"/>
    <w:rsid w:val="616D1ECA"/>
    <w:rsid w:val="62BD45CA"/>
    <w:rsid w:val="665161B1"/>
    <w:rsid w:val="67EF2A2C"/>
    <w:rsid w:val="68531C2B"/>
    <w:rsid w:val="693767A3"/>
    <w:rsid w:val="6AFA4809"/>
    <w:rsid w:val="6B05012C"/>
    <w:rsid w:val="6B6A08C1"/>
    <w:rsid w:val="6B8F6BBF"/>
    <w:rsid w:val="6E2F38A7"/>
    <w:rsid w:val="6E8924E9"/>
    <w:rsid w:val="6E936748"/>
    <w:rsid w:val="6F1D7DA3"/>
    <w:rsid w:val="6F7A3529"/>
    <w:rsid w:val="7072088D"/>
    <w:rsid w:val="715D24EF"/>
    <w:rsid w:val="716230DB"/>
    <w:rsid w:val="71A41095"/>
    <w:rsid w:val="722A701E"/>
    <w:rsid w:val="7470077F"/>
    <w:rsid w:val="75EA7027"/>
    <w:rsid w:val="76501E9A"/>
    <w:rsid w:val="777C1601"/>
    <w:rsid w:val="7860717F"/>
    <w:rsid w:val="790B5259"/>
    <w:rsid w:val="796D37F8"/>
    <w:rsid w:val="7A4A17A4"/>
    <w:rsid w:val="7B5478A9"/>
    <w:rsid w:val="7C571962"/>
    <w:rsid w:val="7D0529BF"/>
    <w:rsid w:val="7D2E122C"/>
    <w:rsid w:val="7DA957D8"/>
    <w:rsid w:val="7DF35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4782</Words>
  <Characters>5225</Characters>
  <Lines>0</Lines>
  <Paragraphs>0</Paragraphs>
  <TotalTime>2</TotalTime>
  <ScaleCrop>false</ScaleCrop>
  <LinksUpToDate>false</LinksUpToDate>
  <CharactersWithSpaces>5480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2019-11-14T01:25:00Z</dcterms:created>
  <dc:creator>87～</dc:creator>
  <cp:lastModifiedBy>杨恩才</cp:lastModifiedBy>
  <dcterms:modified xsi:type="dcterms:W3CDTF">2024-03-21T07:18:27Z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D283C771A87E45C7A1E9E538080E11F4_12</vt:lpwstr>
  </property>
</Properties>
</file>