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艺术字 4" o:spid="_x0000_s1026" o:spt="136" type="#_x0000_t136" style="position:absolute;left:0pt;margin-left:9.75pt;margin-top:32.05pt;height:42.75pt;width:416.95pt;mso-wrap-distance-bottom:0pt;mso-wrap-distance-left:9pt;mso-wrap-distance-right:9pt;mso-wrap-distance-top:0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盈江县环境保护局文件" style="font-family:方正小标宋简体;font-size:36pt;v-text-align:center;"/>
            <w10:wrap type="square"/>
          </v:shape>
        </w:pict>
      </w:r>
    </w:p>
    <w:p>
      <w:pPr>
        <w:rPr>
          <w:rFonts w:ascii="Times New Roman" w:hAnsi="Times New Roman"/>
          <w:color w:val="FF0000"/>
        </w:rPr>
      </w:pPr>
    </w:p>
    <w:p>
      <w:pPr>
        <w:rPr>
          <w:rFonts w:ascii="Times New Roman" w:hAnsi="Times New Roman"/>
          <w:color w:val="FF0000"/>
        </w:rPr>
      </w:pPr>
    </w:p>
    <w:p>
      <w:pPr>
        <w:jc w:val="center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盈环审〔201</w:t>
      </w:r>
      <w:r>
        <w:rPr>
          <w:rFonts w:hint="eastAsia" w:ascii="Times New Roman" w:hAnsi="Times New Roman" w:eastAsia="仿宋_GB2312"/>
        </w:rPr>
        <w:t>7</w:t>
      </w:r>
      <w:r>
        <w:rPr>
          <w:rFonts w:ascii="Times New Roman" w:hAnsi="Times New Roman" w:eastAsia="仿宋_GB2312"/>
        </w:rPr>
        <w:t>〕</w:t>
      </w:r>
      <w:r>
        <w:rPr>
          <w:rFonts w:hint="eastAsia" w:ascii="Times New Roman" w:hAnsi="Times New Roman" w:eastAsia="仿宋_GB2312"/>
          <w:lang w:val="en-US" w:eastAsia="zh-CN"/>
        </w:rPr>
        <w:t>29</w:t>
      </w:r>
      <w:r>
        <w:rPr>
          <w:rFonts w:hint="eastAsia" w:ascii="Times New Roman" w:hAnsi="Times New Roman" w:eastAsia="仿宋_GB2312"/>
        </w:rPr>
        <w:t xml:space="preserve"> </w:t>
      </w:r>
      <w:r>
        <w:rPr>
          <w:rFonts w:ascii="Times New Roman" w:hAnsi="Times New Roman" w:eastAsia="仿宋_GB2312"/>
          <w:color w:val="auto"/>
        </w:rPr>
        <w:t>号</w:t>
      </w:r>
    </w:p>
    <w:p>
      <w:pPr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━━━━━━━━━━━━━━━━━━━━━━━━━━━━━━━━━━</w:t>
      </w:r>
    </w:p>
    <w:p>
      <w:pPr>
        <w:jc w:val="center"/>
        <w:rPr>
          <w:rFonts w:ascii="Times New Roman" w:hAnsi="Times New Roman"/>
          <w:color w:val="FF0000"/>
          <w:sz w:val="24"/>
        </w:rPr>
      </w:pPr>
    </w:p>
    <w:p>
      <w:pPr>
        <w:jc w:val="center"/>
        <w:rPr>
          <w:rFonts w:ascii="Times New Roman" w:hAnsi="Times New Roman"/>
          <w:color w:val="FF0000"/>
          <w:sz w:val="2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盈江县环境保护局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</w:t>
      </w:r>
      <w:r>
        <w:rPr>
          <w:rFonts w:hint="eastAsia" w:ascii="Times New Roman" w:hAnsi="Times New Roman" w:eastAsia="方正小标宋简体"/>
          <w:sz w:val="44"/>
          <w:szCs w:val="44"/>
        </w:rPr>
        <w:t>于盈江县集镇供水项目（二期）</w:t>
      </w:r>
      <w:r>
        <w:rPr>
          <w:rFonts w:ascii="Times New Roman" w:hAnsi="Times New Roman" w:eastAsia="方正小标宋简体"/>
          <w:sz w:val="44"/>
          <w:szCs w:val="44"/>
        </w:rPr>
        <w:t>环境影响报告表的批复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盈江县住房和城乡规划建设局: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/>
        </w:rPr>
      </w:pPr>
      <w:r>
        <w:rPr>
          <w:rFonts w:hint="default" w:ascii="Times New Roman" w:hAnsi="Times New Roman" w:eastAsia="方正仿宋_GBK" w:cs="Times New Roman"/>
        </w:rPr>
        <w:t>你单位报批的《盈江县集镇供水项目（二期）环境影响报告表》</w:t>
      </w:r>
      <w:r>
        <w:rPr>
          <w:rFonts w:hint="default" w:ascii="Times New Roman" w:hAnsi="Times New Roman" w:eastAsia="方正仿宋_GBK" w:cs="Times New Roman"/>
          <w:lang w:eastAsia="zh-CN"/>
        </w:rPr>
        <w:t>已收悉</w:t>
      </w:r>
      <w:r>
        <w:rPr>
          <w:rFonts w:hint="default" w:ascii="Times New Roman" w:hAnsi="Times New Roman" w:eastAsia="方正仿宋_GBK" w:cs="Times New Roman"/>
        </w:rPr>
        <w:t>，经研究，现批复如下：</w:t>
      </w:r>
    </w:p>
    <w:p>
      <w:pPr>
        <w:spacing w:line="560" w:lineRule="exact"/>
        <w:ind w:firstLine="800" w:firstLineChars="25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一、项目基本情况</w:t>
      </w:r>
    </w:p>
    <w:p>
      <w:pPr>
        <w:spacing w:line="560" w:lineRule="exact"/>
        <w:ind w:firstLine="800" w:firstLineChars="250"/>
        <w:outlineLvl w:val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㈠项目立项目情况</w:t>
      </w:r>
    </w:p>
    <w:p>
      <w:pPr>
        <w:spacing w:line="560" w:lineRule="exact"/>
        <w:ind w:firstLine="800" w:firstLineChars="250"/>
        <w:outlineLvl w:val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2016年6月30日盈江县发展和改革</w:t>
      </w:r>
      <w:r>
        <w:rPr>
          <w:rFonts w:hint="default" w:ascii="Times New Roman" w:hAnsi="Times New Roman" w:eastAsia="方正仿宋_GBK" w:cs="Times New Roman"/>
          <w:lang w:eastAsia="zh-CN"/>
        </w:rPr>
        <w:t>局以</w:t>
      </w:r>
      <w:r>
        <w:rPr>
          <w:rFonts w:hint="default" w:ascii="Times New Roman" w:hAnsi="Times New Roman" w:eastAsia="方正仿宋_GBK" w:cs="Times New Roman"/>
        </w:rPr>
        <w:t>盈发改投资复[2016]169号</w:t>
      </w:r>
      <w:r>
        <w:rPr>
          <w:rFonts w:hint="default" w:ascii="Times New Roman" w:hAnsi="Times New Roman" w:eastAsia="方正仿宋_GBK" w:cs="Times New Roman"/>
          <w:lang w:eastAsia="zh-CN"/>
        </w:rPr>
        <w:t>文件对项目可行性研究报告进行了批复，</w:t>
      </w:r>
      <w:r>
        <w:rPr>
          <w:rFonts w:hint="default" w:ascii="Times New Roman" w:hAnsi="Times New Roman" w:eastAsia="方正仿宋_GBK" w:cs="Times New Roman"/>
        </w:rPr>
        <w:t>同意</w:t>
      </w:r>
      <w:r>
        <w:rPr>
          <w:rFonts w:hint="default" w:ascii="Times New Roman" w:hAnsi="Times New Roman" w:eastAsia="方正仿宋_GBK" w:cs="Times New Roman"/>
          <w:lang w:eastAsia="zh-CN"/>
        </w:rPr>
        <w:t>了</w:t>
      </w:r>
      <w:r>
        <w:rPr>
          <w:rFonts w:hint="default" w:ascii="Times New Roman" w:hAnsi="Times New Roman" w:eastAsia="方正仿宋_GBK" w:cs="Times New Roman"/>
        </w:rPr>
        <w:t>项目的建设。</w:t>
      </w:r>
    </w:p>
    <w:p>
      <w:pPr>
        <w:spacing w:line="560" w:lineRule="exact"/>
        <w:ind w:firstLine="800" w:firstLineChars="250"/>
        <w:outlineLvl w:val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㈡项目基本情况</w:t>
      </w:r>
    </w:p>
    <w:p>
      <w:pPr>
        <w:pStyle w:val="20"/>
        <w:ind w:firstLine="72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项目属新建项目，位于</w:t>
      </w:r>
      <w:r>
        <w:rPr>
          <w:rFonts w:hint="default" w:ascii="Times New Roman" w:hAnsi="Times New Roman" w:eastAsia="方正仿宋_GBK" w:cs="Times New Roman"/>
        </w:rPr>
        <w:t>盈江县盏西镇、昔马镇、卡场镇、那邦</w:t>
      </w:r>
      <w:r>
        <w:rPr>
          <w:rFonts w:hint="default" w:ascii="Times New Roman" w:hAnsi="Times New Roman" w:eastAsia="方正仿宋_GBK" w:cs="Times New Roman"/>
          <w:lang w:eastAsia="zh-CN"/>
        </w:rPr>
        <w:t>镇，拟建</w:t>
      </w:r>
      <w:r>
        <w:rPr>
          <w:rFonts w:hint="default" w:ascii="Times New Roman" w:hAnsi="Times New Roman" w:eastAsia="方正仿宋_GBK" w:cs="Times New Roman"/>
        </w:rPr>
        <w:t>供水厂4座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总占地面积12313</w:t>
      </w:r>
      <w:r>
        <w:rPr>
          <w:rFonts w:hint="default" w:ascii="Times New Roman" w:hAnsi="Times New Roman" w:eastAsia="方正仿宋_GBK" w:cs="Times New Roman"/>
          <w:lang w:eastAsia="zh-CN"/>
        </w:rPr>
        <w:t>平方米</w:t>
      </w:r>
      <w:r>
        <w:rPr>
          <w:rFonts w:hint="default" w:ascii="Times New Roman" w:hAnsi="Times New Roman" w:eastAsia="方正仿宋_GBK" w:cs="Times New Roman"/>
        </w:rPr>
        <w:t>，总供水规模16000</w:t>
      </w:r>
      <w:r>
        <w:rPr>
          <w:rFonts w:hint="default" w:ascii="Times New Roman" w:hAnsi="Times New Roman" w:eastAsia="方正仿宋_GBK" w:cs="Times New Roman"/>
          <w:lang w:eastAsia="zh-CN"/>
        </w:rPr>
        <w:t>立方米</w:t>
      </w:r>
      <w:r>
        <w:rPr>
          <w:rFonts w:hint="default" w:ascii="Times New Roman" w:hAnsi="Times New Roman" w:eastAsia="方正仿宋_GBK" w:cs="Times New Roman"/>
        </w:rPr>
        <w:t>/</w:t>
      </w:r>
      <w:r>
        <w:rPr>
          <w:rFonts w:hint="default" w:ascii="Times New Roman" w:hAnsi="Times New Roman" w:eastAsia="方正仿宋_GBK" w:cs="Times New Roman"/>
          <w:lang w:eastAsia="zh-CN"/>
        </w:rPr>
        <w:t>天</w:t>
      </w:r>
      <w:r>
        <w:rPr>
          <w:rFonts w:hint="default" w:ascii="Times New Roman" w:hAnsi="Times New Roman" w:eastAsia="方正仿宋_GBK" w:cs="Times New Roman"/>
        </w:rPr>
        <w:t>，新建原水输水管网17.77</w:t>
      </w:r>
      <w:r>
        <w:rPr>
          <w:rFonts w:hint="default" w:ascii="Times New Roman" w:hAnsi="Times New Roman" w:eastAsia="方正仿宋_GBK" w:cs="Times New Roman"/>
          <w:lang w:eastAsia="zh-CN"/>
        </w:rPr>
        <w:t>公里</w:t>
      </w:r>
      <w:r>
        <w:rPr>
          <w:rFonts w:hint="default" w:ascii="Times New Roman" w:hAnsi="Times New Roman" w:eastAsia="方正仿宋_GBK" w:cs="Times New Roman"/>
        </w:rPr>
        <w:t>，新建配水管网104.7</w:t>
      </w:r>
      <w:r>
        <w:rPr>
          <w:rFonts w:hint="default" w:ascii="Times New Roman" w:hAnsi="Times New Roman" w:eastAsia="方正仿宋_GBK" w:cs="Times New Roman"/>
          <w:lang w:eastAsia="zh-CN"/>
        </w:rPr>
        <w:t>公里</w:t>
      </w:r>
      <w:r>
        <w:rPr>
          <w:rFonts w:hint="default" w:ascii="Times New Roman" w:hAnsi="Times New Roman" w:eastAsia="方正仿宋_GBK" w:cs="Times New Roman"/>
        </w:rPr>
        <w:t>。项目总投资10203.51万元，</w:t>
      </w:r>
      <w:r>
        <w:rPr>
          <w:rFonts w:hint="default" w:ascii="Times New Roman" w:hAnsi="Times New Roman" w:eastAsia="方正仿宋_GBK" w:cs="Times New Roman"/>
          <w:lang w:eastAsia="zh-CN"/>
        </w:rPr>
        <w:t>其中</w:t>
      </w:r>
      <w:r>
        <w:rPr>
          <w:rFonts w:hint="default" w:ascii="Times New Roman" w:hAnsi="Times New Roman" w:eastAsia="方正仿宋_GBK" w:cs="Times New Roman"/>
        </w:rPr>
        <w:t>环保投资约为128.1万元，占项目总投资的1.26%。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项目符合国家产业政策，供水厂选址、管线布设</w:t>
      </w:r>
      <w:r>
        <w:rPr>
          <w:rFonts w:hint="default" w:ascii="Times New Roman" w:hAnsi="Times New Roman" w:eastAsia="方正仿宋_GBK" w:cs="Times New Roman"/>
          <w:lang w:eastAsia="zh-CN"/>
        </w:rPr>
        <w:t>不涉及</w:t>
      </w:r>
      <w:r>
        <w:rPr>
          <w:rFonts w:hint="default" w:ascii="Times New Roman" w:hAnsi="Times New Roman" w:eastAsia="方正仿宋_GBK" w:cs="Times New Roman"/>
        </w:rPr>
        <w:t>“瑞丽江-大盈江风景名胜区”及铜壁关自然保护区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符合《盈江县城市总体规划（2006-2020）》及云南生态功能区划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</w:rPr>
        <w:t>我局同意该项目按照《环境影报告表》中的性质、地点、采用的环境保护对策、措施</w:t>
      </w: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进行建设</w:t>
      </w:r>
      <w:r>
        <w:rPr>
          <w:rFonts w:hint="default" w:ascii="Times New Roman" w:hAnsi="Times New Roman" w:eastAsia="方正仿宋_GBK" w:cs="Times New Roman"/>
          <w:color w:val="000000"/>
        </w:rPr>
        <w:t>。</w:t>
      </w: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二、项目施工和运营过程中应重点做好的工作</w:t>
      </w:r>
    </w:p>
    <w:p>
      <w:p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㈠《环境影响报告表》作为该项目施工和运营过程中环境管理的依据，必须认真落实环评报告表中提出的环保投资概算</w:t>
      </w:r>
      <w:r>
        <w:rPr>
          <w:rFonts w:hint="default" w:ascii="Times New Roman" w:hAnsi="Times New Roman" w:eastAsia="方正仿宋_GBK" w:cs="Times New Roman"/>
          <w:lang w:eastAsia="zh-CN"/>
        </w:rPr>
        <w:t>和</w:t>
      </w:r>
      <w:r>
        <w:rPr>
          <w:rFonts w:hint="default" w:ascii="Times New Roman" w:hAnsi="Times New Roman" w:eastAsia="方正仿宋_GBK" w:cs="Times New Roman"/>
        </w:rPr>
        <w:t>各项环保对策措施。</w:t>
      </w:r>
    </w:p>
    <w:p>
      <w:p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㈡施工期必须加强管理，合理安排施工时间，采取洒水降尘、设置围挡、及时清运建筑废弃物、清洗进出车辆等措施，减少扬尘污染。</w:t>
      </w:r>
      <w:r>
        <w:rPr>
          <w:rFonts w:hint="default" w:ascii="Times New Roman" w:hAnsi="Times New Roman" w:eastAsia="方正仿宋_GBK" w:cs="Times New Roman"/>
        </w:rPr>
        <w:t>物料运输过程中车辆必须采取密闭措施，防止物料遗撒</w:t>
      </w:r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default" w:ascii="Times New Roman" w:hAnsi="Times New Roman" w:eastAsia="方正仿宋_GBK" w:cs="Times New Roman"/>
        </w:rPr>
        <w:t>施工废水经收集沉淀处理后回用，不外排；建筑材料须集中堆放，采取防雨</w:t>
      </w:r>
      <w:r>
        <w:rPr>
          <w:rFonts w:hint="default" w:ascii="Times New Roman" w:hAnsi="Times New Roman" w:eastAsia="方正仿宋_GBK" w:cs="Times New Roman"/>
          <w:lang w:eastAsia="zh-CN"/>
        </w:rPr>
        <w:t>、设置初期雨水池、</w:t>
      </w:r>
      <w:r>
        <w:rPr>
          <w:rFonts w:hint="default" w:ascii="Times New Roman" w:hAnsi="Times New Roman" w:eastAsia="方正仿宋_GBK" w:cs="Times New Roman"/>
        </w:rPr>
        <w:t>土质排水沟、临时沉淀池、土工布覆盖、铺设草席等水保措施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减少雨水冲刷对附近水体的影响。合理布置施工场地，选用低噪声施工设备，高噪声机械设备禁止在12时至14时、22时至次日6时施工</w:t>
      </w:r>
      <w:r>
        <w:rPr>
          <w:rFonts w:hint="default" w:ascii="Times New Roman" w:hAnsi="Times New Roman" w:eastAsia="方正仿宋_GBK" w:cs="Times New Roman"/>
          <w:lang w:eastAsia="zh-CN"/>
        </w:rPr>
        <w:t>；</w:t>
      </w:r>
      <w:r>
        <w:rPr>
          <w:rFonts w:hint="default" w:ascii="Times New Roman" w:hAnsi="Times New Roman" w:eastAsia="方正仿宋_GBK" w:cs="Times New Roman"/>
        </w:rPr>
        <w:t>废弃土石方尽可能用于附近乡村道路或村寨地基回填，不能直接利用的，选择合适的地点合理堆置，严禁随意堆存；建筑垃圾集中收集，清运至建设部门指定的地点堆存，并妥善处置。</w:t>
      </w:r>
      <w:r>
        <w:rPr>
          <w:rFonts w:hint="default" w:ascii="Times New Roman" w:hAnsi="Times New Roman" w:eastAsia="方正仿宋_GBK" w:cs="Times New Roman"/>
          <w:lang w:eastAsia="zh-CN"/>
        </w:rPr>
        <w:t>管线施工尽量避免砍伐树木，保护好动植物生境。</w:t>
      </w:r>
    </w:p>
    <w:p>
      <w:pPr>
        <w:numPr>
          <w:ilvl w:val="0"/>
          <w:numId w:val="1"/>
        </w:num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水厂值班室内必须设置氧气呼吸器和活性炭防毒面具，加氯间设置排风扇、自动监测报警仪、漏氯吸收中和装置等，提高项目搞风险能力，确保人员安全。</w:t>
      </w:r>
    </w:p>
    <w:p>
      <w:pPr>
        <w:numPr>
          <w:ilvl w:val="0"/>
          <w:numId w:val="0"/>
        </w:num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㈤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项目产生的生活污水经隔油池、化粪池处理后排入污水收集池，用于厂区绿化和洒水降尘，不外排。</w:t>
      </w:r>
      <w:r>
        <w:rPr>
          <w:rFonts w:hint="default" w:ascii="Times New Roman" w:hAnsi="Times New Roman" w:eastAsia="方正仿宋_GBK" w:cs="Times New Roman"/>
        </w:rPr>
        <w:t>供水厂内的高噪声设备</w:t>
      </w:r>
      <w:r>
        <w:rPr>
          <w:rFonts w:hint="default" w:ascii="Times New Roman" w:hAnsi="Times New Roman" w:eastAsia="方正仿宋_GBK" w:cs="Times New Roman"/>
          <w:lang w:eastAsia="zh-CN"/>
        </w:rPr>
        <w:t>应</w:t>
      </w:r>
      <w:r>
        <w:rPr>
          <w:rFonts w:hint="default" w:ascii="Times New Roman" w:hAnsi="Times New Roman" w:eastAsia="方正仿宋_GBK" w:cs="Times New Roman"/>
        </w:rPr>
        <w:t>安装消声器，</w:t>
      </w:r>
      <w:r>
        <w:rPr>
          <w:rFonts w:hint="default" w:ascii="Times New Roman" w:hAnsi="Times New Roman" w:eastAsia="方正仿宋_GBK" w:cs="Times New Roman"/>
          <w:lang w:eastAsia="zh-CN"/>
        </w:rPr>
        <w:t>设置隔声间，减少噪声对周围环境的影响</w:t>
      </w:r>
      <w:r>
        <w:rPr>
          <w:rFonts w:hint="default" w:ascii="Times New Roman" w:hAnsi="Times New Roman" w:eastAsia="方正仿宋_GBK" w:cs="Times New Roman"/>
        </w:rPr>
        <w:t>。产生的过滤泥渣</w:t>
      </w:r>
      <w:r>
        <w:rPr>
          <w:rFonts w:hint="default" w:ascii="Times New Roman" w:hAnsi="Times New Roman" w:eastAsia="方正仿宋_GBK" w:cs="Times New Roman"/>
          <w:lang w:eastAsia="zh-CN"/>
        </w:rPr>
        <w:t>干化后与</w:t>
      </w:r>
      <w:r>
        <w:rPr>
          <w:rFonts w:hint="default" w:ascii="Times New Roman" w:hAnsi="Times New Roman" w:eastAsia="方正仿宋_GBK" w:cs="Times New Roman"/>
        </w:rPr>
        <w:t>生活垃圾</w:t>
      </w:r>
      <w:r>
        <w:rPr>
          <w:rFonts w:hint="default" w:ascii="Times New Roman" w:hAnsi="Times New Roman" w:eastAsia="方正仿宋_GBK" w:cs="Times New Roman"/>
          <w:lang w:eastAsia="zh-CN"/>
        </w:rPr>
        <w:t>一起委托当地环卫部门妥善处理。</w:t>
      </w:r>
    </w:p>
    <w:p>
      <w:p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㈥</w:t>
      </w:r>
      <w:r>
        <w:rPr>
          <w:rFonts w:hint="default" w:ascii="Times New Roman" w:hAnsi="Times New Roman" w:eastAsia="方正仿宋_GBK" w:cs="Times New Roman"/>
          <w:lang w:eastAsia="zh-CN"/>
        </w:rPr>
        <w:t>严格按《危险化学品安全管理条例》（第</w:t>
      </w:r>
      <w:r>
        <w:rPr>
          <w:rFonts w:hint="default" w:ascii="Times New Roman" w:hAnsi="Times New Roman" w:eastAsia="方正仿宋_GBK" w:cs="Times New Roman"/>
          <w:lang w:val="en-US" w:eastAsia="zh-CN"/>
        </w:rPr>
        <w:t>344号令）的要求，贮存、使用二氧化氯消毒剂。建立严格的发放贮存制度，专人负责，严格按操作规程操作。</w:t>
      </w:r>
    </w:p>
    <w:p>
      <w:pPr>
        <w:topLinePunct/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Cs/>
        </w:rPr>
        <w:t>㈦</w:t>
      </w:r>
      <w:r>
        <w:rPr>
          <w:rFonts w:hint="default" w:ascii="Times New Roman" w:hAnsi="Times New Roman" w:eastAsia="方正仿宋_GBK" w:cs="Times New Roman"/>
          <w:bCs/>
          <w:lang w:eastAsia="zh-CN"/>
        </w:rPr>
        <w:t>各乡镇人民政府，应当开展集镇饮用水源保护区划定工作，</w:t>
      </w:r>
      <w:r>
        <w:rPr>
          <w:rFonts w:hint="default" w:ascii="Times New Roman" w:hAnsi="Times New Roman" w:eastAsia="方正仿宋_GBK" w:cs="Times New Roman"/>
        </w:rPr>
        <w:t>禁止一切破坏水源、防护林与水源保护相关植被的活动，做好流域内的水土保持工作。</w:t>
      </w:r>
      <w:r>
        <w:rPr>
          <w:rFonts w:hint="default" w:ascii="Times New Roman" w:hAnsi="Times New Roman" w:eastAsia="方正仿宋_GBK" w:cs="Times New Roman"/>
          <w:lang w:eastAsia="zh-CN"/>
        </w:rPr>
        <w:t>并</w:t>
      </w:r>
      <w:r>
        <w:rPr>
          <w:rFonts w:hint="default" w:ascii="Times New Roman" w:hAnsi="Times New Roman" w:eastAsia="方正仿宋_GBK" w:cs="Times New Roman"/>
        </w:rPr>
        <w:t>严格执行《城市供水条例》等国家颁布的有关法规，保护好集镇供水设施。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加强管理，健全机构，</w:t>
      </w:r>
      <w:r>
        <w:rPr>
          <w:rFonts w:hint="default" w:ascii="Times New Roman" w:hAnsi="Times New Roman" w:eastAsia="方正仿宋_GBK" w:cs="Times New Roman"/>
          <w:lang w:eastAsia="zh-CN"/>
        </w:rPr>
        <w:t>必须</w:t>
      </w:r>
      <w:r>
        <w:rPr>
          <w:rFonts w:hint="default" w:ascii="Times New Roman" w:hAnsi="Times New Roman" w:eastAsia="方正仿宋_GBK" w:cs="Times New Roman"/>
        </w:rPr>
        <w:t>严格执行</w:t>
      </w:r>
      <w:r>
        <w:rPr>
          <w:rFonts w:hint="default" w:ascii="Times New Roman" w:hAnsi="Times New Roman" w:eastAsia="方正仿宋_GBK" w:cs="Times New Roman"/>
          <w:lang w:eastAsia="zh-CN"/>
        </w:rPr>
        <w:t>环保</w:t>
      </w:r>
      <w:r>
        <w:rPr>
          <w:rFonts w:hint="default" w:ascii="Times New Roman" w:hAnsi="Times New Roman" w:eastAsia="方正仿宋_GBK" w:cs="Times New Roman"/>
        </w:rPr>
        <w:t>“三同时”制度，积极配合环境保护行政主管部门的环境监察工作</w:t>
      </w:r>
      <w:r>
        <w:rPr>
          <w:rFonts w:hint="default" w:ascii="Times New Roman" w:hAnsi="Times New Roman" w:eastAsia="方正仿宋_GBK" w:cs="Times New Roman"/>
          <w:lang w:eastAsia="zh-CN"/>
        </w:rPr>
        <w:t>。项目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竣工</w:t>
      </w:r>
      <w:r>
        <w:rPr>
          <w:rFonts w:hint="default" w:ascii="Times New Roman" w:hAnsi="Times New Roman" w:eastAsia="方正仿宋_GBK" w:cs="Times New Roman"/>
          <w:sz w:val="32"/>
        </w:rPr>
        <w:t>投入试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后，须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按照国务院环境保护行政主管部门规定的标准和程序，对配套建设的环境保护设施进行验收，编制验收报告。</w:t>
      </w:r>
      <w:r>
        <w:rPr>
          <w:rFonts w:hint="default" w:ascii="Times New Roman" w:hAnsi="Times New Roman" w:eastAsia="方正仿宋_GBK" w:cs="Times New Roman"/>
        </w:rPr>
        <w:t>项目验收合格后方能正式投入运行。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topLinePunct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五、请盈江县环境保护局环境监察大队加强对该项目施工期和营</w:t>
      </w:r>
      <w:r>
        <w:rPr>
          <w:rFonts w:hint="default" w:ascii="Times New Roman" w:hAnsi="Times New Roman" w:eastAsia="方正仿宋_GBK" w:cs="Times New Roman"/>
          <w:lang w:eastAsia="zh-CN"/>
        </w:rPr>
        <w:t>行</w:t>
      </w:r>
      <w:r>
        <w:rPr>
          <w:rFonts w:hint="default" w:ascii="Times New Roman" w:hAnsi="Times New Roman" w:eastAsia="方正仿宋_GBK" w:cs="Times New Roman"/>
        </w:rPr>
        <w:t>期的现场监察工作。</w:t>
      </w: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u w:val="single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u w:val="single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 xml:space="preserve">                       盈江县环境保护局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 xml:space="preserve">                       </w:t>
      </w:r>
      <w:bookmarkStart w:id="0" w:name="_GoBack"/>
      <w:r>
        <w:rPr>
          <w:rFonts w:hint="default" w:ascii="Times New Roman" w:hAnsi="Times New Roman" w:eastAsia="方正仿宋_GBK" w:cs="Times New Roman"/>
          <w:color w:val="auto"/>
        </w:rPr>
        <w:t>2017 年9月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</w:rPr>
        <w:t>日</w:t>
      </w:r>
      <w:bookmarkEnd w:id="0"/>
    </w:p>
    <w:p>
      <w:pPr>
        <w:tabs>
          <w:tab w:val="left" w:pos="5435"/>
        </w:tabs>
        <w:spacing w:line="560" w:lineRule="exact"/>
        <w:rPr>
          <w:rFonts w:hint="default" w:ascii="Times New Roman" w:hAnsi="Times New Roman" w:eastAsia="方正仿宋_GBK" w:cs="Times New Roman"/>
          <w:color w:val="auto"/>
        </w:rPr>
      </w:pPr>
    </w:p>
    <w:p>
      <w:pPr>
        <w:tabs>
          <w:tab w:val="left" w:pos="5435"/>
        </w:tabs>
        <w:spacing w:line="320" w:lineRule="exact"/>
        <w:rPr>
          <w:rFonts w:hint="default" w:ascii="Times New Roman" w:hAnsi="Times New Roman" w:eastAsia="方正仿宋_GBK" w:cs="Times New Roman"/>
          <w:color w:val="auto"/>
        </w:rPr>
      </w:pPr>
    </w:p>
    <w:p>
      <w:pPr>
        <w:tabs>
          <w:tab w:val="left" w:pos="5435"/>
        </w:tabs>
        <w:spacing w:line="320" w:lineRule="exact"/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2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pict>
          <v:line id="直线 2" o:spid="_x0000_s1028" o:spt="20" style="position:absolute;left:0pt;margin-left:0.6pt;margin-top:7.1pt;height:0pt;width:441pt;z-index:251658240;mso-width-relative:page;mso-height-relative:page;" coordsize="21600,21600" o:gfxdata="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qfqm0gAAAAcBAAAPAAAAAAAAAAEAIAAAACIAAABkcnMvZG93&#10;bnJldi54bWxQSwECFAAUAAAACACHTuJAuxlYNM0BAACNAwAADgAAAAAAAAABACAAAAAh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tabs>
          <w:tab w:val="left" w:pos="8507"/>
        </w:tabs>
        <w:spacing w:line="32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 xml:space="preserve"> 盈江县环境保护局办公室         2017年9月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</w:rPr>
        <w:t>日印发</w:t>
      </w:r>
    </w:p>
    <w:p>
      <w:pPr>
        <w:spacing w:line="32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pict>
          <v:line id="_x0000_s1027" o:spid="_x0000_s1027" o:spt="20" style="position:absolute;left:0pt;margin-left:0.45pt;margin-top:6.6pt;height:0pt;width:441pt;z-index:251659264;mso-width-relative:page;mso-height-relative:page;" coordsize="21600,21600" o:gfxdata="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kkrV0gAAAAYBAAAPAAAAAAAAAAEAIAAAACIAAABkcnMvZG93&#10;bnJldi54bWxQSwECFAAUAAAACACHTuJAXPCxp80BAACNAwAADgAAAAAAAAABACAAAAAh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7AA10"/>
    <w:multiLevelType w:val="singleLevel"/>
    <w:tmpl w:val="59C7AA10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C7B4C3"/>
    <w:multiLevelType w:val="singleLevel"/>
    <w:tmpl w:val="59C7B4C3"/>
    <w:lvl w:ilvl="0" w:tentative="0">
      <w:start w:val="4"/>
      <w:numFmt w:val="chineseCounting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B5227C"/>
    <w:rsid w:val="000A6AC7"/>
    <w:rsid w:val="000E4F1F"/>
    <w:rsid w:val="000E5EB2"/>
    <w:rsid w:val="0011311E"/>
    <w:rsid w:val="00147E79"/>
    <w:rsid w:val="00165866"/>
    <w:rsid w:val="001A11BB"/>
    <w:rsid w:val="001D66D7"/>
    <w:rsid w:val="001E2663"/>
    <w:rsid w:val="002174BC"/>
    <w:rsid w:val="00227224"/>
    <w:rsid w:val="00295406"/>
    <w:rsid w:val="002D4B7F"/>
    <w:rsid w:val="002E663D"/>
    <w:rsid w:val="002F6FE2"/>
    <w:rsid w:val="003F3925"/>
    <w:rsid w:val="004743C1"/>
    <w:rsid w:val="004774FB"/>
    <w:rsid w:val="004A382E"/>
    <w:rsid w:val="00581F04"/>
    <w:rsid w:val="005B4EB6"/>
    <w:rsid w:val="005D6E89"/>
    <w:rsid w:val="005F34A2"/>
    <w:rsid w:val="005F6E1D"/>
    <w:rsid w:val="006464CB"/>
    <w:rsid w:val="0069607A"/>
    <w:rsid w:val="00737108"/>
    <w:rsid w:val="00752141"/>
    <w:rsid w:val="00762FE7"/>
    <w:rsid w:val="00764805"/>
    <w:rsid w:val="00780225"/>
    <w:rsid w:val="007A3F1D"/>
    <w:rsid w:val="007C64ED"/>
    <w:rsid w:val="007E0FDD"/>
    <w:rsid w:val="008058D0"/>
    <w:rsid w:val="00825E0C"/>
    <w:rsid w:val="0084737B"/>
    <w:rsid w:val="00851541"/>
    <w:rsid w:val="008723B7"/>
    <w:rsid w:val="008E207F"/>
    <w:rsid w:val="008E6C2E"/>
    <w:rsid w:val="0090378C"/>
    <w:rsid w:val="009169A5"/>
    <w:rsid w:val="0092082A"/>
    <w:rsid w:val="00930484"/>
    <w:rsid w:val="00964C4C"/>
    <w:rsid w:val="00987009"/>
    <w:rsid w:val="00995E90"/>
    <w:rsid w:val="00AD58FA"/>
    <w:rsid w:val="00B0444E"/>
    <w:rsid w:val="00B24A61"/>
    <w:rsid w:val="00B2770B"/>
    <w:rsid w:val="00B64815"/>
    <w:rsid w:val="00B70C42"/>
    <w:rsid w:val="00BD2900"/>
    <w:rsid w:val="00C925A0"/>
    <w:rsid w:val="00CC41B7"/>
    <w:rsid w:val="00D004A1"/>
    <w:rsid w:val="00D03144"/>
    <w:rsid w:val="00D34FB7"/>
    <w:rsid w:val="00D647B2"/>
    <w:rsid w:val="00DA4968"/>
    <w:rsid w:val="00DC1BE9"/>
    <w:rsid w:val="00DF457E"/>
    <w:rsid w:val="00F11B18"/>
    <w:rsid w:val="00F462DF"/>
    <w:rsid w:val="00F7023E"/>
    <w:rsid w:val="00F7276C"/>
    <w:rsid w:val="032F144A"/>
    <w:rsid w:val="03AE4240"/>
    <w:rsid w:val="08B5227C"/>
    <w:rsid w:val="0C846972"/>
    <w:rsid w:val="0CCA0F0B"/>
    <w:rsid w:val="14416C7B"/>
    <w:rsid w:val="165447A6"/>
    <w:rsid w:val="18FF69A3"/>
    <w:rsid w:val="1D4D5ED8"/>
    <w:rsid w:val="244D6318"/>
    <w:rsid w:val="2A023C56"/>
    <w:rsid w:val="389B68FA"/>
    <w:rsid w:val="3DF70D02"/>
    <w:rsid w:val="403940FA"/>
    <w:rsid w:val="44C93DC5"/>
    <w:rsid w:val="467A41B5"/>
    <w:rsid w:val="47582A70"/>
    <w:rsid w:val="4C3D737C"/>
    <w:rsid w:val="52B35F71"/>
    <w:rsid w:val="52E34BB0"/>
    <w:rsid w:val="59E0477D"/>
    <w:rsid w:val="5A0E343D"/>
    <w:rsid w:val="5AD47C8E"/>
    <w:rsid w:val="5E723B66"/>
    <w:rsid w:val="5F6C02D0"/>
    <w:rsid w:val="6256707D"/>
    <w:rsid w:val="65764825"/>
    <w:rsid w:val="6C402B71"/>
    <w:rsid w:val="6CD545B0"/>
    <w:rsid w:val="6E4E05CD"/>
    <w:rsid w:val="70FE1E94"/>
    <w:rsid w:val="73830E20"/>
    <w:rsid w:val="79463650"/>
    <w:rsid w:val="7960542B"/>
    <w:rsid w:val="7B280D18"/>
    <w:rsid w:val="7C95262D"/>
    <w:rsid w:val="7CA841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3">
    <w:name w:val="annotation subject"/>
    <w:basedOn w:val="4"/>
    <w:next w:val="4"/>
    <w:link w:val="17"/>
    <w:qFormat/>
    <w:uiPriority w:val="0"/>
    <w:rPr>
      <w:b/>
      <w:bCs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character" w:styleId="12">
    <w:name w:val="annotation reference"/>
    <w:basedOn w:val="10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4">
    <w:name w:val="页脚 Char"/>
    <w:basedOn w:val="10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0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文字 Char"/>
    <w:basedOn w:val="10"/>
    <w:link w:val="4"/>
    <w:qFormat/>
    <w:uiPriority w:val="0"/>
    <w:rPr>
      <w:rFonts w:asciiTheme="minorHAnsi" w:hAnsiTheme="minorHAnsi" w:eastAsiaTheme="minorEastAsia" w:cstheme="minorBidi"/>
    </w:rPr>
  </w:style>
  <w:style w:type="character" w:customStyle="1" w:styleId="17">
    <w:name w:val="批注主题 Char"/>
    <w:basedOn w:val="16"/>
    <w:link w:val="3"/>
    <w:qFormat/>
    <w:uiPriority w:val="0"/>
    <w:rPr>
      <w:b/>
      <w:bCs/>
    </w:rPr>
  </w:style>
  <w:style w:type="character" w:customStyle="1" w:styleId="18">
    <w:name w:val="批注框文本 Char"/>
    <w:basedOn w:val="10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文档结构图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paragraph" w:customStyle="1" w:styleId="20">
    <w:name w:val="正文hh"/>
    <w:basedOn w:val="1"/>
    <w:qFormat/>
    <w:uiPriority w:val="0"/>
    <w:pPr>
      <w:widowControl w:val="0"/>
      <w:adjustRightInd/>
      <w:snapToGrid/>
      <w:spacing w:line="500" w:lineRule="exact"/>
      <w:ind w:firstLine="560"/>
    </w:pPr>
    <w:rPr>
      <w:spacing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293</Words>
  <Characters>1673</Characters>
  <Lines>13</Lines>
  <Paragraphs>3</Paragraphs>
  <ScaleCrop>false</ScaleCrop>
  <LinksUpToDate>false</LinksUpToDate>
  <CharactersWithSpaces>1963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2016-10-18T07:37:00Z</dcterms:created>
  <dc:creator>LENOVO</dc:creator>
  <cp:lastModifiedBy>彭林邦</cp:lastModifiedBy>
  <dcterms:modified xsi:type="dcterms:W3CDTF">2017-11-14T14:10:03Z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