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盈江县</w:t>
      </w:r>
      <w:r>
        <w:rPr>
          <w:rFonts w:ascii="仿宋" w:hAnsi="仿宋" w:eastAsia="仿宋"/>
          <w:b/>
          <w:sz w:val="32"/>
          <w:szCs w:val="32"/>
        </w:rPr>
        <w:t>201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年度“双随机”特殊监管排污单位名单</w:t>
      </w: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387"/>
        <w:gridCol w:w="1742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438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排污单位名称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所在地区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盈江县允罕水泥有限责任公司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盈江县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盈江县昆钢榕全水泥有限责任公司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盈江县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盈江县昆润实业有限公司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盈江县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87" w:type="dxa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/>
                <w:kern w:val="2"/>
                <w:sz w:val="24"/>
                <w:szCs w:val="24"/>
                <w:lang w:eastAsia="zh-CN" w:bidi="lo-L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eastAsia="zh-CN" w:bidi="lo-LA"/>
              </w:rPr>
              <w:t>盈江县红盈工贸有限责任公司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盈江县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盈江县木笼河硅业有限公司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盈江县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盈江县光明矿业有限责任公司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盈江县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盈江县海西硅业有限责任公司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盈江县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盈江巨丰硅业有限公司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盈江县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3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盈江明亮硅业有限责任公司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盈江县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3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盈江金和硅业有限公司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盈江县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/>
    <w:p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FB"/>
    <w:rsid w:val="00053D0B"/>
    <w:rsid w:val="00141DA7"/>
    <w:rsid w:val="00143262"/>
    <w:rsid w:val="001B67F7"/>
    <w:rsid w:val="001B7DC5"/>
    <w:rsid w:val="00232395"/>
    <w:rsid w:val="00240FF2"/>
    <w:rsid w:val="002A74D1"/>
    <w:rsid w:val="00350254"/>
    <w:rsid w:val="00390CE3"/>
    <w:rsid w:val="00392DC7"/>
    <w:rsid w:val="004D0BE3"/>
    <w:rsid w:val="005055DF"/>
    <w:rsid w:val="005D41AE"/>
    <w:rsid w:val="005E47C7"/>
    <w:rsid w:val="00694781"/>
    <w:rsid w:val="00705B61"/>
    <w:rsid w:val="007A2327"/>
    <w:rsid w:val="007E2A5B"/>
    <w:rsid w:val="00845649"/>
    <w:rsid w:val="008954CF"/>
    <w:rsid w:val="008A3CED"/>
    <w:rsid w:val="0099544E"/>
    <w:rsid w:val="009C65E6"/>
    <w:rsid w:val="009E5A87"/>
    <w:rsid w:val="00A07E19"/>
    <w:rsid w:val="00A84176"/>
    <w:rsid w:val="00A9335E"/>
    <w:rsid w:val="00B10D56"/>
    <w:rsid w:val="00B409DE"/>
    <w:rsid w:val="00B651AC"/>
    <w:rsid w:val="00C104FB"/>
    <w:rsid w:val="00D07679"/>
    <w:rsid w:val="00DB2EC0"/>
    <w:rsid w:val="00DE23B2"/>
    <w:rsid w:val="00ED7A06"/>
    <w:rsid w:val="133732B2"/>
    <w:rsid w:val="43511DD1"/>
    <w:rsid w:val="59C34862"/>
    <w:rsid w:val="5AF259AE"/>
    <w:rsid w:val="706A54A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lo-L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99"/>
    <w:pPr>
      <w:jc w:val="left"/>
    </w:pPr>
    <w:rPr>
      <w:rFonts w:ascii="Calibri" w:hAnsi="Calibri"/>
      <w:kern w:val="0"/>
      <w:sz w:val="22"/>
      <w:szCs w:val="22"/>
      <w:lang w:eastAsia="en-US" w:bidi="ar-SA"/>
    </w:rPr>
  </w:style>
  <w:style w:type="character" w:customStyle="1" w:styleId="7">
    <w:name w:val="Header Char"/>
    <w:basedOn w:val="4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  <w:lang w:bidi="lo-LA"/>
    </w:rPr>
  </w:style>
  <w:style w:type="character" w:customStyle="1" w:styleId="8">
    <w:name w:val="Footer Char"/>
    <w:basedOn w:val="4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  <w:lang w:bidi="lo-L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67</Words>
  <Characters>388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2017-03-13T02:58:00Z</dcterms:created>
  <dc:creator>yangfan</dc:creator>
  <cp:lastModifiedBy>HP</cp:lastModifiedBy>
  <dcterms:modified xsi:type="dcterms:W3CDTF">2019-03-07T07:40:02Z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