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297" w:rsidRPr="00522902" w:rsidRDefault="009B7297" w:rsidP="00904406">
      <w:pPr>
        <w:rPr>
          <w:sz w:val="32"/>
          <w:szCs w:val="32"/>
        </w:rPr>
      </w:pPr>
    </w:p>
    <w:p w:rsidR="009B7297" w:rsidRPr="00522902" w:rsidRDefault="009B7297" w:rsidP="00904406">
      <w:pPr>
        <w:rPr>
          <w:color w:val="FF0000"/>
          <w:sz w:val="32"/>
          <w:szCs w:val="32"/>
        </w:rPr>
      </w:pPr>
    </w:p>
    <w:p w:rsidR="009B7297" w:rsidRPr="00522902" w:rsidRDefault="009B7297" w:rsidP="00904406">
      <w:pPr>
        <w:spacing w:line="600" w:lineRule="exact"/>
        <w:ind w:firstLineChars="50" w:firstLine="10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65pt;margin-top:7.05pt;width:416.95pt;height:42.5pt;z-index:251658240" fillcolor="red" stroked="f">
            <v:textpath style="font-family:&quot;方正小标宋简体&quot;" trim="t" fitpath="t" string="德宏州生态环境局盈江分局文件"/>
            <w10:wrap type="square"/>
          </v:shape>
        </w:pict>
      </w:r>
    </w:p>
    <w:p w:rsidR="009B7297" w:rsidRPr="00685610" w:rsidRDefault="009B7297" w:rsidP="00904406">
      <w:pPr>
        <w:jc w:val="center"/>
        <w:rPr>
          <w:rFonts w:eastAsia="方正仿宋_GBK"/>
          <w:sz w:val="32"/>
          <w:szCs w:val="32"/>
        </w:rPr>
      </w:pPr>
      <w:r w:rsidRPr="00F41AD0">
        <w:rPr>
          <w:sz w:val="32"/>
          <w:szCs w:val="32"/>
        </w:rPr>
        <w:t xml:space="preserve">  </w:t>
      </w:r>
      <w:r>
        <w:rPr>
          <w:rFonts w:eastAsia="方正仿宋_GBK" w:hint="eastAsia"/>
          <w:sz w:val="32"/>
          <w:szCs w:val="32"/>
        </w:rPr>
        <w:t>德环盈复〔</w:t>
      </w:r>
      <w:r>
        <w:rPr>
          <w:rFonts w:eastAsia="方正仿宋_GBK"/>
          <w:sz w:val="32"/>
          <w:szCs w:val="32"/>
        </w:rPr>
        <w:t>2020</w:t>
      </w:r>
      <w:r>
        <w:rPr>
          <w:rFonts w:eastAsia="方正仿宋_GBK" w:hint="eastAsia"/>
          <w:sz w:val="32"/>
          <w:szCs w:val="32"/>
        </w:rPr>
        <w:t>〕</w:t>
      </w:r>
      <w:r>
        <w:rPr>
          <w:rFonts w:eastAsia="方正仿宋_GBK"/>
          <w:sz w:val="32"/>
          <w:szCs w:val="32"/>
        </w:rPr>
        <w:t>1</w:t>
      </w:r>
      <w:r>
        <w:rPr>
          <w:rFonts w:eastAsia="方正仿宋_GBK" w:hint="eastAsia"/>
          <w:sz w:val="32"/>
          <w:szCs w:val="32"/>
        </w:rPr>
        <w:t>号</w:t>
      </w:r>
    </w:p>
    <w:p w:rsidR="009B7297" w:rsidRPr="00522902" w:rsidRDefault="009B7297" w:rsidP="00904406">
      <w:pPr>
        <w:tabs>
          <w:tab w:val="left" w:pos="5435"/>
        </w:tabs>
        <w:spacing w:line="460" w:lineRule="exact"/>
        <w:rPr>
          <w:sz w:val="32"/>
          <w:szCs w:val="32"/>
        </w:rPr>
      </w:pPr>
      <w:r>
        <w:rPr>
          <w:noProof/>
        </w:rPr>
        <w:pict>
          <v:line id="直线 16" o:spid="_x0000_s1027" style="position:absolute;left:0;text-align:left;flip:y;z-index:251659264" from=".75pt,4.5pt" to="429.5pt,5.9pt" strokecolor="red"/>
        </w:pict>
      </w:r>
    </w:p>
    <w:p w:rsidR="009B7297" w:rsidRDefault="009B7297">
      <w:pPr>
        <w:spacing w:line="600" w:lineRule="exact"/>
        <w:jc w:val="center"/>
        <w:rPr>
          <w:rFonts w:eastAsia="方正小标宋简体"/>
          <w:spacing w:val="-4"/>
          <w:sz w:val="44"/>
          <w:szCs w:val="44"/>
        </w:rPr>
      </w:pPr>
      <w:r>
        <w:rPr>
          <w:rFonts w:eastAsia="方正小标宋简体" w:hint="eastAsia"/>
          <w:spacing w:val="-4"/>
          <w:sz w:val="44"/>
          <w:szCs w:val="44"/>
        </w:rPr>
        <w:t>德宏州生态环境局盈江分局关于</w:t>
      </w:r>
    </w:p>
    <w:p w:rsidR="009B7297" w:rsidRDefault="009B7297">
      <w:pPr>
        <w:spacing w:line="600" w:lineRule="exact"/>
        <w:jc w:val="center"/>
        <w:rPr>
          <w:rFonts w:eastAsia="方正小标宋简体"/>
          <w:spacing w:val="-4"/>
          <w:sz w:val="44"/>
          <w:szCs w:val="44"/>
        </w:rPr>
      </w:pPr>
      <w:r>
        <w:rPr>
          <w:rFonts w:eastAsia="方正小标宋简体"/>
          <w:spacing w:val="-4"/>
          <w:sz w:val="44"/>
          <w:szCs w:val="44"/>
        </w:rPr>
        <w:t xml:space="preserve"> </w:t>
      </w:r>
      <w:r>
        <w:rPr>
          <w:rFonts w:eastAsia="方正小标宋简体" w:hint="eastAsia"/>
          <w:spacing w:val="-4"/>
          <w:sz w:val="44"/>
          <w:szCs w:val="44"/>
        </w:rPr>
        <w:t>盈江县盛鑫石材有限责任公司石材加工销售项目环境影响报告表的批复</w:t>
      </w:r>
    </w:p>
    <w:p w:rsidR="009B7297" w:rsidRDefault="009B7297">
      <w:pPr>
        <w:spacing w:line="560" w:lineRule="exact"/>
        <w:rPr>
          <w:rFonts w:eastAsia="方正仿宋_GBK"/>
          <w:sz w:val="32"/>
          <w:szCs w:val="32"/>
        </w:rPr>
      </w:pPr>
    </w:p>
    <w:p w:rsidR="009B7297" w:rsidRPr="00904406" w:rsidRDefault="009B7297" w:rsidP="00904406">
      <w:pPr>
        <w:spacing w:line="560" w:lineRule="exact"/>
        <w:rPr>
          <w:rFonts w:eastAsia="方正仿宋_GBK"/>
          <w:sz w:val="32"/>
          <w:szCs w:val="32"/>
        </w:rPr>
      </w:pPr>
      <w:r w:rsidRPr="00904406">
        <w:rPr>
          <w:rFonts w:eastAsia="方正仿宋_GBK" w:hint="eastAsia"/>
          <w:sz w:val="32"/>
          <w:szCs w:val="32"/>
        </w:rPr>
        <w:t>盈江县盛鑫石材有限责任公司</w:t>
      </w:r>
      <w:r w:rsidRPr="00904406">
        <w:rPr>
          <w:rFonts w:eastAsia="方正仿宋_GBK"/>
          <w:sz w:val="32"/>
          <w:szCs w:val="32"/>
        </w:rPr>
        <w:t>:</w:t>
      </w:r>
    </w:p>
    <w:p w:rsidR="009B7297" w:rsidRPr="00904406" w:rsidRDefault="009B7297" w:rsidP="00904406">
      <w:pPr>
        <w:spacing w:line="560" w:lineRule="exact"/>
        <w:ind w:firstLineChars="200" w:firstLine="640"/>
        <w:rPr>
          <w:rFonts w:eastAsia="方正仿宋_GBK"/>
          <w:sz w:val="32"/>
          <w:szCs w:val="32"/>
        </w:rPr>
      </w:pPr>
      <w:r w:rsidRPr="00904406">
        <w:rPr>
          <w:rFonts w:eastAsia="方正仿宋_GBK" w:hint="eastAsia"/>
          <w:sz w:val="32"/>
          <w:szCs w:val="32"/>
        </w:rPr>
        <w:t>你公司报批的《盈江县盛鑫石材有限责任公司石材加工销售项目环境影响报告表》已收悉，经研究，现批复如下：</w:t>
      </w:r>
    </w:p>
    <w:p w:rsidR="009B7297" w:rsidRPr="00904406" w:rsidRDefault="009B7297" w:rsidP="00904406">
      <w:pPr>
        <w:spacing w:line="560" w:lineRule="exact"/>
        <w:ind w:firstLineChars="200" w:firstLine="640"/>
        <w:rPr>
          <w:rFonts w:eastAsia="方正仿宋_GBK"/>
          <w:sz w:val="32"/>
          <w:szCs w:val="32"/>
        </w:rPr>
      </w:pPr>
      <w:r w:rsidRPr="00904406">
        <w:rPr>
          <w:rFonts w:eastAsia="方正仿宋_GBK" w:hint="eastAsia"/>
          <w:sz w:val="32"/>
          <w:szCs w:val="32"/>
        </w:rPr>
        <w:t>一、项目基本情况</w:t>
      </w:r>
    </w:p>
    <w:p w:rsidR="009B7297" w:rsidRPr="00904406" w:rsidRDefault="009B7297" w:rsidP="00904406">
      <w:pPr>
        <w:spacing w:line="560" w:lineRule="exact"/>
        <w:ind w:firstLineChars="200" w:firstLine="640"/>
        <w:rPr>
          <w:rFonts w:eastAsia="方正仿宋_GBK"/>
          <w:sz w:val="32"/>
          <w:szCs w:val="32"/>
        </w:rPr>
      </w:pPr>
      <w:r w:rsidRPr="00904406">
        <w:rPr>
          <w:rFonts w:eastAsia="方正仿宋_GBK" w:hint="eastAsia"/>
          <w:sz w:val="32"/>
          <w:szCs w:val="32"/>
        </w:rPr>
        <w:t>项目位于盈江县新城乡杏坝村，总占地面积</w:t>
      </w:r>
      <w:r w:rsidRPr="00904406">
        <w:rPr>
          <w:rFonts w:eastAsia="方正仿宋_GBK"/>
          <w:sz w:val="32"/>
          <w:szCs w:val="32"/>
        </w:rPr>
        <w:t>10622</w:t>
      </w:r>
      <w:r w:rsidRPr="00904406">
        <w:rPr>
          <w:rFonts w:eastAsia="方正仿宋_GBK" w:hint="eastAsia"/>
          <w:sz w:val="32"/>
          <w:szCs w:val="32"/>
        </w:rPr>
        <w:t>平方米，设计生产规模为年生产装饰石材</w:t>
      </w:r>
      <w:r w:rsidRPr="00904406">
        <w:rPr>
          <w:rFonts w:eastAsia="方正仿宋_GBK"/>
          <w:sz w:val="32"/>
          <w:szCs w:val="32"/>
        </w:rPr>
        <w:t>100</w:t>
      </w:r>
      <w:r w:rsidRPr="00904406">
        <w:rPr>
          <w:rFonts w:eastAsia="方正仿宋_GBK" w:hint="eastAsia"/>
          <w:sz w:val="32"/>
          <w:szCs w:val="32"/>
        </w:rPr>
        <w:t>万平方米。项目分两期建设，其中一期建筑面积</w:t>
      </w:r>
      <w:r w:rsidRPr="00904406">
        <w:rPr>
          <w:rFonts w:eastAsia="方正仿宋_GBK"/>
          <w:sz w:val="32"/>
          <w:szCs w:val="32"/>
        </w:rPr>
        <w:t>3832</w:t>
      </w:r>
      <w:r w:rsidRPr="00904406">
        <w:rPr>
          <w:rFonts w:eastAsia="方正仿宋_GBK" w:hint="eastAsia"/>
          <w:sz w:val="32"/>
          <w:szCs w:val="32"/>
        </w:rPr>
        <w:t>平方米，主要建设内容包括办公生活楼</w:t>
      </w:r>
      <w:r w:rsidRPr="00904406">
        <w:rPr>
          <w:rFonts w:eastAsia="方正仿宋_GBK"/>
          <w:sz w:val="32"/>
          <w:szCs w:val="32"/>
        </w:rPr>
        <w:t>1</w:t>
      </w:r>
      <w:r w:rsidRPr="00904406">
        <w:rPr>
          <w:rFonts w:eastAsia="方正仿宋_GBK" w:hint="eastAsia"/>
          <w:sz w:val="32"/>
          <w:szCs w:val="32"/>
        </w:rPr>
        <w:t>栋，生产厂房</w:t>
      </w:r>
      <w:r w:rsidRPr="00904406">
        <w:rPr>
          <w:rFonts w:eastAsia="方正仿宋_GBK"/>
          <w:sz w:val="32"/>
          <w:szCs w:val="32"/>
        </w:rPr>
        <w:t>1</w:t>
      </w:r>
      <w:r w:rsidRPr="00904406">
        <w:rPr>
          <w:rFonts w:eastAsia="方正仿宋_GBK" w:hint="eastAsia"/>
          <w:sz w:val="32"/>
          <w:szCs w:val="32"/>
        </w:rPr>
        <w:t>栋，年生产</w:t>
      </w:r>
      <w:r w:rsidRPr="00904406">
        <w:rPr>
          <w:rFonts w:eastAsia="方正仿宋_GBK"/>
          <w:sz w:val="32"/>
          <w:szCs w:val="32"/>
        </w:rPr>
        <w:t>50</w:t>
      </w:r>
      <w:r w:rsidRPr="00904406">
        <w:rPr>
          <w:rFonts w:eastAsia="方正仿宋_GBK" w:hint="eastAsia"/>
          <w:sz w:val="32"/>
          <w:szCs w:val="32"/>
        </w:rPr>
        <w:t>万平方米石材生产线</w:t>
      </w:r>
      <w:r w:rsidRPr="00904406">
        <w:rPr>
          <w:rFonts w:eastAsia="方正仿宋_GBK"/>
          <w:sz w:val="32"/>
          <w:szCs w:val="32"/>
        </w:rPr>
        <w:t>1</w:t>
      </w:r>
      <w:r w:rsidRPr="00904406">
        <w:rPr>
          <w:rFonts w:eastAsia="方正仿宋_GBK" w:hint="eastAsia"/>
          <w:sz w:val="32"/>
          <w:szCs w:val="32"/>
        </w:rPr>
        <w:t>条，配套建设辅助工程、公用工程及环保工程等；二期建筑面积</w:t>
      </w:r>
      <w:r w:rsidRPr="00904406">
        <w:rPr>
          <w:rFonts w:eastAsia="方正仿宋_GBK"/>
          <w:sz w:val="32"/>
          <w:szCs w:val="32"/>
        </w:rPr>
        <w:t>2785.79</w:t>
      </w:r>
      <w:r w:rsidRPr="00904406">
        <w:rPr>
          <w:rFonts w:eastAsia="方正仿宋_GBK" w:hint="eastAsia"/>
          <w:sz w:val="32"/>
          <w:szCs w:val="32"/>
        </w:rPr>
        <w:t>平方米，建设内容为生产厂房一栋，年生产</w:t>
      </w:r>
      <w:r w:rsidRPr="00904406">
        <w:rPr>
          <w:rFonts w:eastAsia="方正仿宋_GBK"/>
          <w:sz w:val="32"/>
          <w:szCs w:val="32"/>
        </w:rPr>
        <w:t>50</w:t>
      </w:r>
      <w:r w:rsidRPr="00904406">
        <w:rPr>
          <w:rFonts w:eastAsia="方正仿宋_GBK" w:hint="eastAsia"/>
          <w:sz w:val="32"/>
          <w:szCs w:val="32"/>
        </w:rPr>
        <w:t>万平方米石材生产线</w:t>
      </w:r>
      <w:r w:rsidRPr="00904406">
        <w:rPr>
          <w:rFonts w:eastAsia="方正仿宋_GBK"/>
          <w:sz w:val="32"/>
          <w:szCs w:val="32"/>
        </w:rPr>
        <w:t>1</w:t>
      </w:r>
      <w:r w:rsidRPr="00904406">
        <w:rPr>
          <w:rFonts w:eastAsia="方正仿宋_GBK" w:hint="eastAsia"/>
          <w:sz w:val="32"/>
          <w:szCs w:val="32"/>
        </w:rPr>
        <w:t>条。项目总投资</w:t>
      </w:r>
      <w:r w:rsidRPr="00904406">
        <w:rPr>
          <w:rFonts w:eastAsia="方正仿宋_GBK"/>
          <w:sz w:val="32"/>
          <w:szCs w:val="32"/>
        </w:rPr>
        <w:t>6000</w:t>
      </w:r>
      <w:r w:rsidRPr="00904406">
        <w:rPr>
          <w:rFonts w:eastAsia="方正仿宋_GBK" w:hint="eastAsia"/>
          <w:sz w:val="32"/>
          <w:szCs w:val="32"/>
        </w:rPr>
        <w:t>万元，其中环保投资</w:t>
      </w:r>
      <w:r w:rsidRPr="00904406">
        <w:rPr>
          <w:rFonts w:eastAsia="方正仿宋_GBK"/>
          <w:sz w:val="32"/>
          <w:szCs w:val="32"/>
        </w:rPr>
        <w:t>64</w:t>
      </w:r>
      <w:r w:rsidRPr="00904406">
        <w:rPr>
          <w:rFonts w:eastAsia="方正仿宋_GBK" w:hint="eastAsia"/>
          <w:sz w:val="32"/>
          <w:szCs w:val="32"/>
        </w:rPr>
        <w:t>万元，占总投资的</w:t>
      </w:r>
      <w:r w:rsidRPr="00904406">
        <w:rPr>
          <w:rFonts w:eastAsia="方正仿宋_GBK"/>
          <w:sz w:val="32"/>
          <w:szCs w:val="32"/>
        </w:rPr>
        <w:t>1.07</w:t>
      </w:r>
      <w:r w:rsidRPr="00904406">
        <w:rPr>
          <w:rFonts w:eastAsia="方正仿宋_GBK" w:hint="eastAsia"/>
          <w:sz w:val="32"/>
          <w:szCs w:val="32"/>
        </w:rPr>
        <w:t>％。</w:t>
      </w:r>
    </w:p>
    <w:p w:rsidR="009B7297" w:rsidRPr="00904406" w:rsidRDefault="009B7297" w:rsidP="00904406">
      <w:pPr>
        <w:overflowPunct w:val="0"/>
        <w:topLinePunct/>
        <w:spacing w:line="560" w:lineRule="exact"/>
        <w:ind w:firstLineChars="200" w:firstLine="640"/>
        <w:rPr>
          <w:rFonts w:eastAsia="方正仿宋_GBK"/>
          <w:sz w:val="32"/>
          <w:szCs w:val="32"/>
        </w:rPr>
      </w:pPr>
      <w:r w:rsidRPr="00904406">
        <w:rPr>
          <w:rFonts w:eastAsia="方正仿宋_GBK" w:hint="eastAsia"/>
          <w:sz w:val="32"/>
          <w:szCs w:val="32"/>
        </w:rPr>
        <w:t>本项目符合国家产政策，不涉及云南省生态保护红线、自然保护区、风景名胜区、水源地保护区等敏感区域。在全面落实环境影响报告表提出的各项污染防治和生态保护措施后，项目污染物可达标排放，项目建设和运营的不良环境影响可以得到减缓和控制，我局同意该项目按照环境</w:t>
      </w:r>
      <w:r>
        <w:rPr>
          <w:rFonts w:eastAsia="方正仿宋_GBK" w:hint="eastAsia"/>
          <w:sz w:val="32"/>
          <w:szCs w:val="32"/>
        </w:rPr>
        <w:t>影响</w:t>
      </w:r>
      <w:r w:rsidRPr="00904406">
        <w:rPr>
          <w:rFonts w:eastAsia="方正仿宋_GBK" w:hint="eastAsia"/>
          <w:sz w:val="32"/>
          <w:szCs w:val="32"/>
        </w:rPr>
        <w:t>报告表中的性质、地点、采用的环境保护对策、措施进行建设。</w:t>
      </w:r>
    </w:p>
    <w:p w:rsidR="009B7297" w:rsidRPr="00904406" w:rsidRDefault="009B7297" w:rsidP="00904406">
      <w:pPr>
        <w:topLinePunct/>
        <w:spacing w:line="560" w:lineRule="exact"/>
        <w:ind w:firstLineChars="200" w:firstLine="632"/>
        <w:rPr>
          <w:rFonts w:eastAsia="方正仿宋_GBK"/>
          <w:sz w:val="32"/>
          <w:szCs w:val="32"/>
        </w:rPr>
      </w:pPr>
      <w:r w:rsidRPr="00904406">
        <w:rPr>
          <w:rFonts w:eastAsia="方正仿宋_GBK" w:hint="eastAsia"/>
          <w:spacing w:val="-2"/>
          <w:sz w:val="32"/>
          <w:szCs w:val="32"/>
        </w:rPr>
        <w:t>二、项目建设和运营过程中应重点做好的工作</w:t>
      </w:r>
    </w:p>
    <w:p w:rsidR="009B7297" w:rsidRPr="00904406" w:rsidRDefault="009B7297" w:rsidP="00904406">
      <w:pPr>
        <w:topLinePunct/>
        <w:spacing w:line="560" w:lineRule="exact"/>
        <w:ind w:firstLineChars="200" w:firstLine="640"/>
        <w:rPr>
          <w:rFonts w:eastAsia="方正仿宋_GBK"/>
          <w:spacing w:val="-2"/>
          <w:sz w:val="32"/>
          <w:szCs w:val="32"/>
        </w:rPr>
      </w:pPr>
      <w:r w:rsidRPr="00904406">
        <w:rPr>
          <w:rFonts w:eastAsia="方正仿宋_GBK" w:hint="eastAsia"/>
          <w:sz w:val="32"/>
          <w:szCs w:val="32"/>
        </w:rPr>
        <w:t>㈠《盈江县盛鑫石材有限责任公司石材加工销售项目环境影响报告表》</w:t>
      </w:r>
      <w:r w:rsidRPr="00904406">
        <w:rPr>
          <w:rFonts w:eastAsia="方正仿宋_GBK" w:hint="eastAsia"/>
          <w:spacing w:val="-2"/>
          <w:sz w:val="32"/>
          <w:szCs w:val="32"/>
        </w:rPr>
        <w:t>作为该项目建设和运营期环境管理的依据，必须认真落实《报告表》提出的各项环保对策措施，严格按提出的环保投资概算执行。</w:t>
      </w:r>
    </w:p>
    <w:p w:rsidR="009B7297" w:rsidRPr="00904406" w:rsidRDefault="009B7297" w:rsidP="00904406">
      <w:pPr>
        <w:topLinePunct/>
        <w:spacing w:line="560" w:lineRule="exact"/>
        <w:ind w:firstLineChars="200" w:firstLine="640"/>
        <w:rPr>
          <w:rFonts w:eastAsia="方正仿宋_GBK"/>
          <w:bCs/>
          <w:sz w:val="32"/>
          <w:szCs w:val="32"/>
        </w:rPr>
      </w:pPr>
      <w:r w:rsidRPr="00904406">
        <w:rPr>
          <w:rFonts w:eastAsia="方正仿宋_GBK" w:hint="eastAsia"/>
          <w:bCs/>
          <w:sz w:val="32"/>
          <w:szCs w:val="32"/>
        </w:rPr>
        <w:t>㈡施工期必须加强管理。场地平整过程中采取不定期洒水降尘减少扬尘产生；施工场地设置临时沉淀池，施工废水经沉淀池处理后回用，严禁外排；合理安排施工时间，施工场界噪声执行《建筑施工场界环境噪声排放标准》（</w:t>
      </w:r>
      <w:r w:rsidRPr="00904406">
        <w:rPr>
          <w:rFonts w:eastAsia="方正仿宋_GBK"/>
          <w:bCs/>
          <w:sz w:val="32"/>
          <w:szCs w:val="32"/>
        </w:rPr>
        <w:t>GB12523-2011</w:t>
      </w:r>
      <w:r w:rsidRPr="00904406">
        <w:rPr>
          <w:rFonts w:eastAsia="方正仿宋_GBK" w:hint="eastAsia"/>
          <w:bCs/>
          <w:sz w:val="32"/>
          <w:szCs w:val="32"/>
        </w:rPr>
        <w:t>）；施工产生的建筑垃圾必须妥善堆放，可回收部分回收利用，不可回收部分及时清运至新城乡人民政府指定地点堆放，严禁随意丢弃；加强运输车辆管理，物料运输必须加盖篷布，防止遗撒，车辆经过敏感点时必须减速慢行。</w:t>
      </w:r>
    </w:p>
    <w:p w:rsidR="009B7297" w:rsidRPr="00904406" w:rsidRDefault="009B7297" w:rsidP="00904406">
      <w:pPr>
        <w:pStyle w:val="BodyTextIndent"/>
        <w:spacing w:line="560" w:lineRule="exact"/>
        <w:ind w:firstLineChars="200" w:firstLine="640"/>
        <w:rPr>
          <w:rFonts w:eastAsia="方正仿宋_GBK"/>
          <w:sz w:val="32"/>
          <w:szCs w:val="32"/>
        </w:rPr>
      </w:pPr>
      <w:r w:rsidRPr="00904406">
        <w:rPr>
          <w:rFonts w:eastAsia="方正仿宋_GBK" w:hint="eastAsia"/>
          <w:sz w:val="32"/>
          <w:szCs w:val="32"/>
        </w:rPr>
        <w:t>㈢项目必须实施雨污分流，配套建设防雨、防渗的三级沉淀池、化粪池、隔油池、污水收集池及初期雨水收集池。项目区雨水经雨水沟收集后排入雨水收集池，经沉淀后外排；生活废水经隔油池、化粪池处理后排入收集池，用于厂区洒水或周边林地浇灌，严禁外排，若外排，必须建设污水处理设施，处理达到</w:t>
      </w:r>
      <w:r w:rsidRPr="00904406">
        <w:rPr>
          <w:rFonts w:eastAsia="方正仿宋_GBK" w:hint="eastAsia"/>
          <w:bCs/>
          <w:sz w:val="32"/>
          <w:szCs w:val="32"/>
        </w:rPr>
        <w:t>《污水综合排放标准》（</w:t>
      </w:r>
      <w:r w:rsidRPr="00904406">
        <w:rPr>
          <w:rFonts w:eastAsia="方正仿宋_GBK"/>
          <w:bCs/>
          <w:sz w:val="32"/>
          <w:szCs w:val="32"/>
        </w:rPr>
        <w:t>GB8978-1996</w:t>
      </w:r>
      <w:r w:rsidRPr="00904406">
        <w:rPr>
          <w:rFonts w:eastAsia="方正仿宋_GBK" w:hint="eastAsia"/>
          <w:bCs/>
          <w:sz w:val="32"/>
          <w:szCs w:val="32"/>
        </w:rPr>
        <w:t>）一级标准</w:t>
      </w:r>
      <w:r w:rsidRPr="00904406">
        <w:rPr>
          <w:rFonts w:eastAsia="方正仿宋_GBK" w:hint="eastAsia"/>
          <w:sz w:val="32"/>
          <w:szCs w:val="32"/>
        </w:rPr>
        <w:t>；生产废水排入三级沉淀池，经絮凝沉淀处理后回用，严禁外排。</w:t>
      </w:r>
    </w:p>
    <w:p w:rsidR="009B7297" w:rsidRPr="00904406" w:rsidRDefault="009B7297" w:rsidP="00904406">
      <w:pPr>
        <w:pStyle w:val="BodyTextIndent"/>
        <w:spacing w:line="560" w:lineRule="exact"/>
        <w:ind w:firstLineChars="200" w:firstLine="640"/>
        <w:rPr>
          <w:rFonts w:eastAsia="方正仿宋_GBK"/>
          <w:sz w:val="32"/>
          <w:szCs w:val="32"/>
        </w:rPr>
      </w:pPr>
      <w:r w:rsidRPr="00904406">
        <w:rPr>
          <w:rFonts w:eastAsia="方正仿宋_GBK" w:hint="eastAsia"/>
          <w:sz w:val="32"/>
          <w:szCs w:val="32"/>
        </w:rPr>
        <w:t>㈣运营期加强大气污染防治，项目锯切、打磨、磨边倒角、边角料破碎等工序设置于封闭车间，采用湿式作业，减少粉尘的产生，项目区无组织粉尘执行《大气污染物综合排放标准》（</w:t>
      </w:r>
      <w:r w:rsidRPr="00904406">
        <w:rPr>
          <w:rFonts w:eastAsia="方正仿宋_GBK"/>
          <w:sz w:val="32"/>
          <w:szCs w:val="32"/>
        </w:rPr>
        <w:t>GB16297-1996</w:t>
      </w:r>
      <w:r w:rsidRPr="00904406">
        <w:rPr>
          <w:rFonts w:eastAsia="方正仿宋_GBK" w:hint="eastAsia"/>
          <w:sz w:val="32"/>
          <w:szCs w:val="32"/>
        </w:rPr>
        <w:t>）表</w:t>
      </w:r>
      <w:r w:rsidRPr="00904406">
        <w:rPr>
          <w:rFonts w:eastAsia="方正仿宋_GBK"/>
          <w:sz w:val="32"/>
          <w:szCs w:val="32"/>
        </w:rPr>
        <w:t>2</w:t>
      </w:r>
      <w:r w:rsidRPr="00904406">
        <w:rPr>
          <w:rFonts w:eastAsia="方正仿宋_GBK" w:hint="eastAsia"/>
          <w:sz w:val="32"/>
          <w:szCs w:val="32"/>
        </w:rPr>
        <w:t>无组织排放标准限值；荒料堆场采用公分石铺垫，其他区域及进厂道路进行硬化，定期清扫、洒水降尘，减少扬尘产生；食堂必须安装油烟净化设施，食堂油烟经处理后排放。</w:t>
      </w:r>
    </w:p>
    <w:p w:rsidR="009B7297" w:rsidRPr="00904406" w:rsidRDefault="009B7297" w:rsidP="00904406">
      <w:pPr>
        <w:pStyle w:val="BodyTextIndent"/>
        <w:spacing w:line="560" w:lineRule="exact"/>
        <w:ind w:firstLineChars="200" w:firstLine="640"/>
        <w:rPr>
          <w:rFonts w:eastAsia="方正仿宋_GBK"/>
          <w:bCs/>
          <w:sz w:val="32"/>
          <w:szCs w:val="32"/>
        </w:rPr>
      </w:pPr>
      <w:r w:rsidRPr="00904406">
        <w:rPr>
          <w:rFonts w:eastAsia="方正仿宋_GBK" w:hint="eastAsia"/>
          <w:sz w:val="32"/>
          <w:szCs w:val="32"/>
        </w:rPr>
        <w:t>㈤运营期加强噪声污染防治，优先采用低噪声设备，合理布置，对高噪声设备进行基础减震，减少噪声影响</w:t>
      </w:r>
      <w:r w:rsidRPr="00904406">
        <w:rPr>
          <w:rFonts w:eastAsia="方正仿宋_GBK" w:hint="eastAsia"/>
          <w:bCs/>
          <w:sz w:val="32"/>
          <w:szCs w:val="32"/>
        </w:rPr>
        <w:t>，项目运营期噪声执行《工业企业厂界环境噪声排放标准》（</w:t>
      </w:r>
      <w:r w:rsidRPr="00904406">
        <w:rPr>
          <w:rFonts w:eastAsia="方正仿宋_GBK"/>
          <w:bCs/>
          <w:sz w:val="32"/>
          <w:szCs w:val="32"/>
        </w:rPr>
        <w:t>GB12348-2008</w:t>
      </w:r>
      <w:r w:rsidRPr="00904406">
        <w:rPr>
          <w:rFonts w:eastAsia="方正仿宋_GBK" w:hint="eastAsia"/>
          <w:bCs/>
          <w:sz w:val="32"/>
          <w:szCs w:val="32"/>
        </w:rPr>
        <w:t>）</w:t>
      </w:r>
      <w:r w:rsidRPr="00904406">
        <w:rPr>
          <w:rFonts w:eastAsia="方正仿宋_GBK"/>
          <w:bCs/>
          <w:sz w:val="32"/>
          <w:szCs w:val="32"/>
        </w:rPr>
        <w:t>2</w:t>
      </w:r>
      <w:r w:rsidRPr="00904406">
        <w:rPr>
          <w:rFonts w:eastAsia="方正仿宋_GBK" w:hint="eastAsia"/>
          <w:bCs/>
          <w:sz w:val="32"/>
          <w:szCs w:val="32"/>
        </w:rPr>
        <w:t>类标准；加强对运输车辆管理，途经敏感点时必须限速禁鸣</w:t>
      </w:r>
      <w:r w:rsidRPr="00904406">
        <w:rPr>
          <w:rFonts w:eastAsia="方正仿宋_GBK" w:hint="eastAsia"/>
          <w:sz w:val="32"/>
          <w:szCs w:val="32"/>
        </w:rPr>
        <w:t>。</w:t>
      </w:r>
    </w:p>
    <w:p w:rsidR="009B7297" w:rsidRPr="00904406" w:rsidRDefault="009B7297" w:rsidP="00904406">
      <w:pPr>
        <w:pStyle w:val="BodyTextIndent"/>
        <w:spacing w:line="560" w:lineRule="exact"/>
        <w:ind w:firstLineChars="200" w:firstLine="640"/>
        <w:rPr>
          <w:rFonts w:eastAsia="方正仿宋_GBK"/>
          <w:sz w:val="32"/>
          <w:szCs w:val="32"/>
        </w:rPr>
      </w:pPr>
      <w:r w:rsidRPr="00904406">
        <w:rPr>
          <w:rFonts w:eastAsia="方正仿宋_GBK" w:hint="eastAsia"/>
          <w:sz w:val="32"/>
          <w:szCs w:val="32"/>
        </w:rPr>
        <w:t>㈥加强固废管理，设置防雨、防渗、防溢流的干化池，沉淀池泥浆淋漓废水必须排入三级沉淀池，干化底泥作为建筑材料外售；边角废料经破碎加工后，用作建筑砂石料外售，严禁随意堆放、丢弃；生活垃圾集中收集后，清运至当地垃圾收集点，交环卫部门处置；定期委托周边农户清掏化粪池污泥，用作农肥。</w:t>
      </w:r>
    </w:p>
    <w:p w:rsidR="009B7297" w:rsidRPr="00904406" w:rsidRDefault="009B7297" w:rsidP="00904406">
      <w:pPr>
        <w:pStyle w:val="BodyTextIndent"/>
        <w:spacing w:line="560" w:lineRule="exact"/>
        <w:ind w:firstLineChars="200" w:firstLine="640"/>
        <w:rPr>
          <w:rFonts w:eastAsia="方正仿宋_GBK"/>
          <w:bCs/>
          <w:sz w:val="32"/>
          <w:szCs w:val="32"/>
        </w:rPr>
      </w:pPr>
      <w:r w:rsidRPr="00904406">
        <w:rPr>
          <w:rFonts w:eastAsia="方正仿宋_GBK" w:hint="eastAsia"/>
          <w:sz w:val="32"/>
          <w:szCs w:val="32"/>
        </w:rPr>
        <w:t>㈦</w:t>
      </w:r>
      <w:r w:rsidRPr="00904406">
        <w:rPr>
          <w:rFonts w:eastAsia="方正仿宋_GBK" w:hint="eastAsia"/>
          <w:bCs/>
          <w:sz w:val="32"/>
          <w:szCs w:val="32"/>
        </w:rPr>
        <w:t>项目运营期必须加强环境风险防范，严格按照</w:t>
      </w:r>
      <w:r w:rsidRPr="00904406">
        <w:rPr>
          <w:rFonts w:eastAsia="方正仿宋_GBK"/>
          <w:bCs/>
          <w:sz w:val="32"/>
          <w:szCs w:val="32"/>
        </w:rPr>
        <w:t>GB18597-2001</w:t>
      </w:r>
      <w:r w:rsidRPr="00904406">
        <w:rPr>
          <w:rFonts w:eastAsia="方正仿宋_GBK" w:hint="eastAsia"/>
          <w:bCs/>
          <w:sz w:val="32"/>
          <w:szCs w:val="32"/>
        </w:rPr>
        <w:t>《危险废物贮存污染控制标准》要求，建设规范的危险废物暂存间暂存废机油等危险废物，委托有资质的单位清运处置，建立危险废物转移台账，执行转移联单制度；建设单位必须按照《突发环境事件应急预案管理办法》（部令第</w:t>
      </w:r>
      <w:r w:rsidRPr="00904406">
        <w:rPr>
          <w:rFonts w:eastAsia="方正仿宋_GBK"/>
          <w:bCs/>
          <w:sz w:val="32"/>
          <w:szCs w:val="32"/>
        </w:rPr>
        <w:t>34</w:t>
      </w:r>
      <w:r w:rsidRPr="00904406">
        <w:rPr>
          <w:rFonts w:eastAsia="方正仿宋_GBK" w:hint="eastAsia"/>
          <w:bCs/>
          <w:sz w:val="32"/>
          <w:szCs w:val="32"/>
        </w:rPr>
        <w:t>号），编制突发环境事件应急预案，报生态环境主管部门备案。</w:t>
      </w:r>
    </w:p>
    <w:p w:rsidR="009B7297" w:rsidRPr="00904406" w:rsidRDefault="009B7297" w:rsidP="00904406">
      <w:pPr>
        <w:pStyle w:val="BodyTextIndent"/>
        <w:spacing w:line="560" w:lineRule="exact"/>
        <w:ind w:firstLineChars="200" w:firstLine="640"/>
        <w:rPr>
          <w:rFonts w:eastAsia="方正仿宋_GBK"/>
          <w:sz w:val="32"/>
          <w:szCs w:val="32"/>
        </w:rPr>
      </w:pPr>
      <w:r w:rsidRPr="00904406">
        <w:rPr>
          <w:rFonts w:eastAsia="方正仿宋_GBK" w:hint="eastAsia"/>
          <w:sz w:val="32"/>
          <w:szCs w:val="32"/>
        </w:rPr>
        <w:t>㈧本项目不设污染物排放总量控制指标。</w:t>
      </w:r>
    </w:p>
    <w:p w:rsidR="009B7297" w:rsidRPr="00904406" w:rsidRDefault="009B7297" w:rsidP="00904406">
      <w:pPr>
        <w:numPr>
          <w:ilvl w:val="0"/>
          <w:numId w:val="1"/>
        </w:numPr>
        <w:topLinePunct/>
        <w:spacing w:line="560" w:lineRule="exact"/>
        <w:ind w:firstLineChars="200" w:firstLine="640"/>
        <w:rPr>
          <w:rFonts w:eastAsia="方正仿宋_GBK"/>
          <w:sz w:val="32"/>
          <w:szCs w:val="32"/>
        </w:rPr>
      </w:pPr>
      <w:r w:rsidRPr="00904406">
        <w:rPr>
          <w:rFonts w:eastAsia="方正仿宋_GBK" w:hint="eastAsia"/>
          <w:sz w:val="32"/>
          <w:szCs w:val="32"/>
        </w:rPr>
        <w:t>加强管理，健全机构，严格执行环保</w:t>
      </w:r>
      <w:r w:rsidRPr="00904406">
        <w:rPr>
          <w:rFonts w:eastAsia="方正仿宋_GBK"/>
          <w:sz w:val="32"/>
          <w:szCs w:val="32"/>
        </w:rPr>
        <w:t>“</w:t>
      </w:r>
      <w:r w:rsidRPr="00904406">
        <w:rPr>
          <w:rFonts w:eastAsia="方正仿宋_GBK" w:hint="eastAsia"/>
          <w:sz w:val="32"/>
          <w:szCs w:val="32"/>
        </w:rPr>
        <w:t>三同时</w:t>
      </w:r>
      <w:r w:rsidRPr="00904406">
        <w:rPr>
          <w:rFonts w:eastAsia="方正仿宋_GBK"/>
          <w:sz w:val="32"/>
          <w:szCs w:val="32"/>
        </w:rPr>
        <w:t>”</w:t>
      </w:r>
      <w:r w:rsidRPr="00904406">
        <w:rPr>
          <w:rFonts w:eastAsia="方正仿宋_GBK" w:hint="eastAsia"/>
          <w:sz w:val="32"/>
          <w:szCs w:val="32"/>
        </w:rPr>
        <w:t>制度，积极配合环境保护行政主管部门的环境监察工作。项目建设完成后，建设单位应当在启动生产设施或者发生实际排污前，根据《固定污染源排污许可分类管理名录》，申请取得排污许可证或者填报排污登记表；并按规定自主开展竣工环保验收，验收合格后方可正式投入运行。项目必须严格按照环境监测计划开展运营期环境监测，确保污染物达标排放。</w:t>
      </w:r>
    </w:p>
    <w:p w:rsidR="009B7297" w:rsidRPr="00904406" w:rsidRDefault="009B7297" w:rsidP="00904406">
      <w:pPr>
        <w:topLinePunct/>
        <w:spacing w:line="560" w:lineRule="exact"/>
        <w:ind w:firstLineChars="200" w:firstLine="640"/>
        <w:rPr>
          <w:rFonts w:eastAsia="方正仿宋_GBK"/>
          <w:sz w:val="32"/>
          <w:szCs w:val="32"/>
        </w:rPr>
      </w:pPr>
      <w:r w:rsidRPr="00904406">
        <w:rPr>
          <w:rFonts w:eastAsia="方正仿宋_GBK" w:hint="eastAsia"/>
          <w:sz w:val="32"/>
          <w:szCs w:val="32"/>
        </w:rPr>
        <w:t>四、项目的性质、规模、地点、采用的生产工艺或者防治污染、防治生态破坏的措施发生重大变化的，经调查属于重大变动的应当重新报批项目的环境影响评价文件，不属于重大变动的纳入竣工环境保护验收管理。</w:t>
      </w:r>
    </w:p>
    <w:p w:rsidR="009B7297" w:rsidRPr="00904406" w:rsidRDefault="009B7297" w:rsidP="00904406">
      <w:pPr>
        <w:topLinePunct/>
        <w:spacing w:line="560" w:lineRule="exact"/>
        <w:ind w:firstLineChars="200" w:firstLine="640"/>
        <w:rPr>
          <w:rFonts w:eastAsia="方正仿宋_GBK"/>
          <w:sz w:val="32"/>
          <w:szCs w:val="32"/>
        </w:rPr>
      </w:pPr>
      <w:r w:rsidRPr="00904406">
        <w:rPr>
          <w:rFonts w:eastAsia="方正仿宋_GBK" w:hint="eastAsia"/>
          <w:sz w:val="32"/>
          <w:szCs w:val="32"/>
        </w:rPr>
        <w:t>五、请盈江县环境监察大队加强对该项目施工期和营运期的现场监察。</w:t>
      </w:r>
    </w:p>
    <w:p w:rsidR="009B7297" w:rsidRPr="00904406" w:rsidRDefault="009B7297" w:rsidP="00904406">
      <w:pPr>
        <w:spacing w:line="560" w:lineRule="exact"/>
        <w:ind w:right="640" w:firstLineChars="200" w:firstLine="640"/>
        <w:jc w:val="center"/>
        <w:rPr>
          <w:rFonts w:eastAsia="方正仿宋_GBK"/>
          <w:sz w:val="32"/>
          <w:szCs w:val="32"/>
        </w:rPr>
      </w:pPr>
      <w:r w:rsidRPr="00904406">
        <w:rPr>
          <w:rFonts w:eastAsia="方正仿宋_GBK"/>
          <w:sz w:val="32"/>
          <w:szCs w:val="32"/>
        </w:rPr>
        <w:t xml:space="preserve">      </w:t>
      </w:r>
    </w:p>
    <w:p w:rsidR="009B7297" w:rsidRPr="00904406" w:rsidRDefault="009B7297" w:rsidP="00904406">
      <w:pPr>
        <w:spacing w:line="560" w:lineRule="exact"/>
        <w:ind w:right="640" w:firstLineChars="200" w:firstLine="640"/>
        <w:jc w:val="center"/>
        <w:rPr>
          <w:rFonts w:eastAsia="方正仿宋_GBK"/>
          <w:sz w:val="32"/>
          <w:szCs w:val="32"/>
        </w:rPr>
      </w:pPr>
      <w:r w:rsidRPr="00904406">
        <w:rPr>
          <w:rFonts w:eastAsia="方正仿宋_GBK"/>
          <w:sz w:val="32"/>
          <w:szCs w:val="32"/>
        </w:rPr>
        <w:t xml:space="preserve"> </w:t>
      </w:r>
      <w:bookmarkStart w:id="0" w:name="_GoBack"/>
      <w:bookmarkEnd w:id="0"/>
      <w:r w:rsidRPr="00904406">
        <w:rPr>
          <w:rFonts w:eastAsia="方正仿宋_GBK"/>
          <w:sz w:val="32"/>
          <w:szCs w:val="32"/>
        </w:rPr>
        <w:t xml:space="preserve">     </w:t>
      </w:r>
    </w:p>
    <w:p w:rsidR="009B7297" w:rsidRPr="00904406" w:rsidRDefault="009B7297" w:rsidP="00904406">
      <w:pPr>
        <w:spacing w:line="560" w:lineRule="exact"/>
        <w:ind w:right="640" w:firstLineChars="200" w:firstLine="640"/>
        <w:jc w:val="center"/>
        <w:rPr>
          <w:rFonts w:eastAsia="方正仿宋_GBK"/>
          <w:sz w:val="32"/>
          <w:szCs w:val="32"/>
        </w:rPr>
      </w:pPr>
      <w:r w:rsidRPr="00904406">
        <w:rPr>
          <w:rFonts w:eastAsia="方正仿宋_GBK"/>
          <w:sz w:val="32"/>
          <w:szCs w:val="32"/>
        </w:rPr>
        <w:t xml:space="preserve">              </w:t>
      </w:r>
      <w:r w:rsidRPr="00904406">
        <w:rPr>
          <w:rFonts w:eastAsia="方正仿宋_GBK" w:hint="eastAsia"/>
          <w:sz w:val="32"/>
          <w:szCs w:val="32"/>
        </w:rPr>
        <w:t>德宏州生态环境局盈江分局</w:t>
      </w:r>
    </w:p>
    <w:p w:rsidR="009B7297" w:rsidRPr="00904406" w:rsidRDefault="009B7297" w:rsidP="00904406">
      <w:pPr>
        <w:spacing w:line="560" w:lineRule="exact"/>
        <w:ind w:right="640" w:firstLineChars="200" w:firstLine="640"/>
        <w:jc w:val="center"/>
        <w:rPr>
          <w:rFonts w:eastAsia="方正仿宋_GBK"/>
          <w:sz w:val="32"/>
          <w:szCs w:val="32"/>
        </w:rPr>
      </w:pPr>
      <w:r w:rsidRPr="00904406">
        <w:rPr>
          <w:rFonts w:eastAsia="方正仿宋_GBK"/>
          <w:sz w:val="32"/>
          <w:szCs w:val="32"/>
        </w:rPr>
        <w:t xml:space="preserve">             </w:t>
      </w:r>
      <w:smartTag w:uri="urn:schemas-microsoft-com:office:smarttags" w:element="chsdate">
        <w:smartTagPr>
          <w:attr w:name="IsROCDate" w:val="False"/>
          <w:attr w:name="IsLunarDate" w:val="False"/>
          <w:attr w:name="Day" w:val="15"/>
          <w:attr w:name="Month" w:val="1"/>
          <w:attr w:name="Year" w:val="2020"/>
        </w:smartTagPr>
        <w:r w:rsidRPr="00904406">
          <w:rPr>
            <w:rFonts w:eastAsia="方正仿宋_GBK"/>
            <w:sz w:val="32"/>
            <w:szCs w:val="32"/>
          </w:rPr>
          <w:t>2020</w:t>
        </w:r>
        <w:r w:rsidRPr="00904406">
          <w:rPr>
            <w:rFonts w:eastAsia="方正仿宋_GBK" w:hint="eastAsia"/>
            <w:sz w:val="32"/>
            <w:szCs w:val="32"/>
          </w:rPr>
          <w:t>年</w:t>
        </w:r>
        <w:r w:rsidRPr="00904406">
          <w:rPr>
            <w:rFonts w:eastAsia="方正仿宋_GBK"/>
            <w:sz w:val="32"/>
            <w:szCs w:val="32"/>
          </w:rPr>
          <w:t>1</w:t>
        </w:r>
        <w:r w:rsidRPr="00904406">
          <w:rPr>
            <w:rFonts w:eastAsia="方正仿宋_GBK" w:hint="eastAsia"/>
            <w:sz w:val="32"/>
            <w:szCs w:val="32"/>
          </w:rPr>
          <w:t>月</w:t>
        </w:r>
        <w:r w:rsidRPr="00904406">
          <w:rPr>
            <w:rFonts w:eastAsia="方正仿宋_GBK"/>
            <w:sz w:val="32"/>
            <w:szCs w:val="32"/>
          </w:rPr>
          <w:t>15</w:t>
        </w:r>
        <w:r w:rsidRPr="00904406">
          <w:rPr>
            <w:rFonts w:eastAsia="方正仿宋_GBK" w:hint="eastAsia"/>
            <w:sz w:val="32"/>
            <w:szCs w:val="32"/>
          </w:rPr>
          <w:t>日</w:t>
        </w:r>
      </w:smartTag>
    </w:p>
    <w:p w:rsidR="009B7297" w:rsidRPr="00904406" w:rsidRDefault="009B7297" w:rsidP="00904406">
      <w:pPr>
        <w:pStyle w:val="PlainText"/>
        <w:spacing w:line="560" w:lineRule="exact"/>
        <w:rPr>
          <w:rFonts w:ascii="Times New Roman" w:eastAsia="方正仿宋_GBK" w:hAnsi="Times New Roman" w:cs="Times New Roman"/>
          <w:sz w:val="32"/>
          <w:szCs w:val="32"/>
        </w:rPr>
      </w:pPr>
    </w:p>
    <w:p w:rsidR="009B7297" w:rsidRDefault="009B7297">
      <w:pPr>
        <w:pBdr>
          <w:top w:val="single" w:sz="4" w:space="1" w:color="auto"/>
          <w:bottom w:val="single" w:sz="4" w:space="1" w:color="auto"/>
        </w:pBdr>
        <w:rPr>
          <w:rFonts w:eastAsia="方正仿宋_GBK"/>
          <w:spacing w:val="-4"/>
          <w:sz w:val="32"/>
          <w:szCs w:val="32"/>
          <w:u w:val="single"/>
        </w:rPr>
      </w:pPr>
      <w:r>
        <w:rPr>
          <w:rFonts w:eastAsia="方正仿宋_GBK"/>
          <w:sz w:val="28"/>
          <w:szCs w:val="28"/>
        </w:rPr>
        <w:t xml:space="preserve">  </w:t>
      </w:r>
      <w:r>
        <w:rPr>
          <w:rFonts w:eastAsia="方正仿宋_GBK" w:hint="eastAsia"/>
          <w:sz w:val="28"/>
          <w:szCs w:val="28"/>
        </w:rPr>
        <w:t>德宏州生态环境局盈江分局办公室</w:t>
      </w:r>
      <w:r>
        <w:rPr>
          <w:rFonts w:eastAsia="方正仿宋_GBK"/>
          <w:sz w:val="28"/>
          <w:szCs w:val="28"/>
        </w:rPr>
        <w:t xml:space="preserve">    </w:t>
      </w:r>
      <w:smartTag w:uri="urn:schemas-microsoft-com:office:smarttags" w:element="chsdate">
        <w:smartTagPr>
          <w:attr w:name="IsROCDate" w:val="False"/>
          <w:attr w:name="IsLunarDate" w:val="False"/>
          <w:attr w:name="Day" w:val="15"/>
          <w:attr w:name="Month" w:val="1"/>
          <w:attr w:name="Year" w:val="2020"/>
        </w:smartTagPr>
        <w:r>
          <w:rPr>
            <w:rFonts w:eastAsia="方正仿宋_GBK"/>
            <w:sz w:val="28"/>
            <w:szCs w:val="28"/>
          </w:rPr>
          <w:t>2020</w:t>
        </w:r>
        <w:r>
          <w:rPr>
            <w:rFonts w:eastAsia="方正仿宋_GBK" w:hint="eastAsia"/>
            <w:sz w:val="28"/>
            <w:szCs w:val="28"/>
          </w:rPr>
          <w:t>年</w:t>
        </w:r>
        <w:r>
          <w:rPr>
            <w:rFonts w:eastAsia="方正仿宋_GBK"/>
            <w:sz w:val="28"/>
            <w:szCs w:val="28"/>
          </w:rPr>
          <w:t>1</w:t>
        </w:r>
        <w:r>
          <w:rPr>
            <w:rFonts w:eastAsia="方正仿宋_GBK" w:hint="eastAsia"/>
            <w:sz w:val="28"/>
            <w:szCs w:val="28"/>
          </w:rPr>
          <w:t>月</w:t>
        </w:r>
        <w:r>
          <w:rPr>
            <w:rFonts w:eastAsia="方正仿宋_GBK"/>
            <w:sz w:val="28"/>
            <w:szCs w:val="28"/>
          </w:rPr>
          <w:t>15</w:t>
        </w:r>
        <w:r>
          <w:rPr>
            <w:rFonts w:eastAsia="方正仿宋_GBK" w:hint="eastAsia"/>
            <w:sz w:val="28"/>
            <w:szCs w:val="28"/>
          </w:rPr>
          <w:t>日</w:t>
        </w:r>
      </w:smartTag>
      <w:r>
        <w:rPr>
          <w:rFonts w:eastAsia="方正仿宋_GBK" w:hint="eastAsia"/>
          <w:sz w:val="28"/>
          <w:szCs w:val="28"/>
        </w:rPr>
        <w:t>印发</w:t>
      </w:r>
    </w:p>
    <w:sectPr w:rsidR="009B7297" w:rsidSect="0054387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297" w:rsidRDefault="009B7297" w:rsidP="00543870">
      <w:r>
        <w:separator/>
      </w:r>
    </w:p>
  </w:endnote>
  <w:endnote w:type="continuationSeparator" w:id="0">
    <w:p w:rsidR="009B7297" w:rsidRDefault="009B7297" w:rsidP="005438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
    <w:panose1 w:val="0201060003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297" w:rsidRDefault="009B7297">
    <w:pPr>
      <w:pStyle w:val="Foot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end"/>
    </w:r>
  </w:p>
  <w:p w:rsidR="009B7297" w:rsidRDefault="009B72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297" w:rsidRDefault="009B7297">
    <w:pPr>
      <w:pStyle w:val="Foot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4</w:t>
    </w:r>
    <w:r>
      <w:rPr>
        <w:rStyle w:val="PageNumber"/>
        <w:sz w:val="21"/>
      </w:rPr>
      <w:fldChar w:fldCharType="end"/>
    </w:r>
  </w:p>
  <w:p w:rsidR="009B7297" w:rsidRDefault="009B72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297" w:rsidRDefault="009B72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297" w:rsidRDefault="009B7297" w:rsidP="00543870">
      <w:r>
        <w:separator/>
      </w:r>
    </w:p>
  </w:footnote>
  <w:footnote w:type="continuationSeparator" w:id="0">
    <w:p w:rsidR="009B7297" w:rsidRDefault="009B7297" w:rsidP="005438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297" w:rsidRDefault="009B72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297" w:rsidRDefault="009B7297" w:rsidP="00904406">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297" w:rsidRDefault="009B72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DDE930"/>
    <w:multiLevelType w:val="singleLevel"/>
    <w:tmpl w:val="59DDE930"/>
    <w:lvl w:ilvl="0">
      <w:start w:val="3"/>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54324CA"/>
    <w:rsid w:val="00002200"/>
    <w:rsid w:val="00135CA3"/>
    <w:rsid w:val="00321E09"/>
    <w:rsid w:val="00410F57"/>
    <w:rsid w:val="00522902"/>
    <w:rsid w:val="00543870"/>
    <w:rsid w:val="005760E5"/>
    <w:rsid w:val="005D2B03"/>
    <w:rsid w:val="00685610"/>
    <w:rsid w:val="00904406"/>
    <w:rsid w:val="009B7297"/>
    <w:rsid w:val="00A249F3"/>
    <w:rsid w:val="00A5605E"/>
    <w:rsid w:val="00AE3237"/>
    <w:rsid w:val="00BA1D04"/>
    <w:rsid w:val="00D544D1"/>
    <w:rsid w:val="00D659D8"/>
    <w:rsid w:val="00E3677B"/>
    <w:rsid w:val="00E620F0"/>
    <w:rsid w:val="00F41AD0"/>
    <w:rsid w:val="01807422"/>
    <w:rsid w:val="05A33466"/>
    <w:rsid w:val="0623579D"/>
    <w:rsid w:val="0792183A"/>
    <w:rsid w:val="07BA64B2"/>
    <w:rsid w:val="0C9E10F5"/>
    <w:rsid w:val="0F212AFA"/>
    <w:rsid w:val="13976BBF"/>
    <w:rsid w:val="1ABC497B"/>
    <w:rsid w:val="222A1595"/>
    <w:rsid w:val="24066D77"/>
    <w:rsid w:val="2607286A"/>
    <w:rsid w:val="26C82928"/>
    <w:rsid w:val="28546A26"/>
    <w:rsid w:val="29A95A02"/>
    <w:rsid w:val="2A19064E"/>
    <w:rsid w:val="2BE72BFB"/>
    <w:rsid w:val="2F545078"/>
    <w:rsid w:val="30C66626"/>
    <w:rsid w:val="33363FD7"/>
    <w:rsid w:val="35FF2F53"/>
    <w:rsid w:val="39212F0D"/>
    <w:rsid w:val="3DBB54A0"/>
    <w:rsid w:val="41D86F51"/>
    <w:rsid w:val="454324CA"/>
    <w:rsid w:val="45440E54"/>
    <w:rsid w:val="486552BA"/>
    <w:rsid w:val="4A760509"/>
    <w:rsid w:val="4AAF227A"/>
    <w:rsid w:val="4C666170"/>
    <w:rsid w:val="4C7B786F"/>
    <w:rsid w:val="4E1A3BA0"/>
    <w:rsid w:val="51E53FAB"/>
    <w:rsid w:val="53C42D61"/>
    <w:rsid w:val="599F1913"/>
    <w:rsid w:val="64C24B14"/>
    <w:rsid w:val="66386550"/>
    <w:rsid w:val="72F27725"/>
    <w:rsid w:val="73B303ED"/>
    <w:rsid w:val="75612B9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next w:val="PlainText"/>
    <w:qFormat/>
    <w:rsid w:val="00543870"/>
    <w:pPr>
      <w:widowControl w:val="0"/>
      <w:jc w:val="both"/>
    </w:pPr>
    <w:rPr>
      <w:szCs w:val="24"/>
    </w:rPr>
  </w:style>
  <w:style w:type="paragraph" w:styleId="Heading2">
    <w:name w:val="heading 2"/>
    <w:basedOn w:val="Normal"/>
    <w:next w:val="Normal"/>
    <w:link w:val="Heading2Char"/>
    <w:uiPriority w:val="99"/>
    <w:qFormat/>
    <w:locked/>
    <w:rsid w:val="00543870"/>
    <w:pPr>
      <w:keepNext/>
      <w:keepLines/>
      <w:spacing w:before="260" w:after="260" w:line="416" w:lineRule="auto"/>
      <w:outlineLvl w:val="1"/>
    </w:pPr>
    <w:rPr>
      <w:rFonts w:ascii="Arial" w:eastAsia="黑体" w:hAnsi="Arial" w:cs="宋体"/>
      <w:b/>
      <w:bCs/>
      <w:sz w:val="32"/>
      <w:szCs w:val="32"/>
      <w:lang w:bidi="he-I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43870"/>
    <w:rPr>
      <w:rFonts w:ascii="Arial" w:eastAsia="黑体" w:hAnsi="Arial" w:cs="宋体"/>
      <w:b/>
      <w:bCs/>
      <w:kern w:val="2"/>
      <w:sz w:val="32"/>
      <w:szCs w:val="32"/>
      <w:lang w:val="en-US" w:eastAsia="zh-CN" w:bidi="he-IL"/>
    </w:rPr>
  </w:style>
  <w:style w:type="paragraph" w:styleId="PlainText">
    <w:name w:val="Plain Text"/>
    <w:basedOn w:val="Normal"/>
    <w:link w:val="PlainTextChar"/>
    <w:uiPriority w:val="99"/>
    <w:rsid w:val="00543870"/>
    <w:rPr>
      <w:rFonts w:ascii="宋体" w:hAnsi="Courier New" w:cs="Courier New"/>
      <w:szCs w:val="21"/>
    </w:rPr>
  </w:style>
  <w:style w:type="character" w:customStyle="1" w:styleId="PlainTextChar">
    <w:name w:val="Plain Text Char"/>
    <w:basedOn w:val="DefaultParagraphFont"/>
    <w:link w:val="PlainText"/>
    <w:uiPriority w:val="99"/>
    <w:semiHidden/>
    <w:rsid w:val="00CC7FBF"/>
    <w:rPr>
      <w:rFonts w:ascii="宋体" w:hAnsi="Courier New" w:cs="Courier New"/>
      <w:szCs w:val="21"/>
    </w:rPr>
  </w:style>
  <w:style w:type="paragraph" w:styleId="BodyTextIndent">
    <w:name w:val="Body Text Indent"/>
    <w:basedOn w:val="Normal"/>
    <w:link w:val="BodyTextIndentChar"/>
    <w:uiPriority w:val="99"/>
    <w:rsid w:val="00543870"/>
    <w:pPr>
      <w:spacing w:line="460" w:lineRule="exact"/>
      <w:ind w:firstLine="600"/>
    </w:pPr>
    <w:rPr>
      <w:rFonts w:eastAsia="仿宋_GB2312"/>
      <w:sz w:val="28"/>
    </w:rPr>
  </w:style>
  <w:style w:type="character" w:customStyle="1" w:styleId="BodyTextIndentChar">
    <w:name w:val="Body Text Indent Char"/>
    <w:basedOn w:val="DefaultParagraphFont"/>
    <w:link w:val="BodyTextIndent"/>
    <w:uiPriority w:val="99"/>
    <w:semiHidden/>
    <w:rsid w:val="00CC7FBF"/>
    <w:rPr>
      <w:szCs w:val="24"/>
    </w:rPr>
  </w:style>
  <w:style w:type="paragraph" w:styleId="Footer">
    <w:name w:val="footer"/>
    <w:basedOn w:val="Normal"/>
    <w:link w:val="FooterChar"/>
    <w:uiPriority w:val="99"/>
    <w:locked/>
    <w:rsid w:val="0054387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43870"/>
    <w:rPr>
      <w:rFonts w:ascii="Calibri" w:eastAsia="宋体" w:hAnsi="Calibri" w:cs="Times New Roman"/>
      <w:kern w:val="2"/>
      <w:sz w:val="18"/>
      <w:szCs w:val="18"/>
      <w:lang w:val="en-US" w:eastAsia="zh-CN" w:bidi="ar-SA"/>
    </w:rPr>
  </w:style>
  <w:style w:type="paragraph" w:styleId="Header">
    <w:name w:val="header"/>
    <w:basedOn w:val="Normal"/>
    <w:link w:val="HeaderChar"/>
    <w:uiPriority w:val="99"/>
    <w:locked/>
    <w:rsid w:val="0054387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43870"/>
    <w:rPr>
      <w:rFonts w:ascii="Calibri" w:eastAsia="宋体" w:hAnsi="Calibri" w:cs="Times New Roman"/>
      <w:kern w:val="2"/>
      <w:sz w:val="18"/>
      <w:szCs w:val="18"/>
      <w:lang w:val="en-US" w:eastAsia="zh-CN" w:bidi="ar-SA"/>
    </w:rPr>
  </w:style>
  <w:style w:type="character" w:styleId="PageNumber">
    <w:name w:val="page number"/>
    <w:basedOn w:val="DefaultParagraphFont"/>
    <w:uiPriority w:val="99"/>
    <w:locked/>
    <w:rsid w:val="00543870"/>
    <w:rPr>
      <w:rFonts w:ascii="Calibri" w:eastAsia="宋体" w:hAnsi="Calibri" w:cs="Times New Roman"/>
      <w:kern w:val="2"/>
      <w:sz w:val="22"/>
      <w:szCs w:val="22"/>
      <w:lang w:val="en-US" w:eastAsia="zh-CN" w:bidi="ar-SA"/>
    </w:rPr>
  </w:style>
  <w:style w:type="character" w:styleId="Hyperlink">
    <w:name w:val="Hyperlink"/>
    <w:basedOn w:val="DefaultParagraphFont"/>
    <w:uiPriority w:val="99"/>
    <w:locked/>
    <w:rsid w:val="00543870"/>
    <w:rPr>
      <w:rFonts w:ascii="Calibri" w:eastAsia="宋体" w:hAnsi="Calibri" w:cs="Times New Roman"/>
      <w:color w:val="0000FF"/>
      <w:kern w:val="2"/>
      <w:sz w:val="22"/>
      <w:szCs w:val="22"/>
      <w:u w:val="single"/>
      <w:lang w:val="en-US" w:eastAsia="zh-CN" w:bidi="ar-SA"/>
    </w:rPr>
  </w:style>
  <w:style w:type="character" w:customStyle="1" w:styleId="GB2312">
    <w:name w:val="样式 仿宋_GB2312 三号"/>
    <w:basedOn w:val="DefaultParagraphFont"/>
    <w:uiPriority w:val="99"/>
    <w:rsid w:val="00543870"/>
    <w:rPr>
      <w:rFonts w:ascii="仿宋_GB2312" w:eastAsia="仿宋_GB2312" w:hAnsi="Calibri" w:cs="Times New Roman"/>
      <w:kern w:val="2"/>
      <w:sz w:val="32"/>
      <w:szCs w:val="32"/>
      <w:lang w:val="en-US" w:eastAsia="zh-CN" w:bidi="ar-SA"/>
    </w:rPr>
  </w:style>
  <w:style w:type="paragraph" w:customStyle="1" w:styleId="Char1">
    <w:name w:val="Char1"/>
    <w:basedOn w:val="Normal"/>
    <w:uiPriority w:val="99"/>
    <w:rsid w:val="00543870"/>
    <w:pPr>
      <w:autoSpaceDE w:val="0"/>
      <w:autoSpaceDN w:val="0"/>
      <w:adjustRightInd w:val="0"/>
      <w:snapToGrid w:val="0"/>
      <w:spacing w:before="50" w:after="50" w:line="360" w:lineRule="auto"/>
      <w:ind w:firstLineChars="177" w:firstLine="560"/>
    </w:pPr>
    <w:rPr>
      <w:rFonts w:ascii="宋体" w:eastAsia="仿宋_GB2312" w:hAnsi="宋体" w:cs="宋体"/>
      <w:color w:val="000000"/>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297</TotalTime>
  <Pages>4</Pages>
  <Words>305</Words>
  <Characters>1744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2020-01-16T07:45:00Z</cp:lastPrinted>
  <dcterms:created xsi:type="dcterms:W3CDTF">2018-06-08T03:04:00Z</dcterms:created>
  <dcterms:modified xsi:type="dcterms:W3CDTF">2020-01-16T07:46:00Z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docranid">
    <vt:lpwstr>8A8F286660E44908B7404D219F1E6CA7</vt:lpwstr>
  </property>
</Properties>
</file>