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eastAsia="zh-CN"/>
        </w:rPr>
        <w:t>原件有误，请以此件为准。</w:t>
      </w:r>
    </w:p>
    <w:p>
      <w:pPr>
        <w:rPr>
          <w:color w:val="FF0000"/>
          <w:sz w:val="32"/>
          <w:szCs w:val="32"/>
        </w:rPr>
      </w:pPr>
    </w:p>
    <w:p>
      <w:pPr>
        <w:rPr>
          <w:color w:val="FF0000"/>
          <w:sz w:val="32"/>
          <w:szCs w:val="32"/>
        </w:rPr>
      </w:pPr>
    </w:p>
    <w:p>
      <w:pPr>
        <w:spacing w:line="600" w:lineRule="exact"/>
        <w:ind w:firstLine="105" w:firstLineChars="50"/>
      </w:pPr>
      <w:r>
        <w:pict>
          <v:shape id="_x0000_s1028" o:spid="_x0000_s1028" o:spt="136" type="#_x0000_t136" style="position:absolute;left:0pt;margin-left:7.4pt;margin-top:7.8pt;height:42.5pt;width:416.95pt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德宏州生态环境局盈江分局文件" style="font-family:方正小标宋简体;font-size:36pt;v-text-align:center;"/>
            <w10:wrap type="square"/>
          </v:shape>
        </w:pict>
      </w:r>
    </w:p>
    <w:p>
      <w:pPr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德环盈复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号</w:t>
      </w:r>
    </w:p>
    <w:p>
      <w:pPr>
        <w:tabs>
          <w:tab w:val="left" w:pos="5435"/>
        </w:tabs>
        <w:spacing w:line="4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pict>
          <v:line id="直线 16" o:spid="_x0000_s1027" o:spt="20" style="position:absolute;left:0pt;flip:y;margin-left:0.75pt;margin-top:4.5pt;height:1.4pt;width:428.75pt;z-index:251657216;mso-width-relative:page;mso-height-relative:page;" filled="t" stroked="t" coordsize="21600,21600">
            <v:path arrowok="t"/>
            <v:fill on="t" focussize="0,0"/>
            <v:stroke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  <w:highlight w:val="none"/>
          <w:lang w:eastAsia="zh-CN"/>
        </w:rPr>
        <w:t>德宏州生态环境局盈江分局</w:t>
      </w: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  <w:highlight w:val="none"/>
          <w:lang w:eastAsia="zh-CN"/>
        </w:rPr>
        <w:t>德宏大盈江万塔小镇项目</w:t>
      </w:r>
      <w:r>
        <w:rPr>
          <w:rFonts w:hint="default" w:ascii="Times New Roman" w:hAnsi="Times New Roman" w:eastAsia="方正小标宋简体" w:cs="Times New Roman"/>
          <w:color w:val="auto"/>
          <w:spacing w:val="-4"/>
          <w:sz w:val="44"/>
          <w:szCs w:val="44"/>
          <w:highlight w:val="none"/>
        </w:rPr>
        <w:t>环境影响报告表的批复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云南盈江浦弘置业有限公司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你公司报批的《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德宏大盈江万塔小镇项目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环境影响报告表》已收悉，经研究，现批复如下：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项目位于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  <w:t>盈江县弄璋镇飞勐村，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四至范围为东接省道S233，西至大盈江，南靠弄璋镇，北临平原镇，总规划面积844.44公顷。主要建设内容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：项目区基础设施和四个产业园区建设，分别为万塔休闲农业园农副产品及物流产业园、大健康产业园、文化旅游产业园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及配套住宅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等一批重点产业项目，总占地面积1464612.94平方米，总建筑面积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1418898.9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平方米。项目总投资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624828.34万元，其中环保投资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4105.0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万元，占总投资0.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分三期进行建设：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bookmarkStart w:id="0" w:name="_Hlk34405988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第一期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建设商业街、国医馆和小镇文化活动中心（建筑面积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31630.58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平方米）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，温泉酒店（建筑面积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44776.00平方米）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，产业配套住宅（建筑面积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309146.32平方米）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）万塔小镇休闲农业园（占地面积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435100.00平方米）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，万塔小镇新建道路工程（道路总长度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14公里）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，科普观光小火车（道路总长度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10公里）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，万塔小镇景观绿化工程，万塔小镇水系整治工程（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5公里）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，小镇滨江公园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9个项目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。总投资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191972.35万元，占地面积818116.94平方米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，建筑面积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385552.9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方米。</w:t>
      </w:r>
      <w:bookmarkEnd w:id="0"/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建设生产规模为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60立方米/小时临时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混凝土搅拌站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一座。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第二期：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建设产业配套住宅（二期,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196477.00平方米）、田园民宿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72743.5平方米）、民俗博物馆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49857.0平方米）、万塔小镇新建道路工程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（道路总长度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3公里）等4个项目。总投资152099.23万元，占地面积300407平方米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319077.5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第三期：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建设产业配套住宅（三期，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65895平方米），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万塔小镇新建道路工程（道路总长度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2公里），体育公园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（占地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100亩），大健康产业园（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97880平方米），山顶景观酒店（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48126平方米），手工业、农副产品产业园（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115850平方米），咖啡、坚果产业园（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72947.5平方米），物流产业园（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78840平方米），康养公寓（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234730平方米）等9个项目。总投资280756.76万元，占地面积346099平方米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，建筑面积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714268.5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平方米。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项目符合国家产业政策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，符合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val="en-US" w:eastAsia="zh-CN"/>
        </w:rPr>
        <w:t>《云南省人民政府关于加快特色小镇发展的意见》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不涉及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生态保护红线、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自然保护区、风景名胜区、文化遗产保护区和重点文物保护区等敏感区域，在全面落实环境影响报告表提出的各项污染防治和生态保护措施后，项目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施工过程中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污染物可达标排放，项目不良环境影响可以得到减缓和控制，我局同意该项目按照《环境影响报告表》中的性质、地点、采用的环境保护对策、措施进行建设。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二、项目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建设和运营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过程中应重点做好的工作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德宏大盈江万塔小镇项目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环境影响报告表》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作为该项目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  <w:lang w:eastAsia="zh-CN"/>
        </w:rPr>
        <w:t>建设和运营期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32"/>
          <w:szCs w:val="32"/>
          <w:highlight w:val="none"/>
        </w:rPr>
        <w:t>环境管理的依据，必须认真落实《报告表》提出的各项环保对策措施，严格按提出的环保投资概算执行。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加强施工期管理，施工场地必须严格落实《盈江县工程建设工地扬尘管理办法》相关扬尘防治措施，确保建筑工地大气污染防治措施达到“六个百分百”（工地砂土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覆盖，工地地面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100%硬化、施工现场、出工地车辆100%冲净车轮车身、暂不开发工地100%绿化、拆除工程100%洒水降尘）；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场地设置临时沉淀池，施工机械、运输车辆冲洗废水及施工废水经沉淀后回用或用于洒水降尘，严禁外排；施工期尽量选用低噪声设备，对产噪较大的机械进行隔声及减振处理，合理安排施工时间，午间12时至14时、夜间22时至次日6时禁止施工，如确需在夜间施工的，必须经主管部门同意后方可施工，并向周围群众贴出公告，施工场界噪声执行《建筑施工场界环境噪声排放标准》（GB12523-2011）；施工过程中产生的建筑垃圾必须分类收集，能回收利用的回收利用，不能回收利用的，清运至住建部门指定地方集中堆存，严禁随意丢弃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合理安排施工时间，进一步优化施工方案，减少在水系整治工程过程中对环境的影响；临时堆渣场必须采取相应的工程措施，减少水土流失。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施工期生活垃圾集中收集，定期清运至盈江县垃圾处理厂处置；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eastAsia="zh-CN"/>
        </w:rPr>
        <w:t>施工现场严禁设置沥青熬制点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。施工期应严格控制临时占地，优化运输路线和灌排系统，修复农田灌溉设施。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项目必须设置雨污分流系统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，建设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隔油池、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化粪池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等预处理设施。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项目在盈江县第二污水处理厂建成前投运，建设单位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必须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自建污水处理站对废水进行处理，外排废水达到《城镇污水处理厂污染物排放标准》（GB18918－2002）一级A标准后外排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，自建污水处理设施规模：一期工程不得小于1380.0立方米/天，二期工程不得小于1150.0立方米/天，三期工程不得小于3578.0立方米/天。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项目在盈江县第二污水处理厂建成后投运，则项目产生的废水经过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隔油池、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化粪池等预处理，外排废水达到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《污水综合排放标准》（GB8978-1996）三级标准及《污水排入城镇下水道水质标准》（GB/T31962-2015）中B等级标准后排入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市政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污水管网，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最终进入盈江县第二污水处理厂集中处理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达标排放；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温泉酒店产生的污水必须单独处理达标排放</w:t>
      </w:r>
      <w:r>
        <w:rPr>
          <w:rFonts w:hint="eastAsia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若大健康产业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后期引入医疗服务机构，则医疗废水需要自行处理，外排的医疗废水须达到《医疗机构水污染物排放标准》（GB18466-2005）标准后方可排入市政污水管网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或自建污水处理设施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污水处理系统必须采取防渗措施，防止地下水污染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，同时建设规范化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污水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排污口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。运营期间不得对小长江农业灌溉功能造成影响。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在污水处理设施建成投运前，项目不得投入运营。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运营期必须加强大气污染防治，使用清洁能源，合理规划餐饮区域，在住宅楼、餐饮业厨房设置内置烟道，运营产生的油烟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必须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经油烟净化设施处理后，达到《饮食业油烟排放标准》（GB18483-2001）后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方可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排放。根据盈江县城区域环境空气质量区划，项目距离大盈江300米内区域环境空气执行《环境空气质量标准》（GB3095-2012）一级标准，其余部分执行二级标准。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加强噪声污染防治，水泵、风机、备用发电机等噪音较大的设备置于独立设备房内，采取减震、隔声措施，减少噪声影响；合理进行产业布局，产噪产业远离居住文教区；加强车辆出入管理，合理调度车辆，项目区设置限速、禁鸣标志。项目运营期执行《社会生活环境噪声排放标准》（GB22337-2008）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运营期加强固废污染防治，项目区内必须设置垃圾收集点，集中收集生活垃圾，委托环卫部门定期清运处理；项目配套建设的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雨水管网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和污水管网产生的淤泥、化粪池污泥、污水处理设施产生的污泥（经预处理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），必须委托环卫部门定期清掏和清运处置；餐厨垃圾必须按照主管部门要求进行妥善收集处置。大健康产业园中医疗机构产生的医疗废物，必须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设置医疗废物暂存间进行分类收集暂存，定期交由具有医疗废物处置资质单位进行处置，建立医疗废物处置台账，执行转移联单制度。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电动火车、电动游船</w:t>
      </w:r>
      <w:r>
        <w:rPr>
          <w:rFonts w:hint="eastAsia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产生的废旧电瓶必须交由有资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质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单位进行处置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或交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回</w:t>
      </w:r>
      <w:r>
        <w:rPr>
          <w:rFonts w:hint="eastAsia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有资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质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生产厂家处置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，建立处置台账，执行转移联单制度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，不得随意丢弃。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合理布设旅游线路，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休闲农业园项目区必须加强生态环境保护知识宣传，引导农户合理施用化肥，少用和不用农药，减少对项目区水环境和土壤环境的影响。严禁在项目区内焚烧农作物秸秆。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（八）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项目施工结束后，及时拆除临时建筑，清理施工场地，进行植被恢复；运营期加强生态环境保护宣传，观光游览区设置宣传标志，加强野生动植物保护；加强对大盈江保护，项目建设过程中应避开大盈江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滨岸带生态保护红线和水安全格局构建区，预留80米的保护区域。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（九）临时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混凝土搅拌站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各粉料筒仓顶部及搅拌主机必须配置1套脉冲式除尘器（共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套），除尘效率不低于99%，废气排放执行《水泥工业大气污物排放标准》（GB4915-2013）表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中颗粒物有组织排放浓度限值≤20 mg/m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；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加强管理，严格控制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原料的堆存量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、堆存高度，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砂石料堆场、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原料装卸、物料输送、计量及投料产尘点设置摇头喷雾降尘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设施，原料运输车辆应实施封闭式运输，应对物料进行遮盖、遮挡，尽量减少沿途的逸洒，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在搅拌站出入口处设置1套运输车辆轮胎清洗设施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在进厂时控制车速，以此来减少运输过程中粉尘的产生量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厂界浓度《水泥工业大气污染物排放标准》（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GB4915-2013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）中无组织排放监控浓度限值≤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mg/m3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。项目区</w:t>
      </w:r>
      <w:r>
        <w:rPr>
          <w:rFonts w:eastAsia="方正仿宋_GBK"/>
          <w:color w:val="auto"/>
          <w:sz w:val="32"/>
          <w:szCs w:val="32"/>
          <w:highlight w:val="none"/>
        </w:rPr>
        <w:t>必须实施雨污分流，配套建设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初期</w:t>
      </w:r>
      <w:r>
        <w:rPr>
          <w:rFonts w:eastAsia="方正仿宋_GBK"/>
          <w:color w:val="auto"/>
          <w:sz w:val="32"/>
          <w:szCs w:val="32"/>
          <w:highlight w:val="none"/>
        </w:rPr>
        <w:t>雨水沉淀池、三级沉淀池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（</w:t>
      </w:r>
      <w:r>
        <w:rPr>
          <w:rFonts w:eastAsia="方正仿宋_GBK"/>
          <w:color w:val="auto"/>
          <w:sz w:val="32"/>
          <w:szCs w:val="32"/>
          <w:highlight w:val="none"/>
        </w:rPr>
        <w:t>必须进行防雨、防渗处理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）</w:t>
      </w:r>
      <w:r>
        <w:rPr>
          <w:rFonts w:eastAsia="方正仿宋_GBK"/>
          <w:color w:val="auto"/>
          <w:sz w:val="32"/>
          <w:szCs w:val="32"/>
          <w:highlight w:val="none"/>
        </w:rPr>
        <w:t>。项目区雨水经雨水沟收集后排入雨水沉淀池，经沉淀后外排；生产废水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、</w:t>
      </w:r>
      <w:r>
        <w:rPr>
          <w:rFonts w:eastAsia="方正仿宋_GBK"/>
          <w:color w:val="auto"/>
          <w:sz w:val="32"/>
          <w:szCs w:val="32"/>
          <w:highlight w:val="none"/>
        </w:rPr>
        <w:t>搅拌车清洗废水经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沉淀池</w:t>
      </w:r>
      <w:r>
        <w:rPr>
          <w:rFonts w:eastAsia="方正仿宋_GBK"/>
          <w:color w:val="auto"/>
          <w:sz w:val="32"/>
          <w:szCs w:val="32"/>
          <w:highlight w:val="none"/>
        </w:rPr>
        <w:t>沉淀处理后回用生产，严禁外排。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沉淀池泥沙暂存于生产固废储存池，并对储存池进行防雨防渗防溢流处理，与除尘器粉尘等一并作为原料回收利用；实验室废混凝土块用于运输道路或场地回填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临时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混凝土搅拌站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为项目配套临时设施的，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严禁对外进行销售，施工期结束后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必须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拆除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，并及时恢复原貌。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(十）建设单位必须到主管部门完善用地等相关手续后方可开工建设。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加强管理，健全机构，严格执行环保“三同时”制度，积极配合环境保护行政主管部门的环境监察工作。项目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后，及时报告我局，并按规定自主开展竣工环境保护验收，经验收合格后方可正式投入使用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运营期必须严格按照监测计划表开展运营期环境监测，确保污染物达标排放。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五、请盈江县环境监察大队加强对该项目施工期和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营期的现场监察。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德宏州生态环境局盈江分局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ind w:right="64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"/>
        <w:rPr>
          <w:highlight w:val="yellow"/>
        </w:rPr>
      </w:pPr>
    </w:p>
    <w:p>
      <w:pPr>
        <w:pBdr>
          <w:top w:val="single" w:color="auto" w:sz="4" w:space="0"/>
          <w:bottom w:val="single" w:color="auto" w:sz="4" w:space="3"/>
        </w:pBdr>
        <w:spacing w:line="6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eastAsia="方正仿宋_GBK"/>
          <w:sz w:val="28"/>
          <w:szCs w:val="28"/>
        </w:rPr>
        <w:t xml:space="preserve">  </w:t>
      </w:r>
      <w:r>
        <w:rPr>
          <w:rFonts w:hint="eastAsia" w:eastAsia="方正仿宋_GBK"/>
          <w:sz w:val="28"/>
          <w:szCs w:val="28"/>
        </w:rPr>
        <w:t>德宏州生态环境局盈江分局办公室</w:t>
      </w:r>
      <w:r>
        <w:rPr>
          <w:rFonts w:eastAsia="方正仿宋_GBK"/>
          <w:sz w:val="28"/>
          <w:szCs w:val="28"/>
        </w:rPr>
        <w:t xml:space="preserve">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sz w:val="28"/>
          <w:szCs w:val="28"/>
        </w:rPr>
        <w:t xml:space="preserve"> 2020</w:t>
      </w:r>
      <w:r>
        <w:rPr>
          <w:rFonts w:hint="eastAsia"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hint="eastAsia"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22</w:t>
      </w:r>
      <w:r>
        <w:rPr>
          <w:rFonts w:hint="eastAsia" w:eastAsia="方正仿宋_GBK"/>
          <w:sz w:val="28"/>
          <w:szCs w:val="28"/>
        </w:rPr>
        <w:t>日印发</w:t>
      </w:r>
      <w:r>
        <w:rPr>
          <w:rFonts w:eastAsia="方正仿宋_GBK"/>
          <w:sz w:val="28"/>
          <w:szCs w:val="28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  <w:sz w:val="21"/>
      </w:rPr>
    </w:pPr>
    <w:r>
      <w:rPr>
        <w:rStyle w:val="12"/>
        <w:sz w:val="21"/>
      </w:rPr>
      <w:fldChar w:fldCharType="begin"/>
    </w:r>
    <w:r>
      <w:rPr>
        <w:rStyle w:val="12"/>
        <w:sz w:val="21"/>
      </w:rPr>
      <w:instrText xml:space="preserve">PAGE  </w:instrText>
    </w:r>
    <w:r>
      <w:rPr>
        <w:rStyle w:val="12"/>
        <w:sz w:val="21"/>
      </w:rPr>
      <w:fldChar w:fldCharType="separate"/>
    </w:r>
    <w:r>
      <w:rPr>
        <w:rStyle w:val="12"/>
        <w:sz w:val="21"/>
      </w:rPr>
      <w:t>3</w:t>
    </w:r>
    <w:r>
      <w:rPr>
        <w:rStyle w:val="12"/>
        <w:sz w:val="2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  <w:sz w:val="21"/>
      </w:rPr>
    </w:pPr>
    <w:r>
      <w:rPr>
        <w:rStyle w:val="12"/>
        <w:sz w:val="21"/>
      </w:rPr>
      <w:fldChar w:fldCharType="begin"/>
    </w:r>
    <w:r>
      <w:rPr>
        <w:rStyle w:val="12"/>
        <w:sz w:val="21"/>
      </w:rPr>
      <w:instrText xml:space="preserve">PAGE  </w:instrText>
    </w:r>
    <w:r>
      <w:rPr>
        <w:rStyle w:val="12"/>
        <w:sz w:val="21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3F694D"/>
    <w:multiLevelType w:val="singleLevel"/>
    <w:tmpl w:val="BB3F694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9DDE930"/>
    <w:multiLevelType w:val="singleLevel"/>
    <w:tmpl w:val="59DDE93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24CA"/>
    <w:rsid w:val="00002200"/>
    <w:rsid w:val="00135CA3"/>
    <w:rsid w:val="005D2B03"/>
    <w:rsid w:val="00A249F3"/>
    <w:rsid w:val="00A5605E"/>
    <w:rsid w:val="00AE3237"/>
    <w:rsid w:val="00BA1D04"/>
    <w:rsid w:val="00D544D1"/>
    <w:rsid w:val="00D659D8"/>
    <w:rsid w:val="00E3677B"/>
    <w:rsid w:val="00E620F0"/>
    <w:rsid w:val="01807422"/>
    <w:rsid w:val="08EA7D8A"/>
    <w:rsid w:val="0A63177A"/>
    <w:rsid w:val="0B5B5696"/>
    <w:rsid w:val="0C9E10F5"/>
    <w:rsid w:val="0DB45519"/>
    <w:rsid w:val="13333FEF"/>
    <w:rsid w:val="13CF52CC"/>
    <w:rsid w:val="173708A2"/>
    <w:rsid w:val="1781733E"/>
    <w:rsid w:val="18523847"/>
    <w:rsid w:val="1914157F"/>
    <w:rsid w:val="1C702056"/>
    <w:rsid w:val="2607286A"/>
    <w:rsid w:val="26B64FE5"/>
    <w:rsid w:val="26C82928"/>
    <w:rsid w:val="28546A26"/>
    <w:rsid w:val="2898576E"/>
    <w:rsid w:val="2A19064E"/>
    <w:rsid w:val="2C367612"/>
    <w:rsid w:val="2C6917D9"/>
    <w:rsid w:val="2E1130B3"/>
    <w:rsid w:val="2F545078"/>
    <w:rsid w:val="30B43C96"/>
    <w:rsid w:val="32417EFA"/>
    <w:rsid w:val="339A181E"/>
    <w:rsid w:val="37DA1AE0"/>
    <w:rsid w:val="381D40DF"/>
    <w:rsid w:val="38440858"/>
    <w:rsid w:val="3D39130B"/>
    <w:rsid w:val="418F0AAB"/>
    <w:rsid w:val="454324CA"/>
    <w:rsid w:val="4D656704"/>
    <w:rsid w:val="4E1A3BA0"/>
    <w:rsid w:val="51E53FAB"/>
    <w:rsid w:val="535D0348"/>
    <w:rsid w:val="53A50DE4"/>
    <w:rsid w:val="53C42D61"/>
    <w:rsid w:val="54BF2B41"/>
    <w:rsid w:val="56955317"/>
    <w:rsid w:val="583427A9"/>
    <w:rsid w:val="59C50330"/>
    <w:rsid w:val="603F5CB8"/>
    <w:rsid w:val="6779624B"/>
    <w:rsid w:val="6C6C1AC7"/>
    <w:rsid w:val="6CB51C9D"/>
    <w:rsid w:val="6D3B16AB"/>
    <w:rsid w:val="6DE76AD5"/>
    <w:rsid w:val="6F2336E3"/>
    <w:rsid w:val="6FA97721"/>
    <w:rsid w:val="72F27725"/>
    <w:rsid w:val="73007476"/>
    <w:rsid w:val="75612B9A"/>
    <w:rsid w:val="7D506BE5"/>
    <w:rsid w:val="7DE22A0E"/>
    <w:rsid w:val="7FDC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 w:locked="1"/>
    <w:lsdException w:qFormat="1"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 w:locked="1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 w:locked="1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character" w:default="1" w:styleId="10">
    <w:name w:val="Default Paragraph Font"/>
    <w:link w:val="1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unhideWhenUsed/>
    <w:qFormat/>
    <w:uiPriority w:val="99"/>
    <w:pPr>
      <w:spacing w:line="460" w:lineRule="exact"/>
      <w:ind w:firstLine="600"/>
    </w:pPr>
    <w:rPr>
      <w:rFonts w:eastAsia="仿宋_GB2312"/>
      <w:sz w:val="28"/>
    </w:rPr>
  </w:style>
  <w:style w:type="paragraph" w:styleId="6">
    <w:name w:val="footer"/>
    <w:basedOn w:val="1"/>
    <w:link w:val="15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1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1">
    <w:name w:val="Char"/>
    <w:basedOn w:val="1"/>
    <w:link w:val="10"/>
    <w:qFormat/>
    <w:uiPriority w:val="0"/>
    <w:pPr>
      <w:spacing w:line="360" w:lineRule="auto"/>
      <w:ind w:firstLine="200" w:firstLineChars="200"/>
    </w:pPr>
  </w:style>
  <w:style w:type="character" w:styleId="12">
    <w:name w:val="page number"/>
    <w:basedOn w:val="10"/>
    <w:qFormat/>
    <w:locked/>
    <w:uiPriority w:val="0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styleId="13">
    <w:name w:val="Hyperlink"/>
    <w:basedOn w:val="10"/>
    <w:qFormat/>
    <w:locked/>
    <w:uiPriority w:val="0"/>
    <w:rPr>
      <w:rFonts w:ascii="Calibri" w:hAnsi="Calibri" w:eastAsia="宋体" w:cs="Times New Roman"/>
      <w:color w:val="0000FF"/>
      <w:kern w:val="2"/>
      <w:sz w:val="22"/>
      <w:szCs w:val="22"/>
      <w:u w:val="single"/>
      <w:lang w:val="en-US" w:eastAsia="zh-CN" w:bidi="ar-SA"/>
    </w:rPr>
  </w:style>
  <w:style w:type="character" w:customStyle="1" w:styleId="14">
    <w:name w:val="标题 2 Char"/>
    <w:basedOn w:val="10"/>
    <w:link w:val="3"/>
    <w:qFormat/>
    <w:locked/>
    <w:uiPriority w:val="99"/>
    <w:rPr>
      <w:rFonts w:ascii="Arial" w:hAnsi="Arial" w:eastAsia="黑体" w:cs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页脚 Char"/>
    <w:basedOn w:val="10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6">
    <w:name w:val="页眉 Char"/>
    <w:basedOn w:val="10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7">
    <w:name w:val="样式 仿宋_GB2312 三号"/>
    <w:basedOn w:val="10"/>
    <w:qFormat/>
    <w:uiPriority w:val="99"/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8">
    <w:name w:val="Char1"/>
    <w:basedOn w:val="1"/>
    <w:qFormat/>
    <w:uiPriority w:val="99"/>
    <w:pPr>
      <w:autoSpaceDE w:val="0"/>
      <w:autoSpaceDN w:val="0"/>
      <w:adjustRightInd w:val="0"/>
      <w:snapToGrid w:val="0"/>
      <w:spacing w:before="50" w:after="50" w:line="360" w:lineRule="auto"/>
      <w:ind w:firstLine="560" w:firstLineChars="177"/>
    </w:pPr>
    <w:rPr>
      <w:rFonts w:ascii="宋体" w:hAnsi="宋体" w:eastAsia="仿宋_GB2312" w:cs="宋体"/>
      <w:color w:val="000000"/>
      <w:kern w:val="0"/>
      <w:sz w:val="24"/>
    </w:rPr>
  </w:style>
  <w:style w:type="character" w:customStyle="1" w:styleId="19">
    <w:name w:val="NormalCharacter"/>
    <w:unhideWhenUsed/>
    <w:qFormat/>
    <w:uiPriority w:val="99"/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222</Words>
  <Characters>1270</Characters>
  <Lines>10</Lines>
  <Paragraphs>2</Paragraphs>
  <TotalTime>2</TotalTime>
  <ScaleCrop>false</ScaleCrop>
  <LinksUpToDate>false</LinksUpToDate>
  <CharactersWithSpaces>1490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2018-06-08T03:04:00Z</dcterms:created>
  <dc:creator>HP</dc:creator>
  <cp:lastModifiedBy>hp</cp:lastModifiedBy>
  <dcterms:modified xsi:type="dcterms:W3CDTF">2020-07-10T03:11:01Z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docranid">
    <vt:lpwstr>8A8F286660E44908B7404D219F1E6CA7</vt:lpwstr>
  </property>
</Properties>
</file>