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10" w:lineRule="atLeast"/>
        <w:jc w:val="center"/>
        <w:rPr>
          <w:rFonts w:ascii="幼圆" w:hAnsi="宋体" w:eastAsia="幼圆" w:cs="宋体"/>
          <w:b/>
          <w:bCs/>
          <w:color w:val="F23809"/>
          <w:kern w:val="0"/>
          <w:sz w:val="33"/>
          <w:szCs w:val="33"/>
        </w:rPr>
      </w:pPr>
      <w:bookmarkStart w:id="4" w:name="_GoBack"/>
      <w:r>
        <w:rPr>
          <w:rFonts w:hint="eastAsia" w:ascii="幼圆" w:hAnsi="宋体" w:eastAsia="幼圆" w:cs="宋体"/>
          <w:b/>
          <w:bCs/>
          <w:color w:val="F23809"/>
          <w:kern w:val="0"/>
          <w:sz w:val="33"/>
          <w:szCs w:val="33"/>
        </w:rPr>
        <w:t>关于</w:t>
      </w:r>
      <w:r>
        <w:rPr>
          <w:rFonts w:ascii="幼圆" w:hAnsi="宋体" w:eastAsia="幼圆" w:cs="宋体"/>
          <w:b/>
          <w:bCs/>
          <w:color w:val="F23809"/>
          <w:kern w:val="0"/>
          <w:sz w:val="33"/>
          <w:szCs w:val="33"/>
        </w:rPr>
        <w:t>2020</w:t>
      </w:r>
      <w:r>
        <w:rPr>
          <w:rFonts w:hint="eastAsia" w:ascii="幼圆" w:hAnsi="宋体" w:eastAsia="幼圆" w:cs="宋体"/>
          <w:b/>
          <w:bCs/>
          <w:color w:val="F23809"/>
          <w:kern w:val="0"/>
          <w:sz w:val="33"/>
          <w:szCs w:val="33"/>
        </w:rPr>
        <w:t>年</w:t>
      </w:r>
      <w:r>
        <w:rPr>
          <w:rFonts w:ascii="幼圆" w:hAnsi="宋体" w:eastAsia="幼圆" w:cs="宋体"/>
          <w:b/>
          <w:bCs/>
          <w:color w:val="F23809"/>
          <w:kern w:val="0"/>
          <w:sz w:val="33"/>
          <w:szCs w:val="33"/>
        </w:rPr>
        <w:t>2</w:t>
      </w:r>
      <w:r>
        <w:rPr>
          <w:rFonts w:hint="eastAsia" w:ascii="幼圆" w:hAnsi="宋体" w:eastAsia="幼圆" w:cs="宋体"/>
          <w:b/>
          <w:bCs/>
          <w:color w:val="F23809"/>
          <w:kern w:val="0"/>
          <w:sz w:val="33"/>
          <w:szCs w:val="33"/>
        </w:rPr>
        <w:t>月</w:t>
      </w:r>
      <w:r>
        <w:rPr>
          <w:rFonts w:ascii="幼圆" w:hAnsi="宋体" w:eastAsia="幼圆" w:cs="宋体"/>
          <w:b/>
          <w:bCs/>
          <w:color w:val="F23809"/>
          <w:kern w:val="0"/>
          <w:sz w:val="33"/>
          <w:szCs w:val="33"/>
        </w:rPr>
        <w:t>10</w:t>
      </w:r>
      <w:r>
        <w:rPr>
          <w:rFonts w:hint="eastAsia" w:ascii="幼圆" w:hAnsi="宋体" w:eastAsia="幼圆" w:cs="宋体"/>
          <w:b/>
          <w:bCs/>
          <w:color w:val="F23809"/>
          <w:kern w:val="0"/>
          <w:sz w:val="33"/>
          <w:szCs w:val="33"/>
        </w:rPr>
        <w:t>日</w:t>
      </w:r>
      <w:r>
        <w:rPr>
          <w:rFonts w:ascii="幼圆" w:hAnsi="宋体" w:eastAsia="幼圆" w:cs="宋体"/>
          <w:b/>
          <w:bCs/>
          <w:color w:val="F23809"/>
          <w:kern w:val="0"/>
          <w:sz w:val="33"/>
          <w:szCs w:val="33"/>
        </w:rPr>
        <w:t>-2</w:t>
      </w:r>
      <w:r>
        <w:rPr>
          <w:rFonts w:hint="eastAsia" w:ascii="幼圆" w:hAnsi="宋体" w:eastAsia="幼圆" w:cs="宋体"/>
          <w:b/>
          <w:bCs/>
          <w:color w:val="F23809"/>
          <w:kern w:val="0"/>
          <w:sz w:val="33"/>
          <w:szCs w:val="33"/>
        </w:rPr>
        <w:t>月</w:t>
      </w:r>
      <w:r>
        <w:rPr>
          <w:rFonts w:ascii="幼圆" w:hAnsi="宋体" w:eastAsia="幼圆" w:cs="宋体"/>
          <w:b/>
          <w:bCs/>
          <w:color w:val="F23809"/>
          <w:kern w:val="0"/>
          <w:sz w:val="33"/>
          <w:szCs w:val="33"/>
        </w:rPr>
        <w:t>14</w:t>
      </w:r>
      <w:r>
        <w:rPr>
          <w:rFonts w:hint="eastAsia" w:ascii="幼圆" w:hAnsi="宋体" w:eastAsia="幼圆" w:cs="宋体"/>
          <w:b/>
          <w:bCs/>
          <w:color w:val="F23809"/>
          <w:kern w:val="0"/>
          <w:sz w:val="33"/>
          <w:szCs w:val="33"/>
        </w:rPr>
        <w:t>日建设项目环境影响评价文件拟审批情况的公示</w:t>
      </w:r>
    </w:p>
    <w:bookmarkEnd w:id="4"/>
    <w:p>
      <w:pPr>
        <w:widowControl/>
        <w:spacing w:before="100" w:beforeAutospacing="1" w:after="100" w:afterAutospacing="1"/>
        <w:ind w:firstLine="480" w:firstLineChars="200"/>
        <w:jc w:val="left"/>
        <w:rPr>
          <w:rFonts w:ascii="宋体" w:cs="宋体"/>
          <w:color w:val="353535"/>
          <w:kern w:val="0"/>
          <w:sz w:val="24"/>
        </w:rPr>
      </w:pPr>
      <w:r>
        <w:rPr>
          <w:rFonts w:hint="eastAsia" w:ascii="宋体" w:hAnsi="宋体" w:cs="宋体"/>
          <w:color w:val="353535"/>
          <w:kern w:val="0"/>
          <w:sz w:val="24"/>
        </w:rPr>
        <w:t>根据建设项目环境影响评价审批程序及信息公开要求，经审议，我局拟对以下项目作出审批意见，现将有关情况予以公示，公示期为</w:t>
      </w:r>
      <w:r>
        <w:rPr>
          <w:rFonts w:ascii="宋体" w:hAnsi="宋体" w:cs="宋体"/>
          <w:color w:val="353535"/>
          <w:kern w:val="0"/>
          <w:sz w:val="24"/>
        </w:rPr>
        <w:t>2020</w:t>
      </w:r>
      <w:r>
        <w:rPr>
          <w:rFonts w:hint="eastAsia" w:ascii="宋体" w:hAnsi="宋体" w:cs="宋体"/>
          <w:color w:val="353535"/>
          <w:kern w:val="0"/>
          <w:sz w:val="24"/>
        </w:rPr>
        <w:t>年</w:t>
      </w:r>
      <w:r>
        <w:rPr>
          <w:rFonts w:ascii="宋体" w:hAnsi="宋体" w:cs="宋体"/>
          <w:color w:val="353535"/>
          <w:kern w:val="0"/>
          <w:sz w:val="24"/>
        </w:rPr>
        <w:t>2</w:t>
      </w:r>
      <w:r>
        <w:rPr>
          <w:rFonts w:hint="eastAsia" w:ascii="宋体" w:hAnsi="宋体" w:cs="宋体"/>
          <w:color w:val="353535"/>
          <w:kern w:val="0"/>
          <w:sz w:val="24"/>
        </w:rPr>
        <w:t>月</w:t>
      </w:r>
      <w:r>
        <w:rPr>
          <w:rFonts w:ascii="宋体" w:hAnsi="宋体" w:cs="宋体"/>
          <w:color w:val="353535"/>
          <w:kern w:val="0"/>
          <w:sz w:val="24"/>
        </w:rPr>
        <w:t>10</w:t>
      </w:r>
      <w:r>
        <w:rPr>
          <w:rFonts w:hint="eastAsia" w:ascii="宋体" w:hAnsi="宋体" w:cs="宋体"/>
          <w:color w:val="353535"/>
          <w:kern w:val="0"/>
          <w:sz w:val="24"/>
        </w:rPr>
        <w:t>日</w:t>
      </w:r>
      <w:r>
        <w:rPr>
          <w:rFonts w:ascii="宋体" w:cs="宋体"/>
          <w:color w:val="353535"/>
          <w:kern w:val="0"/>
          <w:sz w:val="24"/>
        </w:rPr>
        <w:t>-</w:t>
      </w:r>
      <w:r>
        <w:rPr>
          <w:rFonts w:ascii="宋体" w:hAnsi="宋体" w:cs="宋体"/>
          <w:color w:val="353535"/>
          <w:kern w:val="0"/>
          <w:sz w:val="24"/>
        </w:rPr>
        <w:t>2</w:t>
      </w:r>
      <w:r>
        <w:rPr>
          <w:rFonts w:hint="eastAsia" w:ascii="宋体" w:hAnsi="宋体" w:cs="宋体"/>
          <w:color w:val="353535"/>
          <w:kern w:val="0"/>
          <w:sz w:val="24"/>
        </w:rPr>
        <w:t>月</w:t>
      </w:r>
      <w:r>
        <w:rPr>
          <w:rFonts w:ascii="宋体" w:hAnsi="宋体" w:cs="宋体"/>
          <w:color w:val="353535"/>
          <w:kern w:val="0"/>
          <w:sz w:val="24"/>
        </w:rPr>
        <w:t>14</w:t>
      </w:r>
      <w:r>
        <w:rPr>
          <w:rFonts w:hint="eastAsia" w:ascii="宋体" w:hAnsi="宋体" w:cs="宋体"/>
          <w:color w:val="353535"/>
          <w:kern w:val="0"/>
          <w:sz w:val="24"/>
        </w:rPr>
        <w:t>日。</w:t>
      </w:r>
    </w:p>
    <w:p>
      <w:pPr>
        <w:widowControl/>
        <w:spacing w:before="100" w:beforeAutospacing="1" w:after="100" w:afterAutospacing="1"/>
        <w:ind w:firstLine="480" w:firstLineChars="200"/>
        <w:jc w:val="left"/>
        <w:rPr>
          <w:rFonts w:ascii="宋体" w:cs="宋体"/>
          <w:color w:val="353535"/>
          <w:kern w:val="0"/>
          <w:sz w:val="24"/>
        </w:rPr>
      </w:pPr>
      <w:r>
        <w:rPr>
          <w:rFonts w:hint="eastAsia" w:ascii="宋体" w:hAnsi="宋体" w:cs="宋体"/>
          <w:color w:val="353535"/>
          <w:kern w:val="0"/>
          <w:sz w:val="24"/>
        </w:rPr>
        <w:t>联系电话：</w:t>
      </w:r>
      <w:r>
        <w:rPr>
          <w:rFonts w:ascii="宋体" w:hAnsi="宋体" w:cs="宋体"/>
          <w:color w:val="353535"/>
          <w:kern w:val="0"/>
          <w:sz w:val="24"/>
        </w:rPr>
        <w:t>0692-8186441</w:t>
      </w:r>
      <w:r>
        <w:rPr>
          <w:rFonts w:hint="eastAsia" w:ascii="宋体" w:hAnsi="宋体" w:cs="宋体"/>
          <w:color w:val="353535"/>
          <w:kern w:val="0"/>
          <w:sz w:val="24"/>
        </w:rPr>
        <w:t>、</w:t>
      </w:r>
      <w:r>
        <w:rPr>
          <w:rFonts w:ascii="宋体" w:hAnsi="宋体" w:cs="宋体"/>
          <w:color w:val="353535"/>
          <w:kern w:val="0"/>
          <w:sz w:val="24"/>
        </w:rPr>
        <w:t>8119112</w:t>
      </w:r>
      <w:r>
        <w:rPr>
          <w:rFonts w:hint="eastAsia" w:ascii="宋体" w:hAnsi="宋体" w:cs="宋体"/>
          <w:color w:val="353535"/>
          <w:kern w:val="0"/>
          <w:sz w:val="24"/>
        </w:rPr>
        <w:t>（政务服务大厅）</w:t>
      </w:r>
    </w:p>
    <w:p>
      <w:pPr>
        <w:widowControl/>
        <w:spacing w:before="100" w:beforeAutospacing="1" w:after="100" w:afterAutospacing="1"/>
        <w:ind w:firstLine="480" w:firstLineChars="200"/>
        <w:jc w:val="left"/>
        <w:rPr>
          <w:rFonts w:ascii="宋体" w:cs="宋体"/>
          <w:color w:val="353535"/>
          <w:kern w:val="0"/>
          <w:sz w:val="24"/>
        </w:rPr>
      </w:pPr>
      <w:r>
        <w:rPr>
          <w:rFonts w:hint="eastAsia" w:ascii="宋体" w:hAnsi="宋体" w:cs="宋体"/>
          <w:color w:val="353535"/>
          <w:kern w:val="0"/>
          <w:sz w:val="24"/>
        </w:rPr>
        <w:t>传真：</w:t>
      </w:r>
      <w:r>
        <w:rPr>
          <w:rFonts w:ascii="宋体" w:hAnsi="宋体" w:cs="宋体"/>
          <w:color w:val="353535"/>
          <w:kern w:val="0"/>
          <w:sz w:val="24"/>
        </w:rPr>
        <w:t>0692-8186441</w:t>
      </w:r>
    </w:p>
    <w:p>
      <w:pPr>
        <w:widowControl/>
        <w:spacing w:before="100" w:beforeAutospacing="1" w:after="100" w:afterAutospacing="1"/>
        <w:ind w:firstLine="480" w:firstLineChars="200"/>
        <w:jc w:val="left"/>
        <w:rPr>
          <w:rFonts w:ascii="宋体" w:cs="宋体"/>
          <w:color w:val="353535"/>
          <w:kern w:val="0"/>
          <w:sz w:val="24"/>
        </w:rPr>
      </w:pPr>
      <w:r>
        <w:rPr>
          <w:rFonts w:hint="eastAsia" w:ascii="宋体" w:hAnsi="宋体" w:cs="宋体"/>
          <w:color w:val="353535"/>
          <w:kern w:val="0"/>
          <w:sz w:val="24"/>
        </w:rPr>
        <w:t>通讯地址：盈江县象城路下段勐腊派出所对面，永胜居委会旁，县交通局隔壁。</w:t>
      </w:r>
    </w:p>
    <w:p>
      <w:pPr>
        <w:pStyle w:val="11"/>
        <w:ind w:firstLine="480" w:firstLineChars="200"/>
        <w:rPr>
          <w:rFonts w:hAnsi="宋体" w:cs="宋体"/>
          <w:color w:val="353535"/>
          <w:kern w:val="0"/>
          <w:sz w:val="24"/>
        </w:rPr>
      </w:pPr>
      <w:r>
        <w:rPr>
          <w:rFonts w:hint="eastAsia" w:hAnsi="宋体" w:cs="宋体"/>
          <w:color w:val="353535"/>
          <w:kern w:val="0"/>
          <w:sz w:val="24"/>
        </w:rPr>
        <w:t>邮编：</w:t>
      </w:r>
      <w:r>
        <w:rPr>
          <w:rFonts w:hAnsi="宋体" w:cs="宋体"/>
          <w:color w:val="353535"/>
          <w:kern w:val="0"/>
          <w:sz w:val="24"/>
        </w:rPr>
        <w:t>679300</w:t>
      </w:r>
    </w:p>
    <w:tbl>
      <w:tblPr>
        <w:tblStyle w:val="21"/>
        <w:tblW w:w="8982" w:type="dxa"/>
        <w:tblInd w:w="-459" w:type="dxa"/>
        <w:tblLayout w:type="fixed"/>
        <w:tblCellMar>
          <w:top w:w="0" w:type="dxa"/>
          <w:left w:w="108" w:type="dxa"/>
          <w:bottom w:w="0" w:type="dxa"/>
          <w:right w:w="108" w:type="dxa"/>
        </w:tblCellMar>
      </w:tblPr>
      <w:tblGrid>
        <w:gridCol w:w="1468"/>
        <w:gridCol w:w="234"/>
        <w:gridCol w:w="1518"/>
        <w:gridCol w:w="1268"/>
        <w:gridCol w:w="1703"/>
        <w:gridCol w:w="844"/>
        <w:gridCol w:w="1947"/>
      </w:tblGrid>
      <w:tr>
        <w:tblPrEx>
          <w:tblCellMar>
            <w:top w:w="0" w:type="dxa"/>
            <w:left w:w="108" w:type="dxa"/>
            <w:bottom w:w="0" w:type="dxa"/>
            <w:right w:w="108" w:type="dxa"/>
          </w:tblCellMar>
        </w:tblPrEx>
        <w:trPr>
          <w:trHeight w:val="945" w:hRule="atLeast"/>
        </w:trPr>
        <w:tc>
          <w:tcPr>
            <w:tcW w:w="8982" w:type="dxa"/>
            <w:gridSpan w:val="7"/>
            <w:tcBorders>
              <w:top w:val="nil"/>
              <w:left w:val="nil"/>
              <w:bottom w:val="single" w:color="auto" w:sz="4" w:space="0"/>
              <w:right w:val="nil"/>
            </w:tcBorders>
            <w:vAlign w:val="center"/>
          </w:tcPr>
          <w:p>
            <w:pPr>
              <w:widowControl/>
              <w:spacing w:line="360" w:lineRule="auto"/>
              <w:jc w:val="center"/>
              <w:rPr>
                <w:rFonts w:ascii="Times New Roman" w:hAnsi="Times New Roman"/>
                <w:b/>
                <w:bCs/>
                <w:kern w:val="0"/>
                <w:sz w:val="24"/>
                <w:szCs w:val="24"/>
              </w:rPr>
            </w:pPr>
            <w:r>
              <w:rPr>
                <w:rFonts w:hint="eastAsia" w:ascii="Times New Roman" w:hAnsi="Times New Roman"/>
                <w:b/>
                <w:bCs/>
                <w:kern w:val="0"/>
                <w:sz w:val="24"/>
                <w:szCs w:val="24"/>
              </w:rPr>
              <w:t>德宏生态环境局盈江分局拟审批建设项目环评信息公开表</w:t>
            </w:r>
          </w:p>
        </w:tc>
      </w:tr>
      <w:tr>
        <w:tblPrEx>
          <w:tblCellMar>
            <w:top w:w="0" w:type="dxa"/>
            <w:left w:w="108" w:type="dxa"/>
            <w:bottom w:w="0" w:type="dxa"/>
            <w:right w:w="108" w:type="dxa"/>
          </w:tblCellMar>
        </w:tblPrEx>
        <w:trPr>
          <w:trHeight w:val="915" w:hRule="atLeast"/>
        </w:trPr>
        <w:tc>
          <w:tcPr>
            <w:tcW w:w="1702" w:type="dxa"/>
            <w:gridSpan w:val="2"/>
            <w:tcBorders>
              <w:top w:val="single" w:color="auto" w:sz="4" w:space="0"/>
              <w:left w:val="single" w:color="auto" w:sz="4" w:space="0"/>
              <w:bottom w:val="single" w:color="auto" w:sz="4" w:space="0"/>
              <w:right w:val="single" w:color="auto" w:sz="4" w:space="0"/>
            </w:tcBorders>
            <w:shd w:val="clear" w:color="000000" w:fill="C0C0C0"/>
            <w:vAlign w:val="center"/>
          </w:tcPr>
          <w:p>
            <w:pPr>
              <w:widowControl/>
              <w:jc w:val="left"/>
              <w:rPr>
                <w:rFonts w:ascii="Times New Roman" w:hAnsi="Times New Roman"/>
                <w:kern w:val="0"/>
                <w:sz w:val="24"/>
                <w:szCs w:val="24"/>
              </w:rPr>
            </w:pPr>
            <w:r>
              <w:rPr>
                <w:rFonts w:hint="eastAsia" w:ascii="Times New Roman" w:hAnsi="Times New Roman"/>
                <w:kern w:val="0"/>
                <w:sz w:val="24"/>
                <w:szCs w:val="24"/>
              </w:rPr>
              <w:t>项目名称</w:t>
            </w:r>
          </w:p>
        </w:tc>
        <w:tc>
          <w:tcPr>
            <w:tcW w:w="1518"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 w:val="24"/>
                <w:szCs w:val="24"/>
              </w:rPr>
            </w:pPr>
            <w:r>
              <w:rPr>
                <w:rFonts w:hint="eastAsia" w:ascii="Times New Roman" w:hAnsi="Times New Roman"/>
                <w:kern w:val="0"/>
                <w:sz w:val="24"/>
                <w:szCs w:val="24"/>
              </w:rPr>
              <w:t>盈江县黎涛塑料加工厂建设项目</w:t>
            </w:r>
          </w:p>
        </w:tc>
        <w:tc>
          <w:tcPr>
            <w:tcW w:w="1268" w:type="dxa"/>
            <w:tcBorders>
              <w:top w:val="single" w:color="auto" w:sz="4" w:space="0"/>
              <w:left w:val="nil"/>
              <w:bottom w:val="single" w:color="auto" w:sz="4" w:space="0"/>
              <w:right w:val="single" w:color="auto" w:sz="4" w:space="0"/>
            </w:tcBorders>
            <w:shd w:val="clear" w:color="000000" w:fill="C0C0C0"/>
            <w:vAlign w:val="center"/>
          </w:tcPr>
          <w:p>
            <w:pPr>
              <w:widowControl/>
              <w:jc w:val="left"/>
              <w:rPr>
                <w:rFonts w:ascii="Times New Roman" w:hAnsi="Times New Roman"/>
                <w:kern w:val="0"/>
                <w:sz w:val="24"/>
                <w:szCs w:val="24"/>
              </w:rPr>
            </w:pPr>
            <w:r>
              <w:rPr>
                <w:rFonts w:hint="eastAsia" w:ascii="Times New Roman" w:hAnsi="Times New Roman"/>
                <w:kern w:val="0"/>
                <w:sz w:val="24"/>
                <w:szCs w:val="24"/>
              </w:rPr>
              <w:t>建设地点</w:t>
            </w:r>
          </w:p>
        </w:tc>
        <w:tc>
          <w:tcPr>
            <w:tcW w:w="1703"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 w:val="24"/>
                <w:szCs w:val="24"/>
              </w:rPr>
            </w:pPr>
            <w:r>
              <w:rPr>
                <w:rFonts w:hint="eastAsia" w:ascii="Times New Roman" w:hAnsi="Times New Roman"/>
                <w:sz w:val="24"/>
                <w:szCs w:val="24"/>
              </w:rPr>
              <w:t>盈江县平原镇芒璋村民委员会沙坡村民小组</w:t>
            </w:r>
          </w:p>
        </w:tc>
        <w:tc>
          <w:tcPr>
            <w:tcW w:w="844" w:type="dxa"/>
            <w:tcBorders>
              <w:top w:val="single" w:color="auto" w:sz="4" w:space="0"/>
              <w:left w:val="nil"/>
              <w:bottom w:val="single" w:color="auto" w:sz="4" w:space="0"/>
              <w:right w:val="single" w:color="auto" w:sz="4" w:space="0"/>
            </w:tcBorders>
            <w:shd w:val="clear" w:color="000000" w:fill="C0C0C0"/>
            <w:vAlign w:val="center"/>
          </w:tcPr>
          <w:p>
            <w:pPr>
              <w:widowControl/>
              <w:jc w:val="left"/>
              <w:rPr>
                <w:rFonts w:ascii="Times New Roman" w:hAnsi="Times New Roman"/>
                <w:kern w:val="0"/>
                <w:sz w:val="24"/>
                <w:szCs w:val="24"/>
              </w:rPr>
            </w:pPr>
            <w:r>
              <w:rPr>
                <w:rFonts w:hint="eastAsia" w:ascii="Times New Roman" w:hAnsi="Times New Roman"/>
                <w:kern w:val="0"/>
                <w:sz w:val="24"/>
                <w:szCs w:val="24"/>
              </w:rPr>
              <w:t>建设单位</w:t>
            </w:r>
          </w:p>
        </w:tc>
        <w:tc>
          <w:tcPr>
            <w:tcW w:w="194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hint="eastAsia" w:ascii="Times New Roman" w:hAnsi="Times New Roman"/>
                <w:kern w:val="0"/>
                <w:sz w:val="24"/>
                <w:szCs w:val="24"/>
              </w:rPr>
              <w:t>盈江县太平镇黎涛塑料加工店</w:t>
            </w:r>
          </w:p>
        </w:tc>
      </w:tr>
      <w:tr>
        <w:tblPrEx>
          <w:tblCellMar>
            <w:top w:w="0" w:type="dxa"/>
            <w:left w:w="108" w:type="dxa"/>
            <w:bottom w:w="0" w:type="dxa"/>
            <w:right w:w="108" w:type="dxa"/>
          </w:tblCellMar>
        </w:tblPrEx>
        <w:trPr>
          <w:trHeight w:val="780" w:hRule="atLeast"/>
        </w:trPr>
        <w:tc>
          <w:tcPr>
            <w:tcW w:w="1702" w:type="dxa"/>
            <w:gridSpan w:val="2"/>
            <w:tcBorders>
              <w:top w:val="nil"/>
              <w:left w:val="single" w:color="auto" w:sz="4" w:space="0"/>
              <w:bottom w:val="single" w:color="auto" w:sz="4" w:space="0"/>
              <w:right w:val="single" w:color="auto" w:sz="4" w:space="0"/>
            </w:tcBorders>
            <w:shd w:val="clear" w:color="000000" w:fill="C0C0C0"/>
            <w:vAlign w:val="center"/>
          </w:tcPr>
          <w:p>
            <w:pPr>
              <w:widowControl/>
              <w:jc w:val="left"/>
              <w:rPr>
                <w:rFonts w:ascii="Times New Roman" w:hAnsi="Times New Roman"/>
                <w:kern w:val="0"/>
                <w:sz w:val="24"/>
                <w:szCs w:val="24"/>
              </w:rPr>
            </w:pPr>
            <w:r>
              <w:rPr>
                <w:rFonts w:hint="eastAsia" w:ascii="Times New Roman" w:hAnsi="Times New Roman"/>
                <w:kern w:val="0"/>
                <w:sz w:val="24"/>
                <w:szCs w:val="24"/>
              </w:rPr>
              <w:t>环评文件类型</w:t>
            </w:r>
          </w:p>
        </w:tc>
        <w:tc>
          <w:tcPr>
            <w:tcW w:w="1518" w:type="dxa"/>
            <w:tcBorders>
              <w:top w:val="nil"/>
              <w:left w:val="nil"/>
              <w:bottom w:val="single" w:color="auto" w:sz="4" w:space="0"/>
              <w:right w:val="single" w:color="auto" w:sz="4" w:space="0"/>
            </w:tcBorders>
            <w:vAlign w:val="center"/>
          </w:tcPr>
          <w:p>
            <w:pPr>
              <w:widowControl/>
              <w:jc w:val="left"/>
              <w:rPr>
                <w:rFonts w:ascii="Times New Roman" w:hAnsi="Times New Roman"/>
                <w:kern w:val="0"/>
                <w:sz w:val="24"/>
                <w:szCs w:val="24"/>
              </w:rPr>
            </w:pPr>
            <w:r>
              <w:rPr>
                <w:rFonts w:hint="eastAsia" w:ascii="Times New Roman" w:hAnsi="Times New Roman"/>
                <w:kern w:val="0"/>
                <w:sz w:val="24"/>
                <w:szCs w:val="24"/>
              </w:rPr>
              <w:t>　报告书</w:t>
            </w:r>
          </w:p>
        </w:tc>
        <w:tc>
          <w:tcPr>
            <w:tcW w:w="1268" w:type="dxa"/>
            <w:tcBorders>
              <w:top w:val="nil"/>
              <w:left w:val="nil"/>
              <w:bottom w:val="single" w:color="auto" w:sz="4" w:space="0"/>
              <w:right w:val="single" w:color="auto" w:sz="4" w:space="0"/>
            </w:tcBorders>
            <w:shd w:val="clear" w:color="000000" w:fill="C0C0C0"/>
            <w:vAlign w:val="center"/>
          </w:tcPr>
          <w:p>
            <w:pPr>
              <w:widowControl/>
              <w:jc w:val="left"/>
              <w:rPr>
                <w:rFonts w:ascii="Times New Roman" w:hAnsi="Times New Roman"/>
                <w:kern w:val="0"/>
                <w:sz w:val="24"/>
                <w:szCs w:val="24"/>
              </w:rPr>
            </w:pPr>
            <w:r>
              <w:rPr>
                <w:rFonts w:hint="eastAsia" w:ascii="Times New Roman" w:hAnsi="Times New Roman"/>
                <w:kern w:val="0"/>
                <w:sz w:val="24"/>
                <w:szCs w:val="24"/>
              </w:rPr>
              <w:t>环境影响评价机构</w:t>
            </w:r>
          </w:p>
        </w:tc>
        <w:tc>
          <w:tcPr>
            <w:tcW w:w="4494"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云南大学科技咨询发展中心</w:t>
            </w: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widowControl/>
              <w:spacing w:line="360" w:lineRule="auto"/>
              <w:jc w:val="center"/>
              <w:rPr>
                <w:rFonts w:ascii="Times New Roman" w:hAnsi="Times New Roman"/>
                <w:kern w:val="0"/>
                <w:sz w:val="24"/>
                <w:szCs w:val="24"/>
              </w:rPr>
            </w:pPr>
            <w:r>
              <w:rPr>
                <w:rFonts w:hint="eastAsia" w:ascii="Times New Roman" w:hAnsi="Times New Roman"/>
                <w:kern w:val="0"/>
                <w:sz w:val="24"/>
                <w:szCs w:val="24"/>
              </w:rPr>
              <w:t>项目概况</w:t>
            </w:r>
          </w:p>
        </w:tc>
      </w:tr>
      <w:tr>
        <w:tblPrEx>
          <w:tblCellMar>
            <w:top w:w="0" w:type="dxa"/>
            <w:left w:w="108" w:type="dxa"/>
            <w:bottom w:w="0" w:type="dxa"/>
            <w:right w:w="108" w:type="dxa"/>
          </w:tblCellMar>
        </w:tblPrEx>
        <w:trPr>
          <w:trHeight w:val="1102"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ind w:firstLine="480" w:firstLineChars="200"/>
              <w:rPr>
                <w:rFonts w:ascii="Times New Roman" w:hAnsi="Times New Roman"/>
                <w:kern w:val="0"/>
                <w:sz w:val="24"/>
                <w:szCs w:val="24"/>
              </w:rPr>
            </w:pPr>
            <w:r>
              <w:rPr>
                <w:rFonts w:hint="eastAsia" w:ascii="Times New Roman" w:hAnsi="Times New Roman"/>
                <w:sz w:val="24"/>
                <w:szCs w:val="24"/>
              </w:rPr>
              <w:t>盈江县黎涛塑料加工厂建设项目位于盈江县平原镇芒璋村民委员会沙坡村民小组项目占地面积</w:t>
            </w:r>
            <w:r>
              <w:rPr>
                <w:rFonts w:ascii="Times New Roman" w:hAnsi="Times New Roman"/>
                <w:sz w:val="24"/>
                <w:szCs w:val="24"/>
              </w:rPr>
              <w:t>7275.8</w:t>
            </w:r>
            <w:r>
              <w:rPr>
                <w:rFonts w:hint="eastAsia" w:ascii="Times New Roman" w:hAnsi="Times New Roman"/>
                <w:sz w:val="24"/>
                <w:szCs w:val="24"/>
              </w:rPr>
              <w:t>平方米，建筑面积</w:t>
            </w:r>
            <w:r>
              <w:rPr>
                <w:rFonts w:ascii="Times New Roman" w:hAnsi="Times New Roman"/>
                <w:sz w:val="24"/>
                <w:szCs w:val="24"/>
              </w:rPr>
              <w:t>3200</w:t>
            </w:r>
            <w:r>
              <w:rPr>
                <w:rFonts w:hint="eastAsia" w:ascii="Times New Roman" w:hAnsi="Times New Roman"/>
                <w:sz w:val="24"/>
                <w:szCs w:val="24"/>
              </w:rPr>
              <w:t>平方米，主要建设塑料颗粒生产车间及其他生产辅助设施；设置</w:t>
            </w:r>
            <w:r>
              <w:rPr>
                <w:rFonts w:ascii="Times New Roman" w:hAnsi="Times New Roman"/>
                <w:sz w:val="24"/>
                <w:szCs w:val="24"/>
              </w:rPr>
              <w:t>2</w:t>
            </w:r>
            <w:r>
              <w:rPr>
                <w:rFonts w:hint="eastAsia" w:ascii="Times New Roman" w:hAnsi="Times New Roman"/>
                <w:sz w:val="24"/>
                <w:szCs w:val="24"/>
              </w:rPr>
              <w:t>条塑料颗粒生产线，年产塑料颗粒</w:t>
            </w:r>
            <w:r>
              <w:rPr>
                <w:rFonts w:ascii="Times New Roman" w:hAnsi="Times New Roman"/>
                <w:sz w:val="24"/>
                <w:szCs w:val="24"/>
              </w:rPr>
              <w:t>5000</w:t>
            </w:r>
            <w:r>
              <w:rPr>
                <w:rFonts w:hint="eastAsia" w:ascii="Times New Roman" w:hAnsi="Times New Roman"/>
                <w:sz w:val="24"/>
                <w:szCs w:val="24"/>
              </w:rPr>
              <w:t>吨。项目</w:t>
            </w:r>
            <w:r>
              <w:rPr>
                <w:rFonts w:hint="eastAsia" w:ascii="Times New Roman" w:hAnsi="Times New Roman"/>
                <w:sz w:val="24"/>
              </w:rPr>
              <w:t>总投资</w:t>
            </w:r>
            <w:r>
              <w:rPr>
                <w:rFonts w:ascii="Times New Roman" w:hAnsi="Times New Roman"/>
                <w:sz w:val="24"/>
              </w:rPr>
              <w:t>30</w:t>
            </w:r>
            <w:r>
              <w:rPr>
                <w:rFonts w:hint="eastAsia" w:ascii="Times New Roman" w:hAnsi="Times New Roman"/>
                <w:sz w:val="24"/>
              </w:rPr>
              <w:t>万元，其中环保投资估算为</w:t>
            </w:r>
            <w:r>
              <w:rPr>
                <w:rFonts w:ascii="Times New Roman" w:hAnsi="Times New Roman"/>
                <w:sz w:val="24"/>
              </w:rPr>
              <w:t>12.2</w:t>
            </w:r>
            <w:r>
              <w:rPr>
                <w:rFonts w:hint="eastAsia" w:ascii="Times New Roman" w:hAnsi="Times New Roman"/>
                <w:sz w:val="24"/>
              </w:rPr>
              <w:t>万元，占总投资</w:t>
            </w:r>
            <w:r>
              <w:rPr>
                <w:rFonts w:ascii="Times New Roman" w:hAnsi="Times New Roman"/>
                <w:sz w:val="24"/>
              </w:rPr>
              <w:t>40.67%</w:t>
            </w: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widowControl/>
              <w:spacing w:line="360" w:lineRule="auto"/>
              <w:jc w:val="center"/>
              <w:rPr>
                <w:rFonts w:ascii="Times New Roman" w:hAnsi="Times New Roman"/>
                <w:kern w:val="0"/>
                <w:sz w:val="24"/>
                <w:szCs w:val="24"/>
              </w:rPr>
            </w:pPr>
            <w:r>
              <w:rPr>
                <w:rFonts w:hint="eastAsia" w:ascii="Times New Roman" w:hAnsi="Times New Roman"/>
                <w:kern w:val="0"/>
                <w:sz w:val="24"/>
                <w:szCs w:val="24"/>
              </w:rPr>
              <w:t>项目主要环境影响</w:t>
            </w:r>
          </w:p>
        </w:tc>
      </w:tr>
      <w:tr>
        <w:tblPrEx>
          <w:tblCellMar>
            <w:top w:w="0" w:type="dxa"/>
            <w:left w:w="108" w:type="dxa"/>
            <w:bottom w:w="0" w:type="dxa"/>
            <w:right w:w="108" w:type="dxa"/>
          </w:tblCellMar>
        </w:tblPrEx>
        <w:trPr>
          <w:trHeight w:val="614"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sz w:val="24"/>
                <w:szCs w:val="24"/>
              </w:rPr>
            </w:pPr>
            <w:r>
              <w:rPr>
                <w:rFonts w:hint="eastAsia" w:ascii="Times New Roman" w:hAnsi="Times New Roman"/>
                <w:color w:val="333333"/>
                <w:kern w:val="0"/>
                <w:sz w:val="24"/>
                <w:szCs w:val="24"/>
              </w:rPr>
              <w:t>（</w:t>
            </w:r>
            <w:r>
              <w:rPr>
                <w:rFonts w:ascii="Times New Roman" w:hAnsi="Times New Roman"/>
                <w:color w:val="333333"/>
                <w:kern w:val="0"/>
                <w:sz w:val="24"/>
                <w:szCs w:val="24"/>
              </w:rPr>
              <w:t>1</w:t>
            </w:r>
            <w:r>
              <w:rPr>
                <w:rFonts w:hint="eastAsia" w:ascii="Times New Roman" w:hAnsi="Times New Roman"/>
                <w:color w:val="333333"/>
                <w:kern w:val="0"/>
                <w:sz w:val="24"/>
                <w:szCs w:val="24"/>
              </w:rPr>
              <w:t>）施工期环境影响</w:t>
            </w:r>
          </w:p>
          <w:p>
            <w:pPr>
              <w:spacing w:line="360" w:lineRule="auto"/>
              <w:ind w:firstLine="480" w:firstLineChars="200"/>
              <w:rPr>
                <w:rFonts w:ascii="Times New Roman" w:hAnsi="Times New Roman"/>
                <w:sz w:val="24"/>
              </w:rPr>
            </w:pPr>
            <w:r>
              <w:rPr>
                <w:rFonts w:hint="eastAsia" w:ascii="Times New Roman" w:hAnsi="Times New Roman"/>
                <w:sz w:val="24"/>
              </w:rPr>
              <w:t>建设单位于</w:t>
            </w:r>
            <w:r>
              <w:rPr>
                <w:rFonts w:ascii="Times New Roman" w:hAnsi="Times New Roman"/>
                <w:sz w:val="24"/>
              </w:rPr>
              <w:t>2019</w:t>
            </w:r>
            <w:r>
              <w:rPr>
                <w:rFonts w:hint="eastAsia" w:ascii="Times New Roman" w:hAnsi="Times New Roman"/>
                <w:sz w:val="24"/>
              </w:rPr>
              <w:t>年</w:t>
            </w:r>
            <w:r>
              <w:rPr>
                <w:rFonts w:ascii="Times New Roman" w:hAnsi="Times New Roman"/>
                <w:sz w:val="24"/>
              </w:rPr>
              <w:t>4</w:t>
            </w:r>
            <w:r>
              <w:rPr>
                <w:rFonts w:hint="eastAsia" w:ascii="Times New Roman" w:hAnsi="Times New Roman"/>
                <w:sz w:val="24"/>
              </w:rPr>
              <w:t>月同盈江县平原镇芒璋村民委员会上寨村民小组租用本项目地块，此地块为原红盈工贸有限公司的选矿厂；本次施工主要为新增一套塑料颗粒生产线，安装相关设备、规范原料堆放场地、改造生产废水沉淀池、设置有机废气处理装置、设置机修车间及危废间等；施工工作量不大，为局部施工；项目施工时将产生粉尘、噪声、废水及固废等各类污染物。</w:t>
            </w:r>
          </w:p>
          <w:p>
            <w:pPr>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施工期废气</w:t>
            </w:r>
          </w:p>
          <w:p>
            <w:pPr>
              <w:pStyle w:val="12"/>
              <w:spacing w:line="360" w:lineRule="auto"/>
              <w:ind w:firstLineChars="200"/>
              <w:rPr>
                <w:rFonts w:ascii="Times New Roman" w:hAnsi="Times New Roman"/>
              </w:rPr>
            </w:pPr>
            <w:r>
              <w:rPr>
                <w:rFonts w:hint="eastAsia" w:ascii="Times New Roman" w:hAnsi="Times New Roman"/>
              </w:rPr>
              <w:t>施工单位加强施工区的规划管理，并用蓬布遮盖建筑材料；对施工现场进行科学管理，对原材料进行覆盖，原材料的堆放争取一步到位，减少搬运次数。水泥应设专门库房堆放，搬运时轻举轻放，防止包装袋破裂；</w:t>
            </w:r>
            <w:r>
              <w:rPr>
                <w:rFonts w:hint="eastAsia" w:ascii="Times New Roman" w:hAnsi="Times New Roman"/>
                <w:szCs w:val="24"/>
              </w:rPr>
              <w:t>运输车辆严禁超载及对运输车辆进行清理，避免造成运输道路上泼洒及车轮上粘附渣土，致使运输道路粉尘量的增加，从而增加运输扬尘量。</w:t>
            </w:r>
            <w:r>
              <w:rPr>
                <w:rFonts w:hint="eastAsia" w:ascii="Times New Roman" w:hAnsi="Times New Roman"/>
              </w:rPr>
              <w:t>施工机械废气属点源无组织排放，具有间断性、产生量较小、产生点相对分散、易被稀释扩散等特点，施工场地周围较空旷，大气扩散条件相对较好，故一般情况下，施工机械和运输车辆所产生污染物在空气中经自然扩散和稀释后，对评价区域的空气环境质量影响不大。</w:t>
            </w:r>
          </w:p>
          <w:p>
            <w:pPr>
              <w:numPr>
                <w:ilvl w:val="0"/>
                <w:numId w:val="1"/>
              </w:numPr>
              <w:spacing w:line="360" w:lineRule="auto"/>
              <w:ind w:firstLine="480" w:firstLineChars="200"/>
              <w:rPr>
                <w:rFonts w:ascii="Times New Roman" w:hAnsi="Times New Roman"/>
                <w:sz w:val="24"/>
              </w:rPr>
            </w:pPr>
            <w:r>
              <w:rPr>
                <w:rFonts w:hint="eastAsia" w:ascii="Times New Roman" w:hAnsi="Times New Roman"/>
                <w:sz w:val="24"/>
              </w:rPr>
              <w:t>施工期废水</w:t>
            </w:r>
          </w:p>
          <w:p>
            <w:pPr>
              <w:spacing w:line="360" w:lineRule="auto"/>
              <w:ind w:firstLine="480" w:firstLineChars="200"/>
            </w:pPr>
            <w:r>
              <w:rPr>
                <w:rFonts w:hint="eastAsia" w:ascii="Times New Roman" w:hAnsi="Times New Roman"/>
                <w:sz w:val="24"/>
                <w:szCs w:val="24"/>
              </w:rPr>
              <w:t>项目施工期用水主要为生活用水（施工人员清洗用水）、施工场地洒水降尘用水，污水主要为生活污水。项目施工期废水产生量较少，主要污染物为</w:t>
            </w:r>
            <w:r>
              <w:rPr>
                <w:rFonts w:ascii="Times New Roman" w:hAnsi="Times New Roman"/>
                <w:sz w:val="24"/>
                <w:szCs w:val="24"/>
              </w:rPr>
              <w:t>SS</w:t>
            </w:r>
            <w:r>
              <w:rPr>
                <w:rFonts w:hint="eastAsia" w:ascii="Times New Roman" w:hAnsi="Times New Roman"/>
                <w:sz w:val="24"/>
                <w:szCs w:val="24"/>
              </w:rPr>
              <w:t>，经污水收集桶沉淀后用于施工场地降尘，不外排，对环境的影响较小。项目施工期施工人员不在项目区食宿，施工人员生活用水仅为少量清洗用水，施工期生活污水产生量较小，经污水收集桶沉淀后用于施工场地降尘，不外排，对环境影响较小。项目地表尘土较多，粒径较小，晴天时因风力原因而产生扬尘量较大，项目非雨天对施工场地洒水降尘，场地降尘洒水全部蒸发消耗，不产生废水，对环境无不利影响。</w:t>
            </w:r>
          </w:p>
          <w:p>
            <w:pPr>
              <w:numPr>
                <w:ilvl w:val="0"/>
                <w:numId w:val="1"/>
              </w:numPr>
              <w:spacing w:line="360" w:lineRule="auto"/>
              <w:ind w:firstLine="480" w:firstLineChars="200"/>
              <w:rPr>
                <w:rFonts w:ascii="Times New Roman" w:hAnsi="Times New Roman"/>
                <w:sz w:val="24"/>
              </w:rPr>
            </w:pPr>
            <w:r>
              <w:rPr>
                <w:rFonts w:hint="eastAsia" w:ascii="Times New Roman" w:hAnsi="Times New Roman"/>
                <w:sz w:val="24"/>
              </w:rPr>
              <w:t>施工期噪声</w:t>
            </w:r>
          </w:p>
          <w:p>
            <w:pPr>
              <w:pStyle w:val="11"/>
              <w:spacing w:line="360" w:lineRule="auto"/>
              <w:ind w:firstLine="480" w:firstLineChars="200"/>
              <w:rPr>
                <w:rFonts w:ascii="Times New Roman" w:hAnsi="Times New Roman"/>
                <w:sz w:val="24"/>
                <w:szCs w:val="24"/>
              </w:rPr>
            </w:pPr>
            <w:bookmarkStart w:id="0" w:name="_Toc30408"/>
            <w:bookmarkStart w:id="1" w:name="_Toc382648424"/>
            <w:r>
              <w:rPr>
                <w:rFonts w:hint="eastAsia" w:ascii="Times New Roman" w:hAnsi="Times New Roman"/>
                <w:sz w:val="24"/>
                <w:szCs w:val="24"/>
              </w:rPr>
              <w:t>项目施工为局部施工，不使用挖机、装载机等大型机械和高噪声施工设备；项目施工过程会产生的施工噪声特点是突发性和间歇性，持续时间短，经过厂房隔声、距离衰减后对周围环境的影响较小。</w:t>
            </w:r>
            <w:bookmarkEnd w:id="0"/>
            <w:bookmarkEnd w:id="1"/>
            <w:r>
              <w:rPr>
                <w:rFonts w:hint="eastAsia" w:ascii="Times New Roman" w:hAnsi="Times New Roman"/>
                <w:sz w:val="24"/>
                <w:szCs w:val="24"/>
              </w:rPr>
              <w:t>采取合理措施后，可尽量减轻项目施工噪声对周边环境的影响；加之施工是短时期的，因此施工过程中对区域声环境的影响是暂时的，将随着施工的结束而消失。</w:t>
            </w:r>
          </w:p>
          <w:p>
            <w:pPr>
              <w:numPr>
                <w:ilvl w:val="0"/>
                <w:numId w:val="1"/>
              </w:numPr>
              <w:spacing w:line="360" w:lineRule="auto"/>
              <w:ind w:firstLine="480" w:firstLineChars="200"/>
              <w:rPr>
                <w:rFonts w:ascii="Times New Roman" w:hAnsi="Times New Roman"/>
                <w:sz w:val="24"/>
              </w:rPr>
            </w:pPr>
            <w:r>
              <w:rPr>
                <w:rFonts w:hint="eastAsia" w:ascii="Times New Roman" w:hAnsi="Times New Roman"/>
                <w:sz w:val="24"/>
                <w:szCs w:val="24"/>
              </w:rPr>
              <w:t>施工期固废</w:t>
            </w:r>
          </w:p>
          <w:p>
            <w:pPr>
              <w:spacing w:line="360" w:lineRule="auto"/>
              <w:ind w:firstLine="480" w:firstLineChars="200"/>
              <w:rPr>
                <w:rFonts w:ascii="Times New Roman" w:hAnsi="Times New Roman"/>
                <w:sz w:val="24"/>
                <w:szCs w:val="24"/>
              </w:rPr>
            </w:pPr>
            <w:bookmarkStart w:id="2" w:name="_Toc14458"/>
            <w:r>
              <w:rPr>
                <w:rFonts w:hint="eastAsia" w:ascii="Times New Roman" w:hAnsi="Times New Roman"/>
                <w:sz w:val="24"/>
                <w:szCs w:val="24"/>
              </w:rPr>
              <w:t>项目施工期产生的固体废物主要为：建筑垃圾、施工人员生活垃圾。项目在施工过程中会产生少量的建筑垃圾，施工建筑垃圾收集后清运至建筑管理部门指定堆放点，其中可再生利用部分回收出售给废品站，严禁随意丢弃，对环境的影响较小。由于施工人员不在施工现场食宿，施工人员生活垃圾产生量较小，施工人员生活垃圾</w:t>
            </w:r>
            <w:r>
              <w:rPr>
                <w:rFonts w:hint="eastAsia" w:ascii="Times New Roman" w:hAnsi="Times New Roman"/>
                <w:bCs/>
                <w:sz w:val="24"/>
                <w:szCs w:val="24"/>
              </w:rPr>
              <w:t>集中收集后定期清运至芒仗街垃圾收集点，最后由环卫部门清运处置</w:t>
            </w:r>
            <w:r>
              <w:rPr>
                <w:rFonts w:hint="eastAsia" w:ascii="Times New Roman" w:hAnsi="Times New Roman"/>
                <w:sz w:val="24"/>
                <w:szCs w:val="24"/>
              </w:rPr>
              <w:t>，对环境的影响较小。</w:t>
            </w:r>
            <w:bookmarkEnd w:id="2"/>
            <w:r>
              <w:rPr>
                <w:rFonts w:hint="eastAsia" w:ascii="Times New Roman" w:hAnsi="Times New Roman"/>
                <w:sz w:val="24"/>
                <w:szCs w:val="24"/>
              </w:rPr>
              <w:t>施工过程中产生的各类污染都是暂时的，随着施工过程的</w:t>
            </w:r>
            <w:r>
              <w:rPr>
                <w:rFonts w:hint="eastAsia" w:ascii="Times New Roman" w:hAnsi="Times New Roman"/>
                <w:sz w:val="24"/>
              </w:rPr>
              <w:t>结束，这些污染也将消失。</w:t>
            </w:r>
          </w:p>
          <w:p>
            <w:pPr>
              <w:widowControl/>
              <w:spacing w:line="360" w:lineRule="auto"/>
              <w:jc w:val="left"/>
              <w:rPr>
                <w:rFonts w:ascii="Times New Roman" w:hAnsi="Times New Roman"/>
                <w:sz w:val="24"/>
                <w:szCs w:val="24"/>
              </w:rPr>
            </w:pPr>
            <w:r>
              <w:rPr>
                <w:rFonts w:hint="eastAsia" w:ascii="Times New Roman" w:hAnsi="Times New Roman"/>
                <w:kern w:val="0"/>
                <w:sz w:val="24"/>
                <w:szCs w:val="24"/>
              </w:rPr>
              <w:t>（</w:t>
            </w:r>
            <w:r>
              <w:rPr>
                <w:rFonts w:ascii="Times New Roman" w:hAnsi="Times New Roman"/>
                <w:kern w:val="0"/>
                <w:sz w:val="24"/>
                <w:szCs w:val="24"/>
              </w:rPr>
              <w:t>2</w:t>
            </w:r>
            <w:r>
              <w:rPr>
                <w:rFonts w:hint="eastAsia" w:ascii="Times New Roman" w:hAnsi="Times New Roman"/>
                <w:kern w:val="0"/>
                <w:sz w:val="24"/>
                <w:szCs w:val="24"/>
              </w:rPr>
              <w:t>）运营期环境影</w:t>
            </w:r>
          </w:p>
          <w:p>
            <w:pPr>
              <w:pStyle w:val="10"/>
              <w:adjustRightInd w:val="0"/>
              <w:snapToGrid w:val="0"/>
              <w:spacing w:line="360" w:lineRule="auto"/>
              <w:ind w:firstLine="480" w:firstLineChars="200"/>
              <w:rPr>
                <w:sz w:val="24"/>
                <w:szCs w:val="24"/>
              </w:rPr>
            </w:pPr>
            <w:r>
              <w:rPr>
                <w:sz w:val="24"/>
                <w:szCs w:val="24"/>
              </w:rPr>
              <w:t>1</w:t>
            </w:r>
            <w:r>
              <w:rPr>
                <w:rFonts w:hint="eastAsia"/>
                <w:sz w:val="24"/>
                <w:szCs w:val="24"/>
              </w:rPr>
              <w:t>）环境空气影响分析结论</w:t>
            </w:r>
          </w:p>
          <w:p>
            <w:pPr>
              <w:spacing w:line="360" w:lineRule="auto"/>
              <w:ind w:firstLine="480"/>
              <w:rPr>
                <w:rFonts w:ascii="Times New Roman" w:hAnsi="Times New Roman"/>
                <w:sz w:val="24"/>
                <w:szCs w:val="24"/>
              </w:rPr>
            </w:pPr>
            <w:r>
              <w:rPr>
                <w:rFonts w:hint="eastAsia" w:ascii="Times New Roman" w:hAnsi="Times New Roman"/>
                <w:sz w:val="24"/>
                <w:szCs w:val="24"/>
              </w:rPr>
              <w:t>项目废旧塑料挤塑废气经过活性炭</w:t>
            </w:r>
            <w:r>
              <w:rPr>
                <w:rFonts w:ascii="Times New Roman" w:hAnsi="Times New Roman"/>
                <w:sz w:val="24"/>
                <w:szCs w:val="24"/>
              </w:rPr>
              <w:t>+UV</w:t>
            </w:r>
            <w:r>
              <w:rPr>
                <w:rFonts w:hint="eastAsia" w:ascii="Times New Roman" w:hAnsi="Times New Roman"/>
                <w:sz w:val="24"/>
                <w:szCs w:val="24"/>
              </w:rPr>
              <w:t>等离子光氧一体机装置处理后经</w:t>
            </w:r>
            <w:r>
              <w:rPr>
                <w:rFonts w:ascii="Times New Roman" w:hAnsi="Times New Roman"/>
                <w:sz w:val="24"/>
                <w:szCs w:val="24"/>
              </w:rPr>
              <w:t>15m</w:t>
            </w:r>
            <w:r>
              <w:rPr>
                <w:rFonts w:hint="eastAsia" w:ascii="Times New Roman" w:hAnsi="Times New Roman"/>
                <w:sz w:val="24"/>
                <w:szCs w:val="24"/>
              </w:rPr>
              <w:t>排气筒排放</w:t>
            </w:r>
            <w:r>
              <w:rPr>
                <w:rFonts w:hint="eastAsia" w:ascii="Times New Roman" w:hAnsi="Times New Roman"/>
                <w:kern w:val="0"/>
                <w:sz w:val="24"/>
                <w:szCs w:val="24"/>
              </w:rPr>
              <w:t>，</w:t>
            </w:r>
            <w:r>
              <w:rPr>
                <w:rFonts w:hint="eastAsia" w:ascii="Times New Roman" w:hAnsi="Times New Roman"/>
                <w:sz w:val="24"/>
                <w:szCs w:val="24"/>
              </w:rPr>
              <w:t>非甲烷总烃</w:t>
            </w:r>
            <w:r>
              <w:rPr>
                <w:rFonts w:hint="eastAsia" w:ascii="Times New Roman" w:hAnsi="Times New Roman"/>
                <w:kern w:val="0"/>
                <w:sz w:val="24"/>
                <w:szCs w:val="24"/>
              </w:rPr>
              <w:t>及颗粒物排放达到</w:t>
            </w:r>
            <w:r>
              <w:rPr>
                <w:rFonts w:hint="eastAsia" w:ascii="Times New Roman" w:hAnsi="Times New Roman"/>
                <w:sz w:val="24"/>
                <w:szCs w:val="24"/>
              </w:rPr>
              <w:t>《合成树脂工业污染物排放标准》（</w:t>
            </w:r>
            <w:r>
              <w:rPr>
                <w:rFonts w:ascii="Times New Roman" w:hAnsi="Times New Roman"/>
                <w:sz w:val="24"/>
                <w:szCs w:val="24"/>
              </w:rPr>
              <w:t>GB31572-2015</w:t>
            </w:r>
            <w:r>
              <w:rPr>
                <w:rFonts w:hint="eastAsia" w:ascii="Times New Roman" w:hAnsi="Times New Roman"/>
                <w:sz w:val="24"/>
                <w:szCs w:val="24"/>
              </w:rPr>
              <w:t>）表</w:t>
            </w:r>
            <w:r>
              <w:rPr>
                <w:rFonts w:ascii="Times New Roman" w:hAnsi="Times New Roman"/>
                <w:sz w:val="24"/>
                <w:szCs w:val="24"/>
              </w:rPr>
              <w:t>4</w:t>
            </w:r>
            <w:r>
              <w:rPr>
                <w:rFonts w:hint="eastAsia" w:ascii="Times New Roman" w:hAnsi="Times New Roman"/>
                <w:sz w:val="24"/>
                <w:szCs w:val="24"/>
              </w:rPr>
              <w:t>、表</w:t>
            </w:r>
            <w:r>
              <w:rPr>
                <w:rFonts w:ascii="Times New Roman" w:hAnsi="Times New Roman"/>
                <w:sz w:val="24"/>
                <w:szCs w:val="24"/>
              </w:rPr>
              <w:t>9</w:t>
            </w:r>
            <w:r>
              <w:rPr>
                <w:rFonts w:hint="eastAsia" w:ascii="Times New Roman" w:hAnsi="Times New Roman"/>
                <w:sz w:val="24"/>
                <w:szCs w:val="24"/>
              </w:rPr>
              <w:t>规定的大气污染物排放限值；臭气排放《恶臭污染物排放标准》（</w:t>
            </w:r>
            <w:r>
              <w:rPr>
                <w:rFonts w:ascii="Times New Roman" w:hAnsi="Times New Roman"/>
                <w:sz w:val="24"/>
                <w:szCs w:val="24"/>
              </w:rPr>
              <w:t>GB14554-93</w:t>
            </w:r>
            <w:r>
              <w:rPr>
                <w:rFonts w:hint="eastAsia" w:ascii="Times New Roman" w:hAnsi="Times New Roman"/>
                <w:sz w:val="24"/>
                <w:szCs w:val="24"/>
              </w:rPr>
              <w:t>）中的排放限值；根据</w:t>
            </w:r>
            <w:r>
              <w:rPr>
                <w:rFonts w:hint="eastAsia" w:ascii="Times New Roman" w:hAnsi="Times New Roman"/>
                <w:color w:val="000000"/>
                <w:sz w:val="24"/>
                <w:szCs w:val="24"/>
              </w:rPr>
              <w:t>预测结果表明，工程实施后，各项污染物均可达标，不会对周围环境空气质量产生明显污染影响。在落实各项要求的治理措施前提下，对环境空气及敏感保护目标的影响较小。</w:t>
            </w:r>
            <w:r>
              <w:rPr>
                <w:rFonts w:hint="eastAsia" w:ascii="Times New Roman" w:hAnsi="Times New Roman"/>
                <w:sz w:val="24"/>
                <w:szCs w:val="24"/>
              </w:rPr>
              <w:t>另外，建设单位严格按照要求正常运作，必须保证处理设施的正常运转，避免事故排放的发生；一旦出现设备故障，应立即停产检修，禁止事故状态下排放废气，避免对大气环境产生不利影响。</w:t>
            </w:r>
          </w:p>
          <w:p>
            <w:pPr>
              <w:spacing w:line="360" w:lineRule="auto"/>
              <w:ind w:firstLine="720" w:firstLineChars="300"/>
              <w:rPr>
                <w:rFonts w:ascii="Times New Roman" w:hAnsi="Times New Roman"/>
                <w:sz w:val="24"/>
                <w:szCs w:val="24"/>
              </w:rPr>
            </w:pPr>
            <w:r>
              <w:rPr>
                <w:rFonts w:hint="eastAsia" w:ascii="Times New Roman" w:hAnsi="Times New Roman"/>
                <w:sz w:val="24"/>
                <w:szCs w:val="24"/>
              </w:rPr>
              <w:t>破碎工序采用湿法破碎；对原料堆场附近洒落物料等产尘点及时进行清扫，确保厂区干净，以减少对外环境的影响；合理安排生产工艺，减短场内物料的转运距离，降低物料输送落差，减少粉尘产生量；则粉尘对周围环境影响在可承受范围内。项目厨房油烟经油烟净化器处理后能够达到《饮食业油烟排放标准（试行）》（</w:t>
            </w:r>
            <w:r>
              <w:rPr>
                <w:rFonts w:ascii="Times New Roman" w:hAnsi="Times New Roman"/>
                <w:sz w:val="24"/>
                <w:szCs w:val="24"/>
              </w:rPr>
              <w:t>GB18483-2001</w:t>
            </w:r>
            <w:r>
              <w:rPr>
                <w:rFonts w:hint="eastAsia" w:ascii="Times New Roman" w:hAnsi="Times New Roman"/>
                <w:sz w:val="24"/>
                <w:szCs w:val="24"/>
              </w:rPr>
              <w:t>）相关浓度限值</w:t>
            </w:r>
            <w:r>
              <w:rPr>
                <w:rFonts w:ascii="Times New Roman" w:hAnsi="Times New Roman"/>
                <w:sz w:val="24"/>
                <w:szCs w:val="24"/>
              </w:rPr>
              <w:t>2.0mg/m</w:t>
            </w:r>
            <w:r>
              <w:rPr>
                <w:rFonts w:ascii="Times New Roman" w:hAnsi="Times New Roman"/>
                <w:sz w:val="24"/>
                <w:szCs w:val="24"/>
                <w:vertAlign w:val="superscript"/>
              </w:rPr>
              <w:t>3</w:t>
            </w:r>
            <w:r>
              <w:rPr>
                <w:rFonts w:hint="eastAsia" w:ascii="Times New Roman" w:hAnsi="Times New Roman"/>
                <w:sz w:val="24"/>
                <w:szCs w:val="24"/>
              </w:rPr>
              <w:t>的要求，综上所述，建设项目在生产过程中排放的大气污染物通过加强管理、采取上述防治措施后，对周围环境空气质量的影响不大。</w:t>
            </w:r>
          </w:p>
          <w:p>
            <w:pPr>
              <w:pStyle w:val="10"/>
              <w:adjustRightInd w:val="0"/>
              <w:snapToGrid w:val="0"/>
              <w:spacing w:line="360" w:lineRule="auto"/>
              <w:ind w:firstLine="480" w:firstLineChars="200"/>
              <w:rPr>
                <w:sz w:val="24"/>
                <w:szCs w:val="24"/>
              </w:rPr>
            </w:pPr>
            <w:r>
              <w:rPr>
                <w:sz w:val="24"/>
                <w:szCs w:val="24"/>
              </w:rPr>
              <w:t>2</w:t>
            </w:r>
            <w:r>
              <w:rPr>
                <w:rFonts w:hint="eastAsia"/>
                <w:sz w:val="24"/>
                <w:szCs w:val="24"/>
              </w:rPr>
              <w:t>）水环境影响分析结论</w:t>
            </w:r>
          </w:p>
          <w:p>
            <w:pPr>
              <w:pStyle w:val="19"/>
              <w:ind w:firstLine="480" w:firstLineChars="200"/>
              <w:jc w:val="left"/>
              <w:rPr>
                <w:rFonts w:ascii="Times New Roman" w:hAnsi="Times New Roman"/>
                <w:bCs/>
                <w:color w:val="000000"/>
                <w:sz w:val="24"/>
                <w:szCs w:val="24"/>
              </w:rPr>
            </w:pPr>
            <w:r>
              <w:rPr>
                <w:rStyle w:val="65"/>
                <w:rFonts w:hint="eastAsia" w:ascii="Times New Roman" w:hAnsi="Times New Roman"/>
                <w:szCs w:val="24"/>
              </w:rPr>
              <w:t>该项目产生的破碎、</w:t>
            </w:r>
            <w:r>
              <w:rPr>
                <w:rFonts w:hint="eastAsia" w:ascii="Times New Roman" w:hAnsi="Times New Roman"/>
                <w:sz w:val="24"/>
                <w:szCs w:val="24"/>
              </w:rPr>
              <w:t>清洗废水</w:t>
            </w:r>
            <w:bookmarkStart w:id="3" w:name="_Hlk535281101"/>
            <w:r>
              <w:rPr>
                <w:rFonts w:hint="eastAsia" w:ascii="Times New Roman" w:hAnsi="Times New Roman"/>
                <w:bCs/>
                <w:sz w:val="24"/>
                <w:szCs w:val="24"/>
              </w:rPr>
              <w:t>经沉淀池处理后</w:t>
            </w:r>
            <w:r>
              <w:rPr>
                <w:rFonts w:hint="eastAsia" w:ascii="Times New Roman" w:hAnsi="Times New Roman"/>
                <w:sz w:val="24"/>
                <w:szCs w:val="24"/>
              </w:rPr>
              <w:t>回用于废旧塑料的清洗用水</w:t>
            </w:r>
            <w:bookmarkEnd w:id="3"/>
            <w:r>
              <w:rPr>
                <w:rFonts w:hint="eastAsia" w:ascii="Times New Roman" w:hAnsi="Times New Roman"/>
                <w:sz w:val="24"/>
                <w:szCs w:val="24"/>
              </w:rPr>
              <w:t>，不外排；</w:t>
            </w:r>
            <w:r>
              <w:rPr>
                <w:rFonts w:hint="eastAsia" w:ascii="Times New Roman" w:hAnsi="Times New Roman"/>
                <w:bCs/>
                <w:sz w:val="24"/>
                <w:szCs w:val="24"/>
              </w:rPr>
              <w:t>冷却水循环利用，不外排。</w:t>
            </w:r>
            <w:r>
              <w:rPr>
                <w:rFonts w:hint="eastAsia" w:ascii="Times New Roman" w:hAnsi="Times New Roman"/>
                <w:sz w:val="24"/>
                <w:szCs w:val="24"/>
              </w:rPr>
              <w:t>生活污水经隔油池、化粪池处理后用作农家肥施用于周围农田，不外排。</w:t>
            </w:r>
            <w:r>
              <w:rPr>
                <w:rFonts w:hint="eastAsia" w:ascii="Times New Roman" w:hAnsi="Times New Roman"/>
                <w:bCs/>
                <w:color w:val="000000"/>
                <w:sz w:val="24"/>
                <w:szCs w:val="24"/>
              </w:rPr>
              <w:t>因此不会对地表水环境造成影响。</w:t>
            </w:r>
          </w:p>
          <w:p>
            <w:pPr>
              <w:pStyle w:val="10"/>
              <w:adjustRightInd w:val="0"/>
              <w:snapToGrid w:val="0"/>
              <w:spacing w:line="360" w:lineRule="auto"/>
              <w:ind w:firstLine="480" w:firstLineChars="200"/>
              <w:rPr>
                <w:sz w:val="24"/>
                <w:szCs w:val="24"/>
              </w:rPr>
            </w:pPr>
            <w:r>
              <w:rPr>
                <w:sz w:val="24"/>
                <w:szCs w:val="24"/>
              </w:rPr>
              <w:t>3</w:t>
            </w:r>
            <w:r>
              <w:rPr>
                <w:rFonts w:hint="eastAsia"/>
                <w:sz w:val="24"/>
                <w:szCs w:val="24"/>
              </w:rPr>
              <w:t>）声环境影响分析结论</w:t>
            </w:r>
          </w:p>
          <w:p>
            <w:pPr>
              <w:pStyle w:val="63"/>
              <w:adjustRightInd w:val="0"/>
              <w:rPr>
                <w:rFonts w:ascii="Times New Roman" w:hAnsi="Times New Roman" w:cs="Times New Roman"/>
                <w:kern w:val="52"/>
                <w:szCs w:val="24"/>
              </w:rPr>
            </w:pPr>
            <w:r>
              <w:rPr>
                <w:rFonts w:ascii="Times New Roman" w:hAnsi="Times New Roman" w:cs="Times New Roman"/>
                <w:color w:val="000000"/>
                <w:szCs w:val="24"/>
              </w:rPr>
              <w:t xml:space="preserve">  </w:t>
            </w:r>
            <w:r>
              <w:rPr>
                <w:rFonts w:hint="eastAsia" w:ascii="Times New Roman" w:hAnsi="Times New Roman" w:cs="Times New Roman"/>
                <w:color w:val="000000"/>
                <w:szCs w:val="24"/>
              </w:rPr>
              <w:t>昼间、夜间项目厂界噪声等效声级贡献值范围在</w:t>
            </w:r>
            <w:r>
              <w:rPr>
                <w:rFonts w:ascii="Times New Roman" w:hAnsi="Times New Roman" w:cs="Times New Roman"/>
                <w:color w:val="000000"/>
                <w:szCs w:val="24"/>
              </w:rPr>
              <w:t>35.71dB</w:t>
            </w:r>
            <w:r>
              <w:rPr>
                <w:rFonts w:hint="eastAsia" w:ascii="Times New Roman" w:hAnsi="Times New Roman" w:cs="Times New Roman"/>
                <w:color w:val="000000"/>
                <w:szCs w:val="24"/>
              </w:rPr>
              <w:t>（</w:t>
            </w:r>
            <w:r>
              <w:rPr>
                <w:rFonts w:ascii="Times New Roman" w:hAnsi="Times New Roman" w:cs="Times New Roman"/>
                <w:color w:val="000000"/>
                <w:szCs w:val="24"/>
              </w:rPr>
              <w:t>A</w:t>
            </w:r>
            <w:r>
              <w:rPr>
                <w:rFonts w:hint="eastAsia" w:ascii="Times New Roman" w:hAnsi="Times New Roman" w:cs="Times New Roman"/>
                <w:color w:val="000000"/>
                <w:szCs w:val="24"/>
              </w:rPr>
              <w:t>）～</w:t>
            </w:r>
            <w:r>
              <w:rPr>
                <w:rFonts w:ascii="Times New Roman" w:hAnsi="Times New Roman" w:cs="Times New Roman"/>
                <w:color w:val="000000"/>
                <w:szCs w:val="24"/>
              </w:rPr>
              <w:t>49.11dB</w:t>
            </w:r>
            <w:r>
              <w:rPr>
                <w:rFonts w:hint="eastAsia" w:ascii="Times New Roman" w:hAnsi="Times New Roman" w:cs="Times New Roman"/>
                <w:color w:val="000000"/>
                <w:szCs w:val="24"/>
              </w:rPr>
              <w:t>（</w:t>
            </w:r>
            <w:r>
              <w:rPr>
                <w:rFonts w:ascii="Times New Roman" w:hAnsi="Times New Roman" w:cs="Times New Roman"/>
                <w:color w:val="000000"/>
                <w:szCs w:val="24"/>
              </w:rPr>
              <w:t>A</w:t>
            </w:r>
            <w:r>
              <w:rPr>
                <w:rFonts w:hint="eastAsia" w:ascii="Times New Roman" w:hAnsi="Times New Roman" w:cs="Times New Roman"/>
                <w:color w:val="000000"/>
                <w:szCs w:val="24"/>
              </w:rPr>
              <w:t>）之间，各测点等效声级值差别不大，均未超过《工业企业厂界环境噪声排放标准》</w:t>
            </w:r>
            <w:r>
              <w:rPr>
                <w:rFonts w:ascii="Times New Roman" w:hAnsi="Times New Roman" w:cs="Times New Roman"/>
                <w:color w:val="000000"/>
                <w:szCs w:val="24"/>
              </w:rPr>
              <w:t>2</w:t>
            </w:r>
            <w:r>
              <w:rPr>
                <w:rFonts w:hint="eastAsia" w:ascii="Times New Roman" w:hAnsi="Times New Roman" w:cs="Times New Roman"/>
                <w:color w:val="000000"/>
                <w:szCs w:val="24"/>
              </w:rPr>
              <w:t>类昼间标准，即</w:t>
            </w:r>
            <w:r>
              <w:rPr>
                <w:rFonts w:ascii="Times New Roman" w:hAnsi="Times New Roman" w:cs="Times New Roman"/>
                <w:color w:val="000000"/>
                <w:szCs w:val="24"/>
              </w:rPr>
              <w:t>60dB</w:t>
            </w:r>
            <w:r>
              <w:rPr>
                <w:rFonts w:hint="eastAsia" w:ascii="Times New Roman" w:hAnsi="Times New Roman" w:cs="Times New Roman"/>
                <w:color w:val="000000"/>
                <w:szCs w:val="24"/>
              </w:rPr>
              <w:t>（</w:t>
            </w:r>
            <w:r>
              <w:rPr>
                <w:rFonts w:ascii="Times New Roman" w:hAnsi="Times New Roman" w:cs="Times New Roman"/>
                <w:color w:val="000000"/>
                <w:szCs w:val="24"/>
              </w:rPr>
              <w:t>A</w:t>
            </w:r>
            <w:r>
              <w:rPr>
                <w:rFonts w:hint="eastAsia" w:ascii="Times New Roman" w:hAnsi="Times New Roman" w:cs="Times New Roman"/>
                <w:color w:val="000000"/>
                <w:szCs w:val="24"/>
              </w:rPr>
              <w:t>），夜间标准，即</w:t>
            </w:r>
            <w:r>
              <w:rPr>
                <w:rFonts w:ascii="Times New Roman" w:hAnsi="Times New Roman" w:cs="Times New Roman"/>
                <w:color w:val="000000"/>
                <w:szCs w:val="24"/>
              </w:rPr>
              <w:t>50dB</w:t>
            </w:r>
            <w:r>
              <w:rPr>
                <w:rFonts w:hint="eastAsia" w:ascii="Times New Roman" w:hAnsi="Times New Roman" w:cs="Times New Roman"/>
                <w:color w:val="000000"/>
                <w:szCs w:val="24"/>
              </w:rPr>
              <w:t>（</w:t>
            </w:r>
            <w:r>
              <w:rPr>
                <w:rFonts w:ascii="Times New Roman" w:hAnsi="Times New Roman" w:cs="Times New Roman"/>
                <w:color w:val="000000"/>
                <w:szCs w:val="24"/>
              </w:rPr>
              <w:t>A</w:t>
            </w:r>
            <w:r>
              <w:rPr>
                <w:rFonts w:hint="eastAsia" w:ascii="Times New Roman" w:hAnsi="Times New Roman" w:cs="Times New Roman"/>
                <w:color w:val="000000"/>
                <w:szCs w:val="24"/>
              </w:rPr>
              <w:t>）。敏感点广饶坡距离项目</w:t>
            </w:r>
            <w:r>
              <w:rPr>
                <w:rFonts w:ascii="Times New Roman" w:hAnsi="Times New Roman" w:cs="Times New Roman"/>
                <w:color w:val="000000"/>
                <w:szCs w:val="24"/>
              </w:rPr>
              <w:t>650m</w:t>
            </w:r>
            <w:r>
              <w:rPr>
                <w:rFonts w:hint="eastAsia" w:ascii="Times New Roman" w:hAnsi="Times New Roman" w:cs="Times New Roman"/>
                <w:color w:val="000000"/>
                <w:szCs w:val="24"/>
              </w:rPr>
              <w:t>，故本项目运行产生的噪声对敏感点影响较小。</w:t>
            </w:r>
          </w:p>
          <w:p>
            <w:pPr>
              <w:pStyle w:val="10"/>
              <w:adjustRightInd w:val="0"/>
              <w:snapToGrid w:val="0"/>
              <w:spacing w:line="360" w:lineRule="auto"/>
              <w:ind w:firstLine="480" w:firstLineChars="200"/>
              <w:rPr>
                <w:bCs/>
                <w:kern w:val="52"/>
                <w:sz w:val="24"/>
                <w:szCs w:val="24"/>
              </w:rPr>
            </w:pPr>
            <w:r>
              <w:rPr>
                <w:bCs/>
                <w:kern w:val="52"/>
                <w:sz w:val="24"/>
                <w:szCs w:val="24"/>
              </w:rPr>
              <w:t>4</w:t>
            </w:r>
            <w:r>
              <w:rPr>
                <w:rFonts w:hint="eastAsia"/>
                <w:bCs/>
                <w:kern w:val="52"/>
                <w:sz w:val="24"/>
                <w:szCs w:val="24"/>
              </w:rPr>
              <w:t>）</w:t>
            </w:r>
            <w:r>
              <w:rPr>
                <w:rFonts w:hint="eastAsia"/>
                <w:sz w:val="24"/>
                <w:szCs w:val="24"/>
              </w:rPr>
              <w:t>固体废物影响分析结论</w:t>
            </w:r>
          </w:p>
          <w:p>
            <w:pPr>
              <w:autoSpaceDE w:val="0"/>
              <w:autoSpaceDN w:val="0"/>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项目生产过程中产生的不能利用的废塑料和杂物、生活垃圾、泔水、废油脂等一般固体废物，统一收集后定期清运至芒仗街垃圾收集点，最后由环卫部门清运处置；沉淀池及清洗池沉渣经脱水后定期清运至水泥厂作为原料使用。根据《国家危险废物名录》项目产生的废活性炭为危险废物，必须按照危险废物相关标准进行处置，收集后暂存于危险废物暂存间，交由有危废处理资质单位进行处理。通过上述处理措施处理后，本项目可实现固体废物的零排放，因此对环境影响较小。</w:t>
            </w:r>
          </w:p>
          <w:p>
            <w:pPr>
              <w:pStyle w:val="11"/>
              <w:numPr>
                <w:ilvl w:val="0"/>
                <w:numId w:val="2"/>
              </w:numPr>
              <w:spacing w:line="360" w:lineRule="auto"/>
              <w:ind w:firstLine="480" w:firstLineChars="200"/>
              <w:rPr>
                <w:rFonts w:ascii="Times New Roman" w:hAnsi="Times New Roman"/>
                <w:sz w:val="24"/>
                <w:szCs w:val="24"/>
              </w:rPr>
            </w:pPr>
            <w:r>
              <w:rPr>
                <w:rFonts w:hint="eastAsia" w:ascii="Times New Roman" w:hAnsi="Times New Roman"/>
                <w:sz w:val="24"/>
                <w:szCs w:val="24"/>
              </w:rPr>
              <w:t>地下水环境影响分析</w:t>
            </w:r>
            <w:r>
              <w:rPr>
                <w:rFonts w:ascii="Times New Roman" w:hAnsi="Times New Roman"/>
                <w:sz w:val="24"/>
                <w:szCs w:val="24"/>
              </w:rPr>
              <w:t xml:space="preserve"> </w:t>
            </w:r>
          </w:p>
          <w:p>
            <w:pPr>
              <w:pStyle w:val="11"/>
              <w:spacing w:line="360" w:lineRule="auto"/>
              <w:ind w:firstLine="480" w:firstLineChars="200"/>
              <w:rPr>
                <w:rFonts w:ascii="Times New Roman" w:hAnsi="Times New Roman"/>
                <w:kern w:val="0"/>
                <w:sz w:val="24"/>
                <w:szCs w:val="24"/>
              </w:rPr>
            </w:pPr>
            <w:r>
              <w:rPr>
                <w:rFonts w:hint="eastAsia" w:ascii="Times New Roman" w:hAnsi="Times New Roman"/>
                <w:sz w:val="24"/>
                <w:szCs w:val="24"/>
              </w:rPr>
              <w:t>项目产生的破碎、清洗废水经沉淀池处理后回用于废旧塑料的清洗用水，不外排；冷却水循环利用，不外排。生活污水经隔油池、化粪池处理后用作农家肥施用于周围农田，不外排。由污染途径及对应措施分析可知，项目对可能产生地下水影响的场所、设施进行有效预防，采取相应的防渗措施。在确保各项防渗措施得以落实，并加强维护和厂区环境管理的前提下，可有效控制厂区内的废水污染物下渗现象，避免污染地下水，根据调查其他类似行业防渗方法，采取上述措施后，项目不会对区域地下水环境产生明显影响。因此，本工程废水对地下水没有影响。</w:t>
            </w: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widowControl/>
              <w:spacing w:line="360" w:lineRule="auto"/>
              <w:jc w:val="center"/>
              <w:rPr>
                <w:rFonts w:ascii="Times New Roman" w:hAnsi="Times New Roman"/>
                <w:kern w:val="0"/>
                <w:sz w:val="24"/>
                <w:szCs w:val="24"/>
              </w:rPr>
            </w:pPr>
            <w:r>
              <w:rPr>
                <w:rFonts w:hint="eastAsia" w:ascii="Times New Roman" w:hAnsi="Times New Roman"/>
                <w:kern w:val="0"/>
                <w:sz w:val="24"/>
                <w:szCs w:val="24"/>
              </w:rPr>
              <w:t>项目预防及减轻不良环境影响的对策和措施</w:t>
            </w:r>
          </w:p>
        </w:tc>
      </w:tr>
      <w:tr>
        <w:tblPrEx>
          <w:tblCellMar>
            <w:top w:w="0" w:type="dxa"/>
            <w:left w:w="108" w:type="dxa"/>
            <w:bottom w:w="0" w:type="dxa"/>
            <w:right w:w="108" w:type="dxa"/>
          </w:tblCellMar>
        </w:tblPrEx>
        <w:trPr>
          <w:trHeight w:val="4960"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imes New Roman" w:hAnsi="Times New Roman"/>
                <w:b/>
                <w:bCs/>
                <w:kern w:val="0"/>
                <w:sz w:val="24"/>
                <w:szCs w:val="24"/>
              </w:rPr>
            </w:pPr>
            <w:r>
              <w:rPr>
                <w:rFonts w:hint="eastAsia" w:ascii="Times New Roman" w:hAnsi="Times New Roman"/>
                <w:b/>
                <w:bCs/>
                <w:kern w:val="0"/>
                <w:sz w:val="24"/>
                <w:szCs w:val="24"/>
              </w:rPr>
              <w:t>一、施工期防治措施</w:t>
            </w:r>
          </w:p>
          <w:p>
            <w:pPr>
              <w:spacing w:line="360" w:lineRule="auto"/>
              <w:ind w:firstLine="480" w:firstLineChars="200"/>
              <w:rPr>
                <w:rFonts w:ascii="Times New Roman" w:hAnsi="Times New Roman"/>
                <w:sz w:val="24"/>
              </w:rPr>
            </w:pPr>
            <w:r>
              <w:rPr>
                <w:rFonts w:hint="eastAsia" w:ascii="Times New Roman" w:hAnsi="Times New Roman"/>
                <w:sz w:val="24"/>
              </w:rPr>
              <w:t>建设单位于</w:t>
            </w:r>
            <w:r>
              <w:rPr>
                <w:rFonts w:ascii="Times New Roman" w:hAnsi="Times New Roman"/>
                <w:sz w:val="24"/>
              </w:rPr>
              <w:t>2019</w:t>
            </w:r>
            <w:r>
              <w:rPr>
                <w:rFonts w:hint="eastAsia" w:ascii="Times New Roman" w:hAnsi="Times New Roman"/>
                <w:sz w:val="24"/>
              </w:rPr>
              <w:t>年</w:t>
            </w:r>
            <w:r>
              <w:rPr>
                <w:rFonts w:ascii="Times New Roman" w:hAnsi="Times New Roman"/>
                <w:sz w:val="24"/>
              </w:rPr>
              <w:t>4</w:t>
            </w:r>
            <w:r>
              <w:rPr>
                <w:rFonts w:hint="eastAsia" w:ascii="Times New Roman" w:hAnsi="Times New Roman"/>
                <w:sz w:val="24"/>
              </w:rPr>
              <w:t>月同盈江县平原镇芒璋村民委员会上寨村民小组租用本项目地块，此地块为原红盈工贸有限公司的选矿厂；本次施工主要为新增一套塑料颗粒生产线，安装相关设备、规范原料堆放场地、改造生产废水沉淀池、设置有机废气处理装置、设置机修车间及危废间等；施工工作量不大，为局部施工；项目施工时将产生粉尘、噪声、废水及固废等各类污染物。</w:t>
            </w:r>
          </w:p>
          <w:p>
            <w:pPr>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、废气</w:t>
            </w:r>
          </w:p>
          <w:p>
            <w:pPr>
              <w:pStyle w:val="12"/>
              <w:spacing w:line="360" w:lineRule="auto"/>
              <w:ind w:firstLineChars="200"/>
              <w:rPr>
                <w:rFonts w:ascii="Times New Roman" w:hAnsi="Times New Roman"/>
              </w:rPr>
            </w:pPr>
            <w:r>
              <w:rPr>
                <w:rFonts w:hint="eastAsia" w:ascii="Times New Roman" w:hAnsi="Times New Roman"/>
              </w:rPr>
              <w:t>施工单位加强施工区的规划管理，并用蓬布遮盖建筑材料；对施工现场进行科学管理，对原材料进行覆盖，原材料的堆放争取一步到位，减少搬运次数。水泥应设专门库房堆放，搬运时轻举轻放，防止包装袋破裂；</w:t>
            </w:r>
            <w:r>
              <w:rPr>
                <w:rFonts w:hint="eastAsia" w:ascii="Times New Roman" w:hAnsi="Times New Roman"/>
                <w:szCs w:val="24"/>
              </w:rPr>
              <w:t>运输车辆严禁超载及对运输车辆进行清理。</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、废水</w:t>
            </w:r>
          </w:p>
          <w:p>
            <w:pPr>
              <w:spacing w:line="360" w:lineRule="auto"/>
              <w:ind w:firstLine="480" w:firstLineChars="200"/>
            </w:pPr>
            <w:r>
              <w:rPr>
                <w:rFonts w:hint="eastAsia" w:ascii="Times New Roman" w:hAnsi="Times New Roman"/>
                <w:sz w:val="24"/>
                <w:szCs w:val="24"/>
              </w:rPr>
              <w:t>项目施工期废水经污水收集桶沉淀后用于施工场地降尘，不外排，对环境的影响较小；施工人员生活污水经污水收集桶沉淀后用于施工场地降尘，不外排。</w:t>
            </w:r>
          </w:p>
          <w:p>
            <w:pPr>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、噪声</w:t>
            </w:r>
          </w:p>
          <w:p>
            <w:pPr>
              <w:pStyle w:val="11"/>
              <w:spacing w:line="360" w:lineRule="auto"/>
              <w:ind w:firstLine="480" w:firstLineChars="200"/>
              <w:rPr>
                <w:rFonts w:ascii="Times New Roman" w:hAnsi="Times New Roman"/>
                <w:sz w:val="24"/>
                <w:szCs w:val="24"/>
              </w:rPr>
            </w:pPr>
            <w:r>
              <w:rPr>
                <w:rFonts w:hint="eastAsia" w:ascii="Times New Roman" w:hAnsi="Times New Roman"/>
                <w:sz w:val="24"/>
                <w:szCs w:val="24"/>
              </w:rPr>
              <w:t>采取合理的施工方式，优先选用低噪声的施工设备，减少高噪声设备机械的同时运行。减少碰撞噪声；减少人为噪声；对位置相对固定的机械设备；对动力机械设备进行定期的维修、养护，进行建筑施工工地的环境保护管理。</w:t>
            </w:r>
          </w:p>
          <w:p>
            <w:pPr>
              <w:spacing w:line="360" w:lineRule="auto"/>
              <w:ind w:firstLine="480" w:firstLineChars="200"/>
              <w:rPr>
                <w:rFonts w:ascii="Times New Roman" w:hAnsi="Times New Roman"/>
                <w:sz w:val="24"/>
              </w:rPr>
            </w:pPr>
            <w:r>
              <w:rPr>
                <w:rFonts w:ascii="Times New Roman" w:hAnsi="Times New Roman"/>
                <w:sz w:val="24"/>
                <w:szCs w:val="24"/>
              </w:rPr>
              <w:t>4</w:t>
            </w:r>
            <w:r>
              <w:rPr>
                <w:rFonts w:hint="eastAsia" w:ascii="Times New Roman" w:hAnsi="Times New Roman"/>
                <w:sz w:val="24"/>
                <w:szCs w:val="24"/>
              </w:rPr>
              <w:t>、固废</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建筑垃圾收集后清运至建筑管理部门指定堆放点，其中可再生利用部分回收出售给废品站，严禁随意丢弃；施工人员生活垃圾</w:t>
            </w:r>
            <w:r>
              <w:rPr>
                <w:rFonts w:hint="eastAsia" w:ascii="Times New Roman" w:hAnsi="Times New Roman"/>
                <w:bCs/>
                <w:sz w:val="24"/>
                <w:szCs w:val="24"/>
              </w:rPr>
              <w:t>集中收集后定期清运至芒仗街垃圾收集点，最后由环卫部门清运处置</w:t>
            </w:r>
            <w:r>
              <w:rPr>
                <w:rFonts w:hint="eastAsia" w:ascii="Times New Roman" w:hAnsi="Times New Roman"/>
                <w:sz w:val="24"/>
                <w:szCs w:val="24"/>
              </w:rPr>
              <w:t>。</w:t>
            </w:r>
          </w:p>
          <w:p>
            <w:pPr>
              <w:widowControl/>
              <w:spacing w:line="360" w:lineRule="auto"/>
              <w:rPr>
                <w:rFonts w:ascii="Times New Roman" w:hAnsi="Times New Roman"/>
                <w:b/>
                <w:bCs/>
                <w:sz w:val="24"/>
                <w:szCs w:val="24"/>
              </w:rPr>
            </w:pPr>
            <w:r>
              <w:rPr>
                <w:rFonts w:hint="eastAsia" w:ascii="Times New Roman" w:hAnsi="Times New Roman"/>
                <w:b/>
                <w:bCs/>
                <w:kern w:val="0"/>
                <w:sz w:val="24"/>
                <w:szCs w:val="24"/>
              </w:rPr>
              <w:t>二、运营期防治措施</w:t>
            </w:r>
          </w:p>
          <w:p>
            <w:pPr>
              <w:adjustRightInd w:val="0"/>
              <w:snapToGrid w:val="0"/>
              <w:spacing w:line="360" w:lineRule="auto"/>
              <w:rPr>
                <w:rFonts w:ascii="Times New Roman" w:hAnsi="Times New Roman"/>
                <w:b/>
                <w:sz w:val="24"/>
              </w:rPr>
            </w:pPr>
            <w:r>
              <w:rPr>
                <w:rFonts w:ascii="Times New Roman" w:hAnsi="Times New Roman"/>
                <w:b/>
                <w:sz w:val="24"/>
              </w:rPr>
              <w:t>1</w:t>
            </w:r>
            <w:r>
              <w:rPr>
                <w:rFonts w:hint="eastAsia" w:ascii="Times New Roman" w:hAnsi="Times New Roman"/>
                <w:b/>
                <w:sz w:val="24"/>
              </w:rPr>
              <w:t>、大气污染防治措施</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1</w:t>
            </w:r>
            <w:r>
              <w:rPr>
                <w:rFonts w:hint="eastAsia" w:ascii="Times New Roman" w:hAnsi="Times New Roman"/>
                <w:bCs/>
                <w:sz w:val="24"/>
              </w:rPr>
              <w:t>）有组织废气</w:t>
            </w:r>
            <w:r>
              <w:rPr>
                <w:rFonts w:ascii="Times New Roman" w:hAnsi="Times New Roman"/>
                <w:bCs/>
                <w:sz w:val="24"/>
              </w:rPr>
              <w:t xml:space="preserve"> </w:t>
            </w:r>
            <w:r>
              <w:rPr>
                <w:rFonts w:hint="eastAsia" w:ascii="Times New Roman" w:hAnsi="Times New Roman"/>
                <w:bCs/>
                <w:sz w:val="24"/>
              </w:rPr>
              <w:t>（非甲烷总烃、颗粒物、臭气）产生源主要为单螺杆挤出机在塑料熔融拉丝过程中产生的</w:t>
            </w:r>
            <w:r>
              <w:rPr>
                <w:rFonts w:ascii="Times New Roman" w:hAnsi="Times New Roman"/>
                <w:bCs/>
                <w:sz w:val="24"/>
              </w:rPr>
              <w:t>NMHC</w:t>
            </w:r>
            <w:r>
              <w:rPr>
                <w:rFonts w:hint="eastAsia" w:ascii="Times New Roman" w:hAnsi="Times New Roman"/>
                <w:bCs/>
                <w:sz w:val="24"/>
              </w:rPr>
              <w:t>气体，经活性炭</w:t>
            </w:r>
            <w:r>
              <w:rPr>
                <w:rFonts w:ascii="Times New Roman" w:hAnsi="Times New Roman"/>
                <w:bCs/>
                <w:sz w:val="24"/>
              </w:rPr>
              <w:t>+UV</w:t>
            </w:r>
            <w:r>
              <w:rPr>
                <w:rFonts w:hint="eastAsia" w:ascii="Times New Roman" w:hAnsi="Times New Roman"/>
                <w:bCs/>
                <w:sz w:val="24"/>
              </w:rPr>
              <w:t>等离子光氧一体机装置</w:t>
            </w:r>
            <w:r>
              <w:rPr>
                <w:rFonts w:ascii="Times New Roman" w:hAnsi="Times New Roman"/>
                <w:bCs/>
                <w:sz w:val="24"/>
              </w:rPr>
              <w:t>”</w:t>
            </w:r>
            <w:r>
              <w:rPr>
                <w:rFonts w:hint="eastAsia" w:ascii="Times New Roman" w:hAnsi="Times New Roman"/>
                <w:bCs/>
                <w:sz w:val="24"/>
              </w:rPr>
              <w:t>设备处理挤塑废气，处理后经</w:t>
            </w:r>
            <w:r>
              <w:rPr>
                <w:rFonts w:ascii="Times New Roman" w:hAnsi="Times New Roman"/>
                <w:bCs/>
                <w:sz w:val="24"/>
              </w:rPr>
              <w:t>15m</w:t>
            </w:r>
            <w:r>
              <w:rPr>
                <w:rFonts w:hint="eastAsia" w:ascii="Times New Roman" w:hAnsi="Times New Roman"/>
                <w:bCs/>
                <w:sz w:val="24"/>
              </w:rPr>
              <w:t>高排气筒排放。</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2</w:t>
            </w:r>
            <w:r>
              <w:rPr>
                <w:rFonts w:hint="eastAsia" w:ascii="Times New Roman" w:hAnsi="Times New Roman"/>
                <w:bCs/>
                <w:sz w:val="24"/>
              </w:rPr>
              <w:t>）无组织废气</w:t>
            </w:r>
            <w:r>
              <w:rPr>
                <w:rFonts w:ascii="Times New Roman" w:hAnsi="Times New Roman"/>
                <w:bCs/>
                <w:sz w:val="24"/>
              </w:rPr>
              <w:t xml:space="preserve"> </w:t>
            </w:r>
            <w:r>
              <w:rPr>
                <w:rFonts w:hint="eastAsia" w:ascii="Times New Roman" w:hAnsi="Times New Roman"/>
                <w:bCs/>
                <w:sz w:val="24"/>
              </w:rPr>
              <w:t>（非甲烷总烃、颗粒物、臭气）车间内约有</w:t>
            </w:r>
            <w:r>
              <w:rPr>
                <w:rFonts w:ascii="Times New Roman" w:hAnsi="Times New Roman"/>
                <w:bCs/>
                <w:sz w:val="24"/>
              </w:rPr>
              <w:t>10%</w:t>
            </w:r>
            <w:r>
              <w:rPr>
                <w:rFonts w:hint="eastAsia" w:ascii="Times New Roman" w:hAnsi="Times New Roman"/>
                <w:bCs/>
                <w:sz w:val="24"/>
              </w:rPr>
              <w:t>的非甲烷总烃和颗粒物未经集气设备收集，可采取机械通风装置加强车间通风装置，保持车间内空气流通；控制熔融炉温度，避免熔融温度过高，减少有机废气的挥发。</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3</w:t>
            </w:r>
            <w:r>
              <w:rPr>
                <w:rFonts w:hint="eastAsia" w:ascii="Times New Roman" w:hAnsi="Times New Roman"/>
                <w:bCs/>
                <w:sz w:val="24"/>
              </w:rPr>
              <w:t>）废旧塑料先采用人工分拣分类的方式将有用的废塑料与其他泥沙和不用的废塑料分离开，原料堆场为半封闭结构，粉尘呈无组织排放，产生量小。另外，废旧塑料破碎采用水喷淋破碎工艺，破碎过程基本无粉尘产生。</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4</w:t>
            </w:r>
            <w:r>
              <w:rPr>
                <w:rFonts w:hint="eastAsia" w:ascii="Times New Roman" w:hAnsi="Times New Roman"/>
                <w:bCs/>
                <w:sz w:val="24"/>
              </w:rPr>
              <w:t>）项目厨房油烟经一套净化效率大于</w:t>
            </w:r>
            <w:r>
              <w:rPr>
                <w:rFonts w:ascii="Times New Roman" w:hAnsi="Times New Roman"/>
                <w:bCs/>
                <w:sz w:val="24"/>
              </w:rPr>
              <w:t>60%</w:t>
            </w:r>
            <w:r>
              <w:rPr>
                <w:rFonts w:hint="eastAsia" w:ascii="Times New Roman" w:hAnsi="Times New Roman"/>
                <w:bCs/>
                <w:sz w:val="24"/>
              </w:rPr>
              <w:t>，油烟净化器，处理后排放，项目厨房餐饮废气对周边环境影响不大。</w:t>
            </w:r>
          </w:p>
          <w:p>
            <w:pPr>
              <w:adjustRightInd w:val="0"/>
              <w:snapToGrid w:val="0"/>
              <w:spacing w:line="360" w:lineRule="auto"/>
              <w:rPr>
                <w:rFonts w:ascii="Times New Roman" w:hAnsi="Times New Roman"/>
                <w:b/>
                <w:sz w:val="24"/>
              </w:rPr>
            </w:pPr>
            <w:r>
              <w:rPr>
                <w:rFonts w:ascii="Times New Roman" w:hAnsi="Times New Roman"/>
                <w:b/>
                <w:sz w:val="24"/>
              </w:rPr>
              <w:t>2</w:t>
            </w:r>
            <w:r>
              <w:rPr>
                <w:rFonts w:hint="eastAsia" w:ascii="Times New Roman" w:hAnsi="Times New Roman"/>
                <w:b/>
                <w:sz w:val="24"/>
              </w:rPr>
              <w:t>、水污染防治措施</w:t>
            </w:r>
          </w:p>
          <w:p>
            <w:pPr>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1</w:t>
            </w:r>
            <w:r>
              <w:rPr>
                <w:rFonts w:hint="eastAsia" w:ascii="Times New Roman" w:hAnsi="Times New Roman"/>
                <w:bCs/>
                <w:sz w:val="24"/>
              </w:rPr>
              <w:t>）项目破碎、清洗过程不添加任何清洗剂进行清洗，因此该清洗废水主要污染物为</w:t>
            </w:r>
            <w:r>
              <w:rPr>
                <w:rFonts w:ascii="Times New Roman" w:hAnsi="Times New Roman"/>
                <w:bCs/>
                <w:sz w:val="24"/>
              </w:rPr>
              <w:t>SS</w:t>
            </w:r>
            <w:r>
              <w:rPr>
                <w:rFonts w:hint="eastAsia" w:ascii="Times New Roman" w:hAnsi="Times New Roman"/>
                <w:bCs/>
                <w:sz w:val="24"/>
              </w:rPr>
              <w:t>，破碎、清洗废水通过厂内</w:t>
            </w:r>
            <w:r>
              <w:rPr>
                <w:rFonts w:ascii="Times New Roman" w:hAnsi="Times New Roman"/>
                <w:bCs/>
                <w:sz w:val="24"/>
              </w:rPr>
              <w:t>6</w:t>
            </w:r>
            <w:r>
              <w:rPr>
                <w:rFonts w:hint="eastAsia" w:ascii="Times New Roman" w:hAnsi="Times New Roman"/>
                <w:bCs/>
                <w:sz w:val="24"/>
              </w:rPr>
              <w:t>级沉淀池处理后循环利用，清洗废水不外排。</w:t>
            </w:r>
          </w:p>
          <w:p>
            <w:pPr>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2</w:t>
            </w:r>
            <w:r>
              <w:rPr>
                <w:rFonts w:hint="eastAsia" w:ascii="Times New Roman" w:hAnsi="Times New Roman"/>
                <w:bCs/>
                <w:sz w:val="24"/>
              </w:rPr>
              <w:t>）冷却系统在冷却过程中仅水温升高，水质与原水差异不大，经冷却水池自然降温后循环使用不外排。</w:t>
            </w:r>
          </w:p>
          <w:p>
            <w:pPr>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3</w:t>
            </w:r>
            <w:r>
              <w:rPr>
                <w:rFonts w:hint="eastAsia" w:ascii="Times New Roman" w:hAnsi="Times New Roman"/>
                <w:bCs/>
                <w:sz w:val="24"/>
              </w:rPr>
              <w:t>）环评要求建设单位应将生产场地全部防渗硬化处理，厂内水道全部防渗硬化处理，每个清洗点均设废水收集水道，同时合理设计集水、排水道。</w:t>
            </w:r>
          </w:p>
          <w:p>
            <w:pPr>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4</w:t>
            </w:r>
            <w:r>
              <w:rPr>
                <w:rFonts w:hint="eastAsia" w:ascii="Times New Roman" w:hAnsi="Times New Roman"/>
                <w:bCs/>
                <w:sz w:val="24"/>
              </w:rPr>
              <w:t>）该项目职工均来自当地，生活办公区设有食堂、卫生间，生活污水经油水分离器、化粪池处理后作为农家肥施用，不外排。</w:t>
            </w:r>
          </w:p>
          <w:p>
            <w:pPr>
              <w:spacing w:line="360" w:lineRule="auto"/>
              <w:rPr>
                <w:rFonts w:ascii="Times New Roman" w:hAnsi="Times New Roman"/>
                <w:b/>
                <w:sz w:val="24"/>
              </w:rPr>
            </w:pPr>
            <w:r>
              <w:rPr>
                <w:rFonts w:ascii="Times New Roman" w:hAnsi="Times New Roman"/>
                <w:b/>
                <w:sz w:val="24"/>
              </w:rPr>
              <w:t>3</w:t>
            </w:r>
            <w:r>
              <w:rPr>
                <w:rFonts w:hint="eastAsia" w:ascii="Times New Roman" w:hAnsi="Times New Roman"/>
                <w:b/>
                <w:sz w:val="24"/>
              </w:rPr>
              <w:t>、噪声污染防治措施</w:t>
            </w:r>
          </w:p>
          <w:p>
            <w:pPr>
              <w:tabs>
                <w:tab w:val="left" w:pos="0"/>
              </w:tabs>
              <w:spacing w:line="460" w:lineRule="exact"/>
              <w:ind w:firstLine="480"/>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1</w:t>
            </w:r>
            <w:r>
              <w:rPr>
                <w:rFonts w:hint="eastAsia" w:ascii="Times New Roman" w:hAnsi="Times New Roman"/>
                <w:color w:val="000000"/>
                <w:sz w:val="24"/>
                <w:szCs w:val="24"/>
              </w:rPr>
              <w:t>）在气体进出口部位安装适当的消声器，消声器的选择应注意噪声源的频率特性、设备的工艺要求和使用环境，对具有中、高频特性的风机，应采用阻性消声器，而对于具有低、中频特性的空压机噪声。</w:t>
            </w:r>
          </w:p>
          <w:p>
            <w:pPr>
              <w:tabs>
                <w:tab w:val="left" w:pos="0"/>
              </w:tabs>
              <w:spacing w:line="460" w:lineRule="exact"/>
              <w:ind w:firstLine="480"/>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2</w:t>
            </w:r>
            <w:r>
              <w:rPr>
                <w:rFonts w:hint="eastAsia" w:ascii="Times New Roman" w:hAnsi="Times New Roman"/>
                <w:color w:val="000000"/>
                <w:sz w:val="24"/>
                <w:szCs w:val="24"/>
              </w:rPr>
              <w:t>）安装减振基座、减振基础等设施，进出口等连接处采用柔性接头。</w:t>
            </w:r>
          </w:p>
          <w:p>
            <w:pPr>
              <w:tabs>
                <w:tab w:val="left" w:pos="0"/>
              </w:tabs>
              <w:spacing w:line="460" w:lineRule="exact"/>
              <w:ind w:firstLine="480"/>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3</w:t>
            </w:r>
            <w:r>
              <w:rPr>
                <w:rFonts w:hint="eastAsia" w:ascii="Times New Roman" w:hAnsi="Times New Roman"/>
                <w:color w:val="000000"/>
                <w:sz w:val="24"/>
                <w:szCs w:val="24"/>
              </w:rPr>
              <w:t>）重视绿化工作也是噪声防治的一项积极措施。绿化不仅可以美化环境、调节气候，而且还可阻滞噪声传播、吸收尘等污染物，减轻污染。工程应根据当地的气候特点，选取适宜当地生产的树种，种植于高噪声源及厂界四周。</w:t>
            </w:r>
          </w:p>
          <w:p>
            <w:pPr>
              <w:spacing w:line="360" w:lineRule="auto"/>
              <w:ind w:firstLine="480" w:firstLineChars="200"/>
              <w:jc w:val="left"/>
              <w:rPr>
                <w:rFonts w:ascii="Times New Roman" w:hAnsi="Times New Roman"/>
              </w:rPr>
            </w:pPr>
            <w:r>
              <w:rPr>
                <w:rFonts w:hint="eastAsia" w:ascii="Times New Roman" w:hAnsi="Times New Roman"/>
                <w:sz w:val="24"/>
                <w:szCs w:val="24"/>
              </w:rPr>
              <w:t>（</w:t>
            </w:r>
            <w:r>
              <w:rPr>
                <w:rFonts w:ascii="Times New Roman" w:hAnsi="Times New Roman"/>
                <w:sz w:val="24"/>
                <w:szCs w:val="24"/>
              </w:rPr>
              <w:t>4</w:t>
            </w:r>
            <w:r>
              <w:rPr>
                <w:rFonts w:hint="eastAsia" w:ascii="Times New Roman" w:hAnsi="Times New Roman"/>
                <w:sz w:val="24"/>
                <w:szCs w:val="24"/>
              </w:rPr>
              <w:t>）加强项目区车辆管理，做到人车</w:t>
            </w:r>
            <w:r>
              <w:rPr>
                <w:rFonts w:hint="eastAsia" w:ascii="Times New Roman" w:hAnsi="Times New Roman"/>
                <w:sz w:val="24"/>
              </w:rPr>
              <w:t>分流，道路设置禁鸣标志，禁止汽车在区内鸣号，车主应服从管理，遵守项目内停车时间和禁鸣规定。</w:t>
            </w:r>
          </w:p>
          <w:p>
            <w:pPr>
              <w:adjustRightInd w:val="0"/>
              <w:snapToGrid w:val="0"/>
              <w:spacing w:line="360" w:lineRule="auto"/>
              <w:rPr>
                <w:rFonts w:ascii="Times New Roman" w:hAnsi="Times New Roman"/>
                <w:b/>
                <w:sz w:val="24"/>
              </w:rPr>
            </w:pPr>
            <w:r>
              <w:rPr>
                <w:rFonts w:ascii="Times New Roman" w:hAnsi="Times New Roman"/>
                <w:b/>
                <w:sz w:val="24"/>
              </w:rPr>
              <w:t>4</w:t>
            </w:r>
            <w:r>
              <w:rPr>
                <w:rFonts w:hint="eastAsia" w:ascii="Times New Roman" w:hAnsi="Times New Roman"/>
                <w:b/>
                <w:sz w:val="24"/>
              </w:rPr>
              <w:t>、固体废弃物防治措施</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1</w:t>
            </w:r>
            <w:r>
              <w:rPr>
                <w:rFonts w:hint="eastAsia" w:ascii="Times New Roman" w:hAnsi="Times New Roman"/>
                <w:bCs/>
                <w:sz w:val="24"/>
              </w:rPr>
              <w:t>）项目生产过程中产生的不能利用的废塑料和杂物、生活垃圾、泔水、废油脂等一般固体废物，统一收集后定期清运至芒仗街垃圾收集点，最后由环卫部门清运处置；</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2</w:t>
            </w:r>
            <w:r>
              <w:rPr>
                <w:rFonts w:hint="eastAsia" w:ascii="Times New Roman" w:hAnsi="Times New Roman"/>
                <w:bCs/>
                <w:sz w:val="24"/>
              </w:rPr>
              <w:t>）沉淀池及清洗池沉渣经脱水后定期清运至水泥厂作为原料使用。</w:t>
            </w:r>
          </w:p>
          <w:p>
            <w:pPr>
              <w:adjustRightInd w:val="0"/>
              <w:snapToGrid w:val="0"/>
              <w:spacing w:line="360" w:lineRule="auto"/>
              <w:ind w:firstLine="480" w:firstLineChars="200"/>
              <w:rPr>
                <w:rFonts w:ascii="Times New Roman" w:hAnsi="Times New Roman"/>
                <w:kern w:val="0"/>
                <w:sz w:val="24"/>
                <w:szCs w:val="24"/>
              </w:rPr>
            </w:pPr>
            <w:r>
              <w:rPr>
                <w:rFonts w:hint="eastAsia" w:ascii="Times New Roman" w:hAnsi="Times New Roman"/>
                <w:bCs/>
                <w:sz w:val="24"/>
              </w:rPr>
              <w:t>（</w:t>
            </w:r>
            <w:r>
              <w:rPr>
                <w:rFonts w:ascii="Times New Roman" w:hAnsi="Times New Roman"/>
                <w:bCs/>
                <w:sz w:val="24"/>
              </w:rPr>
              <w:t>3</w:t>
            </w:r>
            <w:r>
              <w:rPr>
                <w:rFonts w:hint="eastAsia" w:ascii="Times New Roman" w:hAnsi="Times New Roman"/>
                <w:bCs/>
                <w:sz w:val="24"/>
              </w:rPr>
              <w:t>）根据《国家危险废物名录》项目产生的废活性炭为危险废物，必须按照危险废物相关标准进行处置，收集后暂存于危险废物暂存间，交由有危废处理资质单位进行处理。</w:t>
            </w: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widowControl/>
              <w:spacing w:line="360" w:lineRule="auto"/>
              <w:jc w:val="center"/>
              <w:rPr>
                <w:rFonts w:ascii="Times New Roman" w:hAnsi="Times New Roman"/>
                <w:kern w:val="0"/>
                <w:sz w:val="24"/>
                <w:szCs w:val="24"/>
              </w:rPr>
            </w:pPr>
            <w:r>
              <w:rPr>
                <w:rFonts w:hint="eastAsia" w:ascii="Times New Roman" w:hAnsi="Times New Roman"/>
                <w:kern w:val="0"/>
                <w:sz w:val="24"/>
                <w:szCs w:val="24"/>
              </w:rPr>
              <w:t>公众参与情况</w:t>
            </w:r>
          </w:p>
        </w:tc>
      </w:tr>
      <w:tr>
        <w:tblPrEx>
          <w:tblCellMar>
            <w:top w:w="0" w:type="dxa"/>
            <w:left w:w="108" w:type="dxa"/>
            <w:bottom w:w="0" w:type="dxa"/>
            <w:right w:w="108" w:type="dxa"/>
          </w:tblCellMar>
        </w:tblPrEx>
        <w:trPr>
          <w:trHeight w:val="651"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kern w:val="0"/>
                <w:sz w:val="24"/>
                <w:szCs w:val="24"/>
              </w:rPr>
            </w:pPr>
            <w:r>
              <w:rPr>
                <w:rFonts w:hint="eastAsia" w:ascii="Times New Roman" w:hAnsi="Times New Roman"/>
                <w:kern w:val="0"/>
                <w:sz w:val="24"/>
                <w:szCs w:val="24"/>
              </w:rPr>
              <w:t>在公众参与公告、网上公示期间，未收到公众对本项目建设中有关环境问题的任何意见和建议。回收的公众参与调查表公众调查结果表明：</w:t>
            </w:r>
            <w:r>
              <w:rPr>
                <w:rFonts w:ascii="Times New Roman" w:hAnsi="Times New Roman"/>
                <w:kern w:val="0"/>
                <w:sz w:val="24"/>
                <w:szCs w:val="24"/>
              </w:rPr>
              <w:t>100%</w:t>
            </w:r>
            <w:r>
              <w:rPr>
                <w:rFonts w:hint="eastAsia" w:ascii="Times New Roman" w:hAnsi="Times New Roman"/>
                <w:kern w:val="0"/>
                <w:sz w:val="24"/>
                <w:szCs w:val="24"/>
              </w:rPr>
              <w:t>的公众对建设项目持赞同意见。</w:t>
            </w:r>
          </w:p>
        </w:tc>
      </w:tr>
      <w:tr>
        <w:tblPrEx>
          <w:tblCellMar>
            <w:top w:w="0" w:type="dxa"/>
            <w:left w:w="108" w:type="dxa"/>
            <w:bottom w:w="0" w:type="dxa"/>
            <w:right w:w="108" w:type="dxa"/>
          </w:tblCellMar>
        </w:tblPrEx>
        <w:trPr>
          <w:trHeight w:val="855" w:hRule="atLeast"/>
        </w:trPr>
        <w:tc>
          <w:tcPr>
            <w:tcW w:w="3220" w:type="dxa"/>
            <w:gridSpan w:val="3"/>
            <w:tcBorders>
              <w:top w:val="single" w:color="auto" w:sz="4" w:space="0"/>
              <w:left w:val="single" w:color="auto" w:sz="4" w:space="0"/>
              <w:bottom w:val="single" w:color="auto" w:sz="4" w:space="0"/>
              <w:right w:val="single" w:color="auto" w:sz="4" w:space="0"/>
            </w:tcBorders>
            <w:shd w:val="clear" w:color="000000" w:fill="C0C0C0"/>
            <w:vAlign w:val="center"/>
          </w:tcPr>
          <w:p>
            <w:pPr>
              <w:widowControl/>
              <w:spacing w:line="360" w:lineRule="auto"/>
              <w:jc w:val="left"/>
              <w:rPr>
                <w:rFonts w:ascii="Times New Roman" w:hAnsi="Times New Roman"/>
                <w:kern w:val="0"/>
                <w:sz w:val="24"/>
                <w:szCs w:val="24"/>
              </w:rPr>
            </w:pPr>
            <w:r>
              <w:rPr>
                <w:rFonts w:hint="eastAsia" w:ascii="Times New Roman" w:hAnsi="Times New Roman"/>
                <w:kern w:val="0"/>
                <w:sz w:val="24"/>
                <w:szCs w:val="24"/>
              </w:rPr>
              <w:t>建设单位或地方政府所作出的相关承诺文件</w:t>
            </w:r>
          </w:p>
        </w:tc>
        <w:tc>
          <w:tcPr>
            <w:tcW w:w="5762" w:type="dxa"/>
            <w:gridSpan w:val="4"/>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kern w:val="0"/>
                <w:sz w:val="24"/>
                <w:szCs w:val="24"/>
              </w:rPr>
            </w:pPr>
            <w:r>
              <w:rPr>
                <w:rFonts w:hint="eastAsia" w:ascii="Times New Roman" w:hAnsi="Times New Roman"/>
                <w:kern w:val="0"/>
                <w:sz w:val="24"/>
                <w:szCs w:val="24"/>
              </w:rPr>
              <w:t>关于《盈江县黎涛塑料加工厂建设项目环境影响报告书》全文公示的情况说明　</w:t>
            </w:r>
          </w:p>
        </w:tc>
      </w:tr>
      <w:tr>
        <w:tblPrEx>
          <w:tblCellMar>
            <w:top w:w="0" w:type="dxa"/>
            <w:left w:w="108" w:type="dxa"/>
            <w:bottom w:w="0" w:type="dxa"/>
            <w:right w:w="108" w:type="dxa"/>
          </w:tblCellMar>
        </w:tblPrEx>
        <w:trPr>
          <w:trHeight w:val="855" w:hRule="atLeast"/>
        </w:trPr>
        <w:tc>
          <w:tcPr>
            <w:tcW w:w="8982" w:type="dxa"/>
            <w:gridSpan w:val="7"/>
            <w:tcBorders>
              <w:top w:val="single" w:color="auto" w:sz="4" w:space="0"/>
              <w:left w:val="single" w:color="auto" w:sz="4" w:space="0"/>
              <w:bottom w:val="single" w:color="auto" w:sz="4" w:space="0"/>
              <w:right w:val="single" w:color="000000" w:sz="4" w:space="0"/>
            </w:tcBorders>
            <w:shd w:val="clear" w:color="000000" w:fill="C0C0C0"/>
            <w:vAlign w:val="center"/>
          </w:tcPr>
          <w:p>
            <w:pPr>
              <w:widowControl/>
              <w:spacing w:line="360" w:lineRule="auto"/>
              <w:jc w:val="center"/>
              <w:rPr>
                <w:rFonts w:ascii="Times New Roman" w:hAnsi="Times New Roman"/>
                <w:kern w:val="0"/>
                <w:sz w:val="24"/>
                <w:szCs w:val="24"/>
              </w:rPr>
            </w:pPr>
            <w:r>
              <w:rPr>
                <w:rFonts w:hint="eastAsia" w:ascii="Times New Roman" w:hAnsi="Times New Roman"/>
                <w:kern w:val="0"/>
                <w:sz w:val="24"/>
                <w:szCs w:val="24"/>
              </w:rPr>
              <w:t>拟审批意见</w:t>
            </w:r>
          </w:p>
        </w:tc>
      </w:tr>
      <w:tr>
        <w:tblPrEx>
          <w:tblCellMar>
            <w:top w:w="0" w:type="dxa"/>
            <w:left w:w="108" w:type="dxa"/>
            <w:bottom w:w="0" w:type="dxa"/>
            <w:right w:w="108" w:type="dxa"/>
          </w:tblCellMar>
        </w:tblPrEx>
        <w:trPr>
          <w:trHeight w:val="675" w:hRule="atLeast"/>
        </w:trPr>
        <w:tc>
          <w:tcPr>
            <w:tcW w:w="1468" w:type="dxa"/>
            <w:tcBorders>
              <w:top w:val="nil"/>
              <w:left w:val="single" w:color="auto" w:sz="4" w:space="0"/>
              <w:bottom w:val="single" w:color="auto" w:sz="4" w:space="0"/>
              <w:right w:val="single" w:color="auto" w:sz="4" w:space="0"/>
            </w:tcBorders>
            <w:shd w:val="clear" w:color="000000" w:fill="C0C0C0"/>
            <w:vAlign w:val="center"/>
          </w:tcPr>
          <w:p>
            <w:pPr>
              <w:widowControl/>
              <w:spacing w:line="360" w:lineRule="auto"/>
              <w:jc w:val="left"/>
              <w:rPr>
                <w:rFonts w:ascii="Times New Roman" w:hAnsi="Times New Roman"/>
                <w:kern w:val="0"/>
                <w:sz w:val="24"/>
                <w:szCs w:val="24"/>
              </w:rPr>
            </w:pPr>
            <w:r>
              <w:rPr>
                <w:rFonts w:hint="eastAsia" w:ascii="Times New Roman" w:hAnsi="Times New Roman"/>
                <w:kern w:val="0"/>
                <w:sz w:val="24"/>
                <w:szCs w:val="24"/>
              </w:rPr>
              <w:t>拟审批意见</w:t>
            </w:r>
          </w:p>
        </w:tc>
        <w:tc>
          <w:tcPr>
            <w:tcW w:w="7514" w:type="dxa"/>
            <w:gridSpan w:val="6"/>
            <w:tcBorders>
              <w:top w:val="single" w:color="auto" w:sz="4" w:space="0"/>
              <w:left w:val="nil"/>
              <w:bottom w:val="single" w:color="auto" w:sz="4" w:space="0"/>
              <w:right w:val="single" w:color="000000" w:sz="4" w:space="0"/>
            </w:tcBorders>
            <w:vAlign w:val="center"/>
          </w:tcPr>
          <w:p>
            <w:pPr>
              <w:widowControl/>
              <w:spacing w:line="360" w:lineRule="auto"/>
              <w:jc w:val="left"/>
              <w:rPr>
                <w:rFonts w:ascii="Times New Roman" w:hAnsi="Times New Roman"/>
                <w:kern w:val="0"/>
                <w:sz w:val="24"/>
                <w:szCs w:val="24"/>
              </w:rPr>
            </w:pPr>
            <w:r>
              <w:rPr>
                <w:rFonts w:hint="eastAsia" w:ascii="Times New Roman" w:hAnsi="Times New Roman"/>
                <w:kern w:val="0"/>
                <w:sz w:val="24"/>
                <w:szCs w:val="24"/>
              </w:rPr>
              <w:t>　同意审批</w:t>
            </w:r>
          </w:p>
        </w:tc>
      </w:tr>
      <w:tr>
        <w:tblPrEx>
          <w:tblCellMar>
            <w:top w:w="0" w:type="dxa"/>
            <w:left w:w="108" w:type="dxa"/>
            <w:bottom w:w="0" w:type="dxa"/>
            <w:right w:w="108" w:type="dxa"/>
          </w:tblCellMar>
        </w:tblPrEx>
        <w:trPr>
          <w:trHeight w:val="570" w:hRule="atLeast"/>
        </w:trPr>
        <w:tc>
          <w:tcPr>
            <w:tcW w:w="8982" w:type="dxa"/>
            <w:gridSpan w:val="7"/>
            <w:tcBorders>
              <w:top w:val="single" w:color="auto" w:sz="4" w:space="0"/>
              <w:left w:val="nil"/>
              <w:bottom w:val="nil"/>
              <w:right w:val="nil"/>
            </w:tcBorders>
            <w:vAlign w:val="center"/>
          </w:tcPr>
          <w:p>
            <w:pPr>
              <w:widowControl/>
              <w:spacing w:line="360" w:lineRule="auto"/>
              <w:jc w:val="left"/>
              <w:rPr>
                <w:rFonts w:ascii="Times New Roman" w:hAnsi="Times New Roman"/>
                <w:kern w:val="0"/>
                <w:sz w:val="24"/>
                <w:szCs w:val="24"/>
              </w:rPr>
            </w:pPr>
            <w:r>
              <w:rPr>
                <w:rFonts w:hint="eastAsia" w:ascii="Times New Roman" w:hAnsi="Times New Roman"/>
                <w:kern w:val="0"/>
                <w:sz w:val="24"/>
                <w:szCs w:val="24"/>
              </w:rPr>
              <w:t>注</w:t>
            </w:r>
            <w:r>
              <w:rPr>
                <w:rFonts w:ascii="Times New Roman" w:hAnsi="Times New Roman"/>
                <w:kern w:val="0"/>
                <w:sz w:val="24"/>
                <w:szCs w:val="24"/>
              </w:rPr>
              <w:t>:</w:t>
            </w:r>
            <w:r>
              <w:rPr>
                <w:rFonts w:hint="eastAsia" w:ascii="Times New Roman" w:hAnsi="Times New Roman"/>
                <w:kern w:val="0"/>
                <w:sz w:val="24"/>
                <w:szCs w:val="24"/>
              </w:rPr>
              <w:t>项目基本情况、项目主要环境影响、项目预防及减轻不良环境影响的对策和措施、公众参与情况、建设单位或地方政府所作出的相关承诺文件部分由建设单位填写。拟审批意见、公众反馈意见联系方式部分由行政审批机关填写</w:t>
            </w:r>
          </w:p>
        </w:tc>
      </w:tr>
    </w:tbl>
    <w:p>
      <w:pPr>
        <w:pStyle w:val="11"/>
        <w:rPr>
          <w:rFonts w:hAnsi="宋体" w:cs="宋体"/>
          <w:color w:val="353535"/>
          <w:kern w:val="0"/>
          <w:sz w:val="24"/>
        </w:rPr>
      </w:pPr>
    </w:p>
    <w:tbl>
      <w:tblPr>
        <w:tblStyle w:val="21"/>
        <w:tblW w:w="8982" w:type="dxa"/>
        <w:tblInd w:w="-459" w:type="dxa"/>
        <w:tblLayout w:type="fixed"/>
        <w:tblCellMar>
          <w:top w:w="0" w:type="dxa"/>
          <w:left w:w="108" w:type="dxa"/>
          <w:bottom w:w="0" w:type="dxa"/>
          <w:right w:w="108" w:type="dxa"/>
        </w:tblCellMar>
      </w:tblPr>
      <w:tblGrid>
        <w:gridCol w:w="1468"/>
        <w:gridCol w:w="234"/>
        <w:gridCol w:w="1518"/>
        <w:gridCol w:w="1268"/>
        <w:gridCol w:w="1703"/>
        <w:gridCol w:w="844"/>
        <w:gridCol w:w="1947"/>
      </w:tblGrid>
      <w:tr>
        <w:tblPrEx>
          <w:tblCellMar>
            <w:top w:w="0" w:type="dxa"/>
            <w:left w:w="108" w:type="dxa"/>
            <w:bottom w:w="0" w:type="dxa"/>
            <w:right w:w="108" w:type="dxa"/>
          </w:tblCellMar>
        </w:tblPrEx>
        <w:trPr>
          <w:trHeight w:val="945" w:hRule="atLeast"/>
        </w:trPr>
        <w:tc>
          <w:tcPr>
            <w:tcW w:w="8982" w:type="dxa"/>
            <w:gridSpan w:val="7"/>
            <w:tcBorders>
              <w:top w:val="nil"/>
              <w:left w:val="nil"/>
              <w:bottom w:val="single" w:color="auto" w:sz="4" w:space="0"/>
              <w:right w:val="nil"/>
            </w:tcBorders>
            <w:vAlign w:val="center"/>
          </w:tcPr>
          <w:p>
            <w:pPr>
              <w:widowControl/>
              <w:spacing w:line="360" w:lineRule="auto"/>
              <w:jc w:val="center"/>
              <w:rPr>
                <w:rFonts w:ascii="Times New Roman" w:hAnsi="Times New Roman"/>
                <w:b/>
                <w:bCs/>
                <w:kern w:val="0"/>
                <w:sz w:val="24"/>
                <w:szCs w:val="24"/>
              </w:rPr>
            </w:pPr>
            <w:r>
              <w:rPr>
                <w:rFonts w:hint="eastAsia" w:ascii="Times New Roman" w:hAnsi="Times New Roman"/>
                <w:b/>
                <w:bCs/>
                <w:kern w:val="0"/>
                <w:sz w:val="24"/>
                <w:szCs w:val="24"/>
              </w:rPr>
              <w:t>德宏生态环境局盈江分局拟审批建设项目环评信息公开表</w:t>
            </w:r>
          </w:p>
        </w:tc>
      </w:tr>
      <w:tr>
        <w:tblPrEx>
          <w:tblCellMar>
            <w:top w:w="0" w:type="dxa"/>
            <w:left w:w="108" w:type="dxa"/>
            <w:bottom w:w="0" w:type="dxa"/>
            <w:right w:w="108" w:type="dxa"/>
          </w:tblCellMar>
        </w:tblPrEx>
        <w:trPr>
          <w:trHeight w:val="1445" w:hRule="atLeast"/>
        </w:trPr>
        <w:tc>
          <w:tcPr>
            <w:tcW w:w="1702" w:type="dxa"/>
            <w:gridSpan w:val="2"/>
            <w:tcBorders>
              <w:top w:val="single" w:color="auto" w:sz="4" w:space="0"/>
              <w:left w:val="single" w:color="auto" w:sz="4" w:space="0"/>
              <w:bottom w:val="single" w:color="auto" w:sz="4" w:space="0"/>
              <w:right w:val="single" w:color="auto" w:sz="4" w:space="0"/>
            </w:tcBorders>
            <w:shd w:val="clear" w:color="000000" w:fill="C0C0C0"/>
            <w:vAlign w:val="center"/>
          </w:tcPr>
          <w:p>
            <w:pPr>
              <w:widowControl/>
              <w:jc w:val="left"/>
              <w:rPr>
                <w:rFonts w:ascii="Times New Roman" w:hAnsi="Times New Roman"/>
                <w:kern w:val="0"/>
                <w:sz w:val="24"/>
                <w:szCs w:val="24"/>
              </w:rPr>
            </w:pPr>
            <w:r>
              <w:rPr>
                <w:rFonts w:hint="eastAsia" w:ascii="Times New Roman" w:hAnsi="Times New Roman"/>
                <w:kern w:val="0"/>
                <w:sz w:val="24"/>
                <w:szCs w:val="24"/>
              </w:rPr>
              <w:t>项目名称</w:t>
            </w:r>
          </w:p>
        </w:tc>
        <w:tc>
          <w:tcPr>
            <w:tcW w:w="1518"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 w:val="24"/>
                <w:szCs w:val="24"/>
              </w:rPr>
            </w:pPr>
            <w:r>
              <w:rPr>
                <w:rFonts w:hint="eastAsia" w:ascii="Times New Roman" w:hAnsi="Times New Roman"/>
                <w:kern w:val="0"/>
                <w:sz w:val="24"/>
                <w:szCs w:val="24"/>
              </w:rPr>
              <w:t>盈江中盈商品混凝土搅拌站建设项目</w:t>
            </w:r>
          </w:p>
        </w:tc>
        <w:tc>
          <w:tcPr>
            <w:tcW w:w="1268" w:type="dxa"/>
            <w:tcBorders>
              <w:top w:val="single" w:color="auto" w:sz="4" w:space="0"/>
              <w:left w:val="nil"/>
              <w:bottom w:val="single" w:color="auto" w:sz="4" w:space="0"/>
              <w:right w:val="single" w:color="auto" w:sz="4" w:space="0"/>
            </w:tcBorders>
            <w:shd w:val="clear" w:color="000000" w:fill="C0C0C0"/>
            <w:vAlign w:val="center"/>
          </w:tcPr>
          <w:p>
            <w:pPr>
              <w:widowControl/>
              <w:jc w:val="left"/>
              <w:rPr>
                <w:rFonts w:ascii="Times New Roman" w:hAnsi="Times New Roman"/>
                <w:kern w:val="0"/>
                <w:sz w:val="24"/>
                <w:szCs w:val="24"/>
              </w:rPr>
            </w:pPr>
            <w:r>
              <w:rPr>
                <w:rFonts w:hint="eastAsia" w:ascii="Times New Roman" w:hAnsi="Times New Roman"/>
                <w:kern w:val="0"/>
                <w:sz w:val="24"/>
                <w:szCs w:val="24"/>
              </w:rPr>
              <w:t>建设地点</w:t>
            </w:r>
          </w:p>
        </w:tc>
        <w:tc>
          <w:tcPr>
            <w:tcW w:w="1703"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 w:val="24"/>
                <w:szCs w:val="24"/>
              </w:rPr>
            </w:pPr>
            <w:r>
              <w:rPr>
                <w:rFonts w:hint="eastAsia" w:ascii="Times New Roman" w:hAnsi="Times New Roman"/>
                <w:kern w:val="0"/>
                <w:sz w:val="24"/>
                <w:szCs w:val="24"/>
              </w:rPr>
              <w:t>盈江县平原镇陇中村盈江县剑雄粉磨水泥有限责任公司厂区</w:t>
            </w:r>
          </w:p>
        </w:tc>
        <w:tc>
          <w:tcPr>
            <w:tcW w:w="844" w:type="dxa"/>
            <w:tcBorders>
              <w:top w:val="single" w:color="auto" w:sz="4" w:space="0"/>
              <w:left w:val="nil"/>
              <w:bottom w:val="single" w:color="auto" w:sz="4" w:space="0"/>
              <w:right w:val="single" w:color="auto" w:sz="4" w:space="0"/>
            </w:tcBorders>
            <w:shd w:val="clear" w:color="000000" w:fill="C0C0C0"/>
            <w:vAlign w:val="center"/>
          </w:tcPr>
          <w:p>
            <w:pPr>
              <w:widowControl/>
              <w:jc w:val="left"/>
              <w:rPr>
                <w:rFonts w:ascii="Times New Roman" w:hAnsi="Times New Roman"/>
                <w:kern w:val="0"/>
                <w:sz w:val="24"/>
                <w:szCs w:val="24"/>
              </w:rPr>
            </w:pPr>
            <w:r>
              <w:rPr>
                <w:rFonts w:hint="eastAsia" w:ascii="Times New Roman" w:hAnsi="Times New Roman"/>
                <w:kern w:val="0"/>
                <w:sz w:val="24"/>
                <w:szCs w:val="24"/>
              </w:rPr>
              <w:t>建设单位</w:t>
            </w:r>
          </w:p>
        </w:tc>
        <w:tc>
          <w:tcPr>
            <w:tcW w:w="194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hint="eastAsia" w:ascii="Times New Roman" w:hAnsi="Times New Roman"/>
                <w:kern w:val="0"/>
                <w:sz w:val="24"/>
                <w:szCs w:val="24"/>
              </w:rPr>
              <w:t>盈江中盈商品混凝土有限责任公司</w:t>
            </w:r>
          </w:p>
        </w:tc>
      </w:tr>
      <w:tr>
        <w:tblPrEx>
          <w:tblCellMar>
            <w:top w:w="0" w:type="dxa"/>
            <w:left w:w="108" w:type="dxa"/>
            <w:bottom w:w="0" w:type="dxa"/>
            <w:right w:w="108" w:type="dxa"/>
          </w:tblCellMar>
        </w:tblPrEx>
        <w:trPr>
          <w:trHeight w:val="90" w:hRule="atLeast"/>
        </w:trPr>
        <w:tc>
          <w:tcPr>
            <w:tcW w:w="1702" w:type="dxa"/>
            <w:gridSpan w:val="2"/>
            <w:tcBorders>
              <w:top w:val="nil"/>
              <w:left w:val="single" w:color="auto" w:sz="4" w:space="0"/>
              <w:bottom w:val="single" w:color="auto" w:sz="4" w:space="0"/>
              <w:right w:val="single" w:color="auto" w:sz="4" w:space="0"/>
            </w:tcBorders>
            <w:shd w:val="clear" w:color="000000" w:fill="C0C0C0"/>
            <w:vAlign w:val="center"/>
          </w:tcPr>
          <w:p>
            <w:pPr>
              <w:widowControl/>
              <w:jc w:val="left"/>
              <w:rPr>
                <w:rFonts w:ascii="Times New Roman" w:hAnsi="Times New Roman"/>
                <w:kern w:val="0"/>
                <w:sz w:val="24"/>
                <w:szCs w:val="24"/>
              </w:rPr>
            </w:pPr>
            <w:r>
              <w:rPr>
                <w:rFonts w:hint="eastAsia" w:ascii="Times New Roman" w:hAnsi="Times New Roman"/>
                <w:kern w:val="0"/>
                <w:sz w:val="24"/>
                <w:szCs w:val="24"/>
              </w:rPr>
              <w:t>环评文件类型</w:t>
            </w:r>
          </w:p>
        </w:tc>
        <w:tc>
          <w:tcPr>
            <w:tcW w:w="1518" w:type="dxa"/>
            <w:tcBorders>
              <w:top w:val="nil"/>
              <w:left w:val="nil"/>
              <w:bottom w:val="single" w:color="auto" w:sz="4" w:space="0"/>
              <w:right w:val="single" w:color="auto" w:sz="4" w:space="0"/>
            </w:tcBorders>
            <w:vAlign w:val="center"/>
          </w:tcPr>
          <w:p>
            <w:pPr>
              <w:widowControl/>
              <w:jc w:val="left"/>
              <w:rPr>
                <w:rFonts w:ascii="Times New Roman" w:hAnsi="Times New Roman"/>
                <w:kern w:val="0"/>
                <w:sz w:val="24"/>
                <w:szCs w:val="24"/>
              </w:rPr>
            </w:pPr>
            <w:r>
              <w:rPr>
                <w:rFonts w:hint="eastAsia" w:ascii="Times New Roman" w:hAnsi="Times New Roman"/>
                <w:kern w:val="0"/>
                <w:sz w:val="24"/>
                <w:szCs w:val="24"/>
              </w:rPr>
              <w:t>　报告表</w:t>
            </w:r>
          </w:p>
        </w:tc>
        <w:tc>
          <w:tcPr>
            <w:tcW w:w="1268" w:type="dxa"/>
            <w:tcBorders>
              <w:top w:val="nil"/>
              <w:left w:val="nil"/>
              <w:bottom w:val="single" w:color="auto" w:sz="4" w:space="0"/>
              <w:right w:val="single" w:color="auto" w:sz="4" w:space="0"/>
            </w:tcBorders>
            <w:shd w:val="clear" w:color="000000" w:fill="C0C0C0"/>
            <w:vAlign w:val="center"/>
          </w:tcPr>
          <w:p>
            <w:pPr>
              <w:widowControl/>
              <w:jc w:val="left"/>
              <w:rPr>
                <w:rFonts w:ascii="Times New Roman" w:hAnsi="Times New Roman"/>
                <w:kern w:val="0"/>
                <w:sz w:val="24"/>
                <w:szCs w:val="24"/>
              </w:rPr>
            </w:pPr>
            <w:r>
              <w:rPr>
                <w:rFonts w:hint="eastAsia" w:ascii="Times New Roman" w:hAnsi="Times New Roman"/>
                <w:kern w:val="0"/>
                <w:sz w:val="24"/>
                <w:szCs w:val="24"/>
              </w:rPr>
              <w:t>环境影响评价机构</w:t>
            </w:r>
          </w:p>
        </w:tc>
        <w:tc>
          <w:tcPr>
            <w:tcW w:w="4494"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云南大学科技咨询发展中心</w:t>
            </w: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widowControl/>
              <w:spacing w:line="360" w:lineRule="auto"/>
              <w:jc w:val="center"/>
              <w:rPr>
                <w:rFonts w:ascii="Times New Roman" w:hAnsi="Times New Roman"/>
                <w:kern w:val="0"/>
                <w:sz w:val="24"/>
                <w:szCs w:val="24"/>
              </w:rPr>
            </w:pPr>
            <w:r>
              <w:rPr>
                <w:rFonts w:hint="eastAsia" w:ascii="Times New Roman" w:hAnsi="Times New Roman"/>
                <w:kern w:val="0"/>
                <w:sz w:val="24"/>
                <w:szCs w:val="24"/>
              </w:rPr>
              <w:t>项目概况</w:t>
            </w:r>
          </w:p>
        </w:tc>
      </w:tr>
      <w:tr>
        <w:tblPrEx>
          <w:tblCellMar>
            <w:top w:w="0" w:type="dxa"/>
            <w:left w:w="108" w:type="dxa"/>
            <w:bottom w:w="0" w:type="dxa"/>
            <w:right w:w="108" w:type="dxa"/>
          </w:tblCellMar>
        </w:tblPrEx>
        <w:trPr>
          <w:trHeight w:val="1102"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pStyle w:val="66"/>
              <w:ind w:firstLine="480"/>
              <w:jc w:val="both"/>
              <w:rPr>
                <w:rFonts w:ascii="Times New Roman" w:hAnsi="Times New Roman"/>
                <w:kern w:val="0"/>
              </w:rPr>
            </w:pPr>
            <w:r>
              <w:rPr>
                <w:rFonts w:hint="eastAsia" w:ascii="Times New Roman" w:hAnsi="Times New Roman"/>
              </w:rPr>
              <w:t>项目位于盈江县平原镇陇中村盈江县剑雄粉磨水泥有限责任公司厂区，项目占地面积</w:t>
            </w:r>
            <w:r>
              <w:rPr>
                <w:rFonts w:ascii="Times New Roman" w:hAnsi="Times New Roman"/>
              </w:rPr>
              <w:t>13993m</w:t>
            </w:r>
            <w:r>
              <w:rPr>
                <w:rFonts w:ascii="Times New Roman" w:hAnsi="Times New Roman"/>
                <w:vertAlign w:val="superscript"/>
              </w:rPr>
              <w:t>2</w:t>
            </w:r>
            <w:r>
              <w:rPr>
                <w:rFonts w:hint="eastAsia" w:ascii="Times New Roman" w:hAnsi="Times New Roman"/>
              </w:rPr>
              <w:t>，约合</w:t>
            </w:r>
            <w:r>
              <w:rPr>
                <w:rFonts w:ascii="Times New Roman" w:hAnsi="Times New Roman"/>
              </w:rPr>
              <w:t>20.99</w:t>
            </w:r>
            <w:r>
              <w:rPr>
                <w:rFonts w:hint="eastAsia" w:ascii="Times New Roman" w:hAnsi="Times New Roman"/>
              </w:rPr>
              <w:t>亩，总建筑面积为</w:t>
            </w:r>
            <w:r>
              <w:rPr>
                <w:rFonts w:ascii="Times New Roman" w:hAnsi="Times New Roman"/>
              </w:rPr>
              <w:t>2361.92m</w:t>
            </w:r>
            <w:r>
              <w:rPr>
                <w:rFonts w:ascii="Times New Roman" w:hAnsi="Times New Roman"/>
                <w:vertAlign w:val="superscript"/>
              </w:rPr>
              <w:t>2</w:t>
            </w:r>
            <w:r>
              <w:rPr>
                <w:rFonts w:hint="eastAsia" w:ascii="Times New Roman" w:hAnsi="Times New Roman"/>
              </w:rPr>
              <w:t>，约</w:t>
            </w:r>
            <w:r>
              <w:rPr>
                <w:rFonts w:ascii="Times New Roman" w:hAnsi="Times New Roman"/>
              </w:rPr>
              <w:t>25.35</w:t>
            </w:r>
            <w:r>
              <w:rPr>
                <w:rFonts w:hint="eastAsia" w:ascii="Times New Roman" w:hAnsi="Times New Roman"/>
              </w:rPr>
              <w:t>亩，项目地块用地性质为工业用地。项目</w:t>
            </w:r>
            <w:r>
              <w:rPr>
                <w:rFonts w:hint="eastAsia" w:ascii="Times New Roman" w:hAnsi="Times New Roman"/>
                <w:kern w:val="0"/>
              </w:rPr>
              <w:t>投资</w:t>
            </w:r>
            <w:r>
              <w:rPr>
                <w:rFonts w:ascii="Times New Roman" w:hAnsi="Times New Roman"/>
                <w:kern w:val="0"/>
              </w:rPr>
              <w:t>2300.37</w:t>
            </w:r>
            <w:r>
              <w:rPr>
                <w:rFonts w:hint="eastAsia" w:ascii="Times New Roman" w:hAnsi="Times New Roman"/>
                <w:kern w:val="0"/>
              </w:rPr>
              <w:t>万元，</w:t>
            </w:r>
            <w:r>
              <w:rPr>
                <w:rFonts w:hint="eastAsia" w:ascii="Times New Roman" w:hAnsi="Times New Roman"/>
              </w:rPr>
              <w:t>建设</w:t>
            </w:r>
            <w:r>
              <w:rPr>
                <w:rFonts w:ascii="Times New Roman" w:hAnsi="Times New Roman"/>
              </w:rPr>
              <w:t>180</w:t>
            </w:r>
            <w:r>
              <w:rPr>
                <w:rFonts w:hint="eastAsia" w:ascii="Times New Roman" w:hAnsi="Times New Roman"/>
              </w:rPr>
              <w:t>混凝土生产线</w:t>
            </w:r>
            <w:r>
              <w:rPr>
                <w:rFonts w:ascii="Times New Roman" w:hAnsi="Times New Roman"/>
                <w:kern w:val="0"/>
              </w:rPr>
              <w:t>2</w:t>
            </w:r>
            <w:r>
              <w:rPr>
                <w:rFonts w:hint="eastAsia" w:ascii="Times New Roman" w:hAnsi="Times New Roman"/>
                <w:kern w:val="0"/>
              </w:rPr>
              <w:t>条混凝生产线，配套建设</w:t>
            </w:r>
            <w:r>
              <w:rPr>
                <w:rFonts w:hint="eastAsia" w:ascii="Times New Roman" w:hAnsi="Times New Roman"/>
              </w:rPr>
              <w:t>环保、消防和给排水、供电公用工程；项目主要进行现状房屋改造、新建门卫室、料仓铁皮棚；场地硬化、道路、挡土墙、护坡、大门、清水池、废水处理池等修建；搅拌站设备及工器具购置安装等；项目建成后可年产混凝土</w:t>
            </w:r>
            <w:r>
              <w:rPr>
                <w:rFonts w:ascii="Times New Roman" w:hAnsi="Times New Roman"/>
              </w:rPr>
              <w:t>30</w:t>
            </w:r>
            <w:r>
              <w:rPr>
                <w:rFonts w:hint="eastAsia" w:ascii="Times New Roman" w:hAnsi="Times New Roman"/>
              </w:rPr>
              <w:t>万</w:t>
            </w:r>
            <w:r>
              <w:rPr>
                <w:rFonts w:ascii="Times New Roman" w:hAnsi="Times New Roman"/>
              </w:rPr>
              <w:t>m</w:t>
            </w:r>
            <w:r>
              <w:rPr>
                <w:rFonts w:ascii="Times New Roman" w:hAnsi="Times New Roman"/>
                <w:vertAlign w:val="superscript"/>
              </w:rPr>
              <w:t>3</w:t>
            </w:r>
            <w:r>
              <w:rPr>
                <w:rFonts w:hint="eastAsia" w:ascii="Times New Roman" w:hAnsi="Times New Roman"/>
              </w:rPr>
              <w:t>。项目环保投资</w:t>
            </w:r>
            <w:r>
              <w:rPr>
                <w:rFonts w:ascii="Times New Roman" w:hAnsi="Times New Roman"/>
              </w:rPr>
              <w:t>36.93</w:t>
            </w:r>
            <w:r>
              <w:rPr>
                <w:rFonts w:hint="eastAsia" w:ascii="Times New Roman" w:hAnsi="Times New Roman"/>
              </w:rPr>
              <w:t>万元，占总投资的</w:t>
            </w:r>
            <w:r>
              <w:rPr>
                <w:rFonts w:ascii="Times New Roman" w:hAnsi="Times New Roman"/>
              </w:rPr>
              <w:t>1.61%</w:t>
            </w:r>
            <w:r>
              <w:rPr>
                <w:rFonts w:hint="eastAsia" w:ascii="Times New Roman" w:hAnsi="Times New Roman"/>
              </w:rPr>
              <w:t>。</w:t>
            </w: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widowControl/>
              <w:spacing w:line="360" w:lineRule="auto"/>
              <w:jc w:val="center"/>
              <w:rPr>
                <w:rFonts w:ascii="Times New Roman" w:hAnsi="Times New Roman"/>
                <w:kern w:val="0"/>
                <w:sz w:val="24"/>
                <w:szCs w:val="24"/>
              </w:rPr>
            </w:pPr>
            <w:r>
              <w:rPr>
                <w:rFonts w:hint="eastAsia" w:ascii="Times New Roman" w:hAnsi="Times New Roman"/>
                <w:kern w:val="0"/>
                <w:sz w:val="24"/>
                <w:szCs w:val="24"/>
              </w:rPr>
              <w:t>项目主要环境影响</w:t>
            </w:r>
          </w:p>
        </w:tc>
      </w:tr>
      <w:tr>
        <w:tblPrEx>
          <w:tblCellMar>
            <w:top w:w="0" w:type="dxa"/>
            <w:left w:w="108" w:type="dxa"/>
            <w:bottom w:w="0" w:type="dxa"/>
            <w:right w:w="108" w:type="dxa"/>
          </w:tblCellMar>
        </w:tblPrEx>
        <w:trPr>
          <w:trHeight w:val="614"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sz w:val="24"/>
                <w:szCs w:val="24"/>
              </w:rPr>
            </w:pPr>
            <w:r>
              <w:rPr>
                <w:rFonts w:hint="eastAsia" w:ascii="Times New Roman" w:hAnsi="Times New Roman"/>
                <w:color w:val="333333"/>
                <w:kern w:val="0"/>
                <w:sz w:val="24"/>
                <w:szCs w:val="24"/>
              </w:rPr>
              <w:t>（</w:t>
            </w:r>
            <w:r>
              <w:rPr>
                <w:rFonts w:ascii="Times New Roman" w:hAnsi="Times New Roman"/>
                <w:color w:val="333333"/>
                <w:kern w:val="0"/>
                <w:sz w:val="24"/>
                <w:szCs w:val="24"/>
              </w:rPr>
              <w:t>1</w:t>
            </w:r>
            <w:r>
              <w:rPr>
                <w:rFonts w:hint="eastAsia" w:ascii="Times New Roman" w:hAnsi="Times New Roman"/>
                <w:color w:val="333333"/>
                <w:kern w:val="0"/>
                <w:sz w:val="24"/>
                <w:szCs w:val="24"/>
              </w:rPr>
              <w:t>）施工期环境影响</w:t>
            </w:r>
          </w:p>
          <w:p>
            <w:pPr>
              <w:spacing w:line="360" w:lineRule="auto"/>
              <w:ind w:firstLine="360" w:firstLineChars="150"/>
              <w:rPr>
                <w:rFonts w:ascii="Times New Roman" w:hAnsi="Times New Roman"/>
                <w:kern w:val="0"/>
                <w:sz w:val="24"/>
                <w:szCs w:val="24"/>
              </w:rPr>
            </w:pPr>
            <w:r>
              <w:rPr>
                <w:rFonts w:ascii="Times New Roman" w:hAnsi="Times New Roman"/>
                <w:kern w:val="0"/>
                <w:sz w:val="24"/>
                <w:szCs w:val="24"/>
              </w:rPr>
              <w:t>1</w:t>
            </w:r>
            <w:r>
              <w:rPr>
                <w:rFonts w:hint="eastAsia" w:ascii="Times New Roman" w:hAnsi="Times New Roman"/>
                <w:kern w:val="0"/>
                <w:sz w:val="24"/>
                <w:szCs w:val="24"/>
              </w:rPr>
              <w:t>）施工期废气</w:t>
            </w:r>
          </w:p>
          <w:p>
            <w:pPr>
              <w:adjustRightInd w:val="0"/>
              <w:snapToGrid w:val="0"/>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项目</w:t>
            </w:r>
            <w:r>
              <w:rPr>
                <w:rFonts w:hint="eastAsia" w:ascii="Times New Roman" w:hAnsi="Times New Roman"/>
                <w:sz w:val="24"/>
                <w:lang w:val="zh-CN"/>
              </w:rPr>
              <w:t>基础开挖中，机械挖掘作业、土石方装运、堆置等产生的扬尘；主体构筑物施工中的建筑材料（白灰、水泥、沙子、砖等）堆放、搬运、使用产生的扬尘；</w:t>
            </w:r>
            <w:r>
              <w:rPr>
                <w:rFonts w:hint="eastAsia" w:ascii="Times New Roman" w:hAnsi="Times New Roman"/>
                <w:kern w:val="0"/>
                <w:sz w:val="24"/>
                <w:szCs w:val="24"/>
              </w:rPr>
              <w:t>施工高峰期，运输量大，车辆往来频繁时，道路扬尘污染较为严重；施工机械及各型运输车辆，使用汽油、柴油作为能源，在运行时排放的废气是主要的污染源。</w:t>
            </w:r>
          </w:p>
          <w:p>
            <w:pPr>
              <w:keepNext/>
              <w:numPr>
                <w:ilvl w:val="0"/>
                <w:numId w:val="3"/>
              </w:numPr>
              <w:spacing w:line="360" w:lineRule="auto"/>
              <w:ind w:firstLine="560"/>
              <w:rPr>
                <w:rFonts w:ascii="Times New Roman" w:hAnsi="Times New Roman"/>
                <w:kern w:val="0"/>
                <w:sz w:val="24"/>
                <w:szCs w:val="24"/>
              </w:rPr>
            </w:pPr>
            <w:r>
              <w:rPr>
                <w:rFonts w:hint="eastAsia" w:ascii="Times New Roman" w:hAnsi="Times New Roman"/>
                <w:kern w:val="0"/>
                <w:sz w:val="24"/>
                <w:szCs w:val="24"/>
              </w:rPr>
              <w:t>施工期废水</w:t>
            </w:r>
          </w:p>
          <w:p>
            <w:pPr>
              <w:keepNext/>
              <w:spacing w:line="360" w:lineRule="auto"/>
              <w:ind w:firstLine="560"/>
              <w:rPr>
                <w:rFonts w:ascii="Times New Roman" w:hAnsi="Times New Roman"/>
                <w:kern w:val="0"/>
                <w:sz w:val="24"/>
                <w:szCs w:val="24"/>
              </w:rPr>
            </w:pPr>
            <w:r>
              <w:rPr>
                <w:rFonts w:hint="eastAsia" w:ascii="Times New Roman" w:hAnsi="Times New Roman"/>
                <w:kern w:val="0"/>
                <w:sz w:val="24"/>
                <w:szCs w:val="24"/>
              </w:rPr>
              <w:t>项目施工期产生的废水主要包括施工废水、施工人员的少量生活污水、地表径流；由于施工场内使用商品混凝土，施工废水主要为混凝土养护废水、工具清洗废水、车辆轮胎冲洗废水等。项目施工生产废水不含有毒物质，主要是泥沙悬浮物含量较大。</w:t>
            </w:r>
            <w:r>
              <w:rPr>
                <w:rFonts w:hint="eastAsia" w:ascii="Times New Roman" w:hAnsi="Times New Roman"/>
                <w:sz w:val="24"/>
                <w:szCs w:val="24"/>
              </w:rPr>
              <w:t>项目区内设置临时沉淀池，将施工废水回收沉淀后用于施工过程和场地洒水抑尘；</w:t>
            </w:r>
            <w:r>
              <w:rPr>
                <w:rFonts w:hint="eastAsia" w:ascii="Times New Roman" w:hAnsi="Times New Roman"/>
                <w:kern w:val="0"/>
                <w:sz w:val="24"/>
                <w:szCs w:val="24"/>
              </w:rPr>
              <w:t>整个施工期内，施工场地不设置施工营地，施工人员不在场地吃住，仅依托现有的水冲厕所，因此施工人员产生少量的生活污水，生活污水</w:t>
            </w:r>
            <w:r>
              <w:rPr>
                <w:rFonts w:hint="eastAsia" w:ascii="Times New Roman" w:hAnsi="Times New Roman"/>
                <w:sz w:val="24"/>
                <w:szCs w:val="24"/>
              </w:rPr>
              <w:t>进入粉磨站已建的化粪池进行处理，后期委托附近村民清掏作为农家肥使用，</w:t>
            </w:r>
            <w:r>
              <w:rPr>
                <w:rFonts w:hint="eastAsia" w:ascii="Times New Roman" w:hAnsi="Times New Roman"/>
                <w:kern w:val="0"/>
                <w:sz w:val="24"/>
                <w:szCs w:val="24"/>
              </w:rPr>
              <w:t>对地表水环境不造成影响；项目施工期集中在旱季，基本无施工地表径流形成，不会对地表水体造成污染。</w:t>
            </w:r>
          </w:p>
          <w:p>
            <w:pPr>
              <w:widowControl/>
              <w:spacing w:line="360" w:lineRule="auto"/>
              <w:ind w:firstLine="480" w:firstLineChars="200"/>
              <w:jc w:val="left"/>
              <w:rPr>
                <w:rFonts w:ascii="Times New Roman" w:hAnsi="Times New Roman"/>
                <w:kern w:val="0"/>
                <w:sz w:val="24"/>
                <w:szCs w:val="24"/>
              </w:rPr>
            </w:pPr>
            <w:r>
              <w:rPr>
                <w:rFonts w:ascii="Times New Roman" w:hAnsi="Times New Roman"/>
                <w:kern w:val="0"/>
                <w:sz w:val="24"/>
                <w:szCs w:val="24"/>
              </w:rPr>
              <w:t>3</w:t>
            </w:r>
            <w:r>
              <w:rPr>
                <w:rFonts w:hint="eastAsia" w:ascii="Times New Roman" w:hAnsi="Times New Roman"/>
                <w:kern w:val="0"/>
                <w:sz w:val="24"/>
                <w:szCs w:val="24"/>
              </w:rPr>
              <w:t>）施工期噪声</w:t>
            </w:r>
          </w:p>
          <w:p>
            <w:pPr>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各类施工机械中，噪声较高的为装载机、挖掘机、电焊机、卡车、升降机等；主要受影响对象为距离工程最近凌翰搅拌站生活区，由于施工后各段工程量不大，施工周期短，敏感点所受施工噪声影响仅局限于一定的施工时段内，所受的影响时间较短。但为减轻施工机械噪声影响，在施工过程中必须对作业时段进行合理的安排，禁止午休、夜间施工，并做好机械的维修养护，在靠近敏感点一侧加强有效的防护屏障等环保措施，把噪声对周围环境的影响减至最低限度。施工噪声仅伴随于施工活动，随工程结束而消失，施工过程中做好声屏障隔音措施会减少噪声的影响，所以施工机械对周围声环境质量不会产生明显影响。</w:t>
            </w:r>
          </w:p>
          <w:p>
            <w:pPr>
              <w:widowControl/>
              <w:spacing w:line="360" w:lineRule="auto"/>
              <w:ind w:firstLine="480" w:firstLineChars="200"/>
              <w:jc w:val="left"/>
              <w:rPr>
                <w:rFonts w:ascii="Times New Roman" w:hAnsi="Times New Roman"/>
                <w:kern w:val="0"/>
                <w:sz w:val="24"/>
                <w:szCs w:val="24"/>
              </w:rPr>
            </w:pPr>
            <w:r>
              <w:rPr>
                <w:rFonts w:ascii="Times New Roman" w:hAnsi="Times New Roman"/>
                <w:kern w:val="0"/>
                <w:sz w:val="24"/>
                <w:szCs w:val="24"/>
              </w:rPr>
              <w:t>4</w:t>
            </w:r>
            <w:r>
              <w:rPr>
                <w:rFonts w:hint="eastAsia" w:ascii="Times New Roman" w:hAnsi="Times New Roman"/>
                <w:kern w:val="0"/>
                <w:sz w:val="24"/>
                <w:szCs w:val="24"/>
              </w:rPr>
              <w:t>）施工期固废</w:t>
            </w:r>
          </w:p>
          <w:p>
            <w:pPr>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施工期产生的固体废物主要包括：基础开挖的土石方，施工过程产生的建筑垃圾以及施工人员产生的生活垃圾。项目</w:t>
            </w:r>
            <w:r>
              <w:rPr>
                <w:rFonts w:hint="eastAsia" w:ascii="Times New Roman" w:hAnsi="Times New Roman"/>
                <w:sz w:val="24"/>
                <w:szCs w:val="24"/>
              </w:rPr>
              <w:t>工程土石方分别清运至和平社村民菜地和</w:t>
            </w:r>
            <w:r>
              <w:rPr>
                <w:rFonts w:hint="eastAsia" w:ascii="Times New Roman" w:hAnsi="Times New Roman"/>
                <w:sz w:val="24"/>
              </w:rPr>
              <w:t>平原镇勐町村预留建设用地回填，废弃土石方合理处置；</w:t>
            </w:r>
            <w:r>
              <w:rPr>
                <w:rFonts w:hint="eastAsia" w:ascii="Times New Roman" w:hAnsi="Times New Roman"/>
                <w:kern w:val="0"/>
                <w:sz w:val="24"/>
                <w:szCs w:val="24"/>
              </w:rPr>
              <w:t>对周围环境影响不大。</w:t>
            </w:r>
            <w:r>
              <w:rPr>
                <w:rFonts w:hint="eastAsia" w:ascii="Times New Roman" w:hAnsi="Times New Roman"/>
                <w:bCs/>
                <w:sz w:val="24"/>
              </w:rPr>
              <w:t>建筑垃圾可进行分类处理，分别捡出具有回收价值的废钢筋、废木材、废塑料、废包装材料等，送废品收购站回收利用；无回收价值的由施工方负责清运至周边需要回填的场地进行回填或者清运至当地建设部门指定的地点堆放处置，禁止随意丢弃。</w:t>
            </w:r>
            <w:r>
              <w:rPr>
                <w:rFonts w:hint="eastAsia" w:ascii="Times New Roman" w:hAnsi="Times New Roman"/>
                <w:kern w:val="0"/>
                <w:sz w:val="24"/>
                <w:szCs w:val="24"/>
              </w:rPr>
              <w:t>生活垃圾全部集中收集后，建设方要求施工方负责清运至当地乡镇垃圾收集点，由当地环卫部门集中清运处置；施工期产生的固体废弃物得到妥善处置，对周围环境影响较小。</w:t>
            </w:r>
          </w:p>
          <w:p>
            <w:pPr>
              <w:widowControl/>
              <w:spacing w:line="360" w:lineRule="auto"/>
              <w:jc w:val="left"/>
              <w:rPr>
                <w:rFonts w:ascii="Times New Roman" w:hAnsi="Times New Roman"/>
                <w:sz w:val="24"/>
                <w:szCs w:val="24"/>
              </w:rPr>
            </w:pPr>
            <w:r>
              <w:rPr>
                <w:rFonts w:hint="eastAsia" w:ascii="Times New Roman" w:hAnsi="Times New Roman"/>
                <w:kern w:val="0"/>
                <w:sz w:val="24"/>
                <w:szCs w:val="24"/>
              </w:rPr>
              <w:t>（</w:t>
            </w:r>
            <w:r>
              <w:rPr>
                <w:rFonts w:ascii="Times New Roman" w:hAnsi="Times New Roman"/>
                <w:kern w:val="0"/>
                <w:sz w:val="24"/>
                <w:szCs w:val="24"/>
              </w:rPr>
              <w:t>2</w:t>
            </w:r>
            <w:r>
              <w:rPr>
                <w:rFonts w:hint="eastAsia" w:ascii="Times New Roman" w:hAnsi="Times New Roman"/>
                <w:kern w:val="0"/>
                <w:sz w:val="24"/>
                <w:szCs w:val="24"/>
              </w:rPr>
              <w:t>）运营期环境影</w:t>
            </w:r>
          </w:p>
          <w:p>
            <w:pPr>
              <w:pStyle w:val="10"/>
              <w:adjustRightInd w:val="0"/>
              <w:snapToGrid w:val="0"/>
              <w:spacing w:line="360" w:lineRule="auto"/>
              <w:ind w:firstLine="560" w:firstLineChars="200"/>
              <w:rPr>
                <w:szCs w:val="24"/>
              </w:rPr>
            </w:pPr>
            <w:r>
              <w:rPr>
                <w:szCs w:val="24"/>
              </w:rPr>
              <w:t>1</w:t>
            </w:r>
            <w:r>
              <w:rPr>
                <w:rFonts w:hint="eastAsia"/>
                <w:szCs w:val="24"/>
              </w:rPr>
              <w:t>）环境空气影响分析结论</w:t>
            </w:r>
          </w:p>
          <w:p>
            <w:pPr>
              <w:adjustRightInd w:val="0"/>
              <w:spacing w:line="360" w:lineRule="auto"/>
              <w:ind w:firstLine="720" w:firstLineChars="300"/>
              <w:rPr>
                <w:rFonts w:ascii="Times New Roman" w:hAnsi="Times New Roman"/>
                <w:sz w:val="24"/>
                <w:vertAlign w:val="superscript"/>
              </w:rPr>
            </w:pPr>
            <w:r>
              <w:rPr>
                <w:rFonts w:hint="eastAsia" w:ascii="Times New Roman" w:hAnsi="Times New Roman"/>
                <w:sz w:val="24"/>
                <w:szCs w:val="24"/>
              </w:rPr>
              <w:t>厂区加强管理，控制原料的堆存量，</w:t>
            </w:r>
            <w:r>
              <w:rPr>
                <w:rFonts w:hint="eastAsia" w:ascii="Times New Roman" w:hAnsi="Times New Roman"/>
                <w:bCs/>
                <w:sz w:val="24"/>
              </w:rPr>
              <w:t>严禁物料堆放高度超出</w:t>
            </w:r>
            <w:r>
              <w:rPr>
                <w:rFonts w:ascii="Times New Roman" w:hAnsi="Times New Roman"/>
                <w:bCs/>
                <w:sz w:val="24"/>
              </w:rPr>
              <w:t>2.5m</w:t>
            </w:r>
            <w:r>
              <w:rPr>
                <w:rFonts w:hint="eastAsia" w:ascii="Times New Roman" w:hAnsi="Times New Roman"/>
                <w:bCs/>
                <w:sz w:val="24"/>
              </w:rPr>
              <w:t>混凝土墙，</w:t>
            </w:r>
            <w:r>
              <w:rPr>
                <w:rFonts w:hint="eastAsia" w:ascii="Times New Roman" w:hAnsi="Times New Roman"/>
                <w:sz w:val="24"/>
                <w:szCs w:val="24"/>
              </w:rPr>
              <w:t>缩短堆放时间，</w:t>
            </w:r>
            <w:r>
              <w:rPr>
                <w:rFonts w:hint="eastAsia" w:ascii="Times New Roman" w:hAnsi="Times New Roman"/>
                <w:sz w:val="24"/>
              </w:rPr>
              <w:t>对砂石料堆场、原料装卸、物料输送、计量及投料产尘点设置摇头喷雾降尘设施，</w:t>
            </w:r>
            <w:r>
              <w:rPr>
                <w:rFonts w:hint="eastAsia" w:ascii="Times New Roman" w:hAnsi="Times New Roman"/>
                <w:kern w:val="0"/>
                <w:sz w:val="24"/>
              </w:rPr>
              <w:t>使物料含水率</w:t>
            </w:r>
            <w:r>
              <w:rPr>
                <w:rFonts w:ascii="Times New Roman" w:hAnsi="Times New Roman"/>
                <w:kern w:val="0"/>
                <w:sz w:val="24"/>
              </w:rPr>
              <w:t>10%</w:t>
            </w:r>
            <w:r>
              <w:rPr>
                <w:rFonts w:hint="eastAsia" w:ascii="Times New Roman" w:hAnsi="Times New Roman"/>
                <w:kern w:val="0"/>
                <w:sz w:val="24"/>
              </w:rPr>
              <w:t>；</w:t>
            </w:r>
            <w:r>
              <w:rPr>
                <w:rFonts w:hint="eastAsia" w:ascii="Times New Roman" w:hAnsi="Times New Roman"/>
                <w:bCs/>
                <w:sz w:val="24"/>
                <w:szCs w:val="24"/>
              </w:rPr>
              <w:t>尽量避免大风天进行砂、石等原料的卸车作业，装卸区要求靠近原料堆放区，原料堆放区</w:t>
            </w:r>
            <w:r>
              <w:rPr>
                <w:rFonts w:hint="eastAsia" w:ascii="Times New Roman" w:hAnsi="Times New Roman"/>
                <w:bCs/>
                <w:sz w:val="24"/>
              </w:rPr>
              <w:t>增设摇头喷雾降尘设施，</w:t>
            </w:r>
            <w:r>
              <w:rPr>
                <w:rFonts w:hint="eastAsia" w:ascii="Times New Roman" w:hAnsi="Times New Roman"/>
                <w:sz w:val="24"/>
                <w:szCs w:val="24"/>
              </w:rPr>
              <w:t>需采用边卸料边降尘的方式；</w:t>
            </w:r>
            <w:r>
              <w:rPr>
                <w:rFonts w:hint="eastAsia" w:ascii="Times New Roman" w:hAnsi="Times New Roman"/>
                <w:bCs/>
                <w:sz w:val="24"/>
                <w:szCs w:val="24"/>
              </w:rPr>
              <w:t>原料运输车辆应实施封闭式运输，</w:t>
            </w:r>
            <w:r>
              <w:rPr>
                <w:rFonts w:hint="eastAsia" w:ascii="Times New Roman" w:hAnsi="Times New Roman"/>
                <w:sz w:val="24"/>
              </w:rPr>
              <w:t>应对物料进行遮盖、遮挡，尽量减少沿途的逸洒，另外，在厂区出入口处设置</w:t>
            </w:r>
            <w:r>
              <w:rPr>
                <w:rFonts w:ascii="Times New Roman" w:hAnsi="Times New Roman"/>
                <w:sz w:val="24"/>
              </w:rPr>
              <w:t>1</w:t>
            </w:r>
            <w:r>
              <w:rPr>
                <w:rFonts w:hint="eastAsia" w:ascii="Times New Roman" w:hAnsi="Times New Roman"/>
                <w:sz w:val="24"/>
              </w:rPr>
              <w:t>套运输车辆轮胎清洗设施，并在进厂时控制车速，以此来减少运输过程中粉尘的产生量；</w:t>
            </w:r>
            <w:r>
              <w:rPr>
                <w:rFonts w:hint="eastAsia" w:ascii="Times New Roman" w:hAnsi="Times New Roman"/>
                <w:bCs/>
                <w:sz w:val="24"/>
              </w:rPr>
              <w:t>要求项目企业加强管理，对厂区内地面</w:t>
            </w:r>
            <w:r>
              <w:rPr>
                <w:rFonts w:hint="eastAsia" w:ascii="Times New Roman" w:hAnsi="Times New Roman"/>
                <w:kern w:val="0"/>
                <w:sz w:val="24"/>
              </w:rPr>
              <w:t>定期派专人进行路面清扫、洒水，以减少道路扬尘。</w:t>
            </w:r>
            <w:r>
              <w:rPr>
                <w:rFonts w:hint="eastAsia" w:ascii="Times New Roman" w:hAnsi="Times New Roman"/>
                <w:sz w:val="24"/>
              </w:rPr>
              <w:t>经过采取一定的降尘措施后，</w:t>
            </w:r>
            <w:r>
              <w:rPr>
                <w:rFonts w:hint="eastAsia" w:ascii="Times New Roman" w:hAnsi="Times New Roman"/>
                <w:bCs/>
                <w:sz w:val="24"/>
                <w:szCs w:val="24"/>
              </w:rPr>
              <w:t>无组织粉尘经过大气扩散、绿化吸附后，</w:t>
            </w:r>
            <w:r>
              <w:rPr>
                <w:rFonts w:hint="eastAsia" w:ascii="Times New Roman" w:hAnsi="Times New Roman"/>
                <w:bCs/>
                <w:sz w:val="24"/>
              </w:rPr>
              <w:t>无组织</w:t>
            </w:r>
            <w:r>
              <w:rPr>
                <w:rFonts w:hint="eastAsia" w:ascii="Times New Roman" w:hAnsi="Times New Roman"/>
                <w:sz w:val="24"/>
              </w:rPr>
              <w:t>粉尘排放量不大，经过预测厂界浓度《水泥工业大气污染物排放标准》（</w:t>
            </w:r>
            <w:r>
              <w:rPr>
                <w:rFonts w:ascii="Times New Roman" w:hAnsi="Times New Roman"/>
                <w:sz w:val="24"/>
              </w:rPr>
              <w:t>GB4915-2013</w:t>
            </w:r>
            <w:r>
              <w:rPr>
                <w:rFonts w:hint="eastAsia" w:ascii="Times New Roman" w:hAnsi="Times New Roman"/>
                <w:sz w:val="24"/>
              </w:rPr>
              <w:t>）中无组织排放监控浓度限值</w:t>
            </w:r>
            <w:r>
              <w:rPr>
                <w:rFonts w:ascii="Times New Roman" w:hAnsi="Times New Roman"/>
                <w:sz w:val="24"/>
              </w:rPr>
              <w:t>≤0.5mg/m</w:t>
            </w:r>
            <w:r>
              <w:rPr>
                <w:rFonts w:ascii="Times New Roman" w:hAnsi="Times New Roman"/>
                <w:sz w:val="24"/>
                <w:vertAlign w:val="superscript"/>
              </w:rPr>
              <w:t>3</w:t>
            </w:r>
            <w:r>
              <w:rPr>
                <w:rFonts w:hint="eastAsia" w:ascii="Times New Roman" w:hAnsi="Times New Roman"/>
                <w:sz w:val="24"/>
              </w:rPr>
              <w:t>。</w:t>
            </w:r>
          </w:p>
          <w:p>
            <w:pPr>
              <w:adjustRightInd w:val="0"/>
              <w:spacing w:line="360" w:lineRule="auto"/>
              <w:ind w:firstLine="482"/>
              <w:rPr>
                <w:rFonts w:ascii="Times New Roman" w:hAnsi="Times New Roman"/>
                <w:sz w:val="24"/>
              </w:rPr>
            </w:pPr>
            <w:r>
              <w:rPr>
                <w:rFonts w:hint="eastAsia" w:ascii="Times New Roman" w:hAnsi="Times New Roman"/>
                <w:bCs/>
                <w:sz w:val="24"/>
              </w:rPr>
              <w:t>筒仓</w:t>
            </w:r>
            <w:r>
              <w:rPr>
                <w:rFonts w:hint="eastAsia" w:ascii="Times New Roman" w:hAnsi="Times New Roman"/>
                <w:sz w:val="24"/>
                <w:szCs w:val="24"/>
              </w:rPr>
              <w:t>顶部及搅拌机顶部均采取</w:t>
            </w:r>
            <w:r>
              <w:rPr>
                <w:rFonts w:hint="eastAsia" w:ascii="Times New Roman" w:hAnsi="Times New Roman"/>
                <w:bCs/>
                <w:sz w:val="24"/>
              </w:rPr>
              <w:t>负压吸风脉冲式除尘装置除尘后，</w:t>
            </w:r>
            <w:r>
              <w:rPr>
                <w:rFonts w:hint="eastAsia" w:ascii="Times New Roman" w:hAnsi="Times New Roman"/>
                <w:sz w:val="24"/>
                <w:szCs w:val="24"/>
              </w:rPr>
              <w:t>除尘后的粉尘气体经距离地面</w:t>
            </w:r>
            <w:r>
              <w:rPr>
                <w:rFonts w:ascii="Times New Roman" w:hAnsi="Times New Roman"/>
                <w:sz w:val="24"/>
                <w:szCs w:val="24"/>
              </w:rPr>
              <w:t>15m</w:t>
            </w:r>
            <w:r>
              <w:rPr>
                <w:rFonts w:hint="eastAsia" w:ascii="Times New Roman" w:hAnsi="Times New Roman"/>
                <w:sz w:val="24"/>
                <w:szCs w:val="24"/>
              </w:rPr>
              <w:t>高排气口排放，</w:t>
            </w:r>
            <w:r>
              <w:rPr>
                <w:rFonts w:hint="eastAsia" w:ascii="Times New Roman" w:hAnsi="Times New Roman"/>
                <w:sz w:val="24"/>
              </w:rPr>
              <w:t>粉尘排放浓度可以达到《水泥工业大气污物排放标准》（</w:t>
            </w:r>
            <w:r>
              <w:rPr>
                <w:rFonts w:ascii="Times New Roman" w:hAnsi="Times New Roman"/>
                <w:sz w:val="24"/>
              </w:rPr>
              <w:t>GB4915-2013</w:t>
            </w:r>
            <w:r>
              <w:rPr>
                <w:rFonts w:hint="eastAsia" w:ascii="Times New Roman" w:hAnsi="Times New Roman"/>
                <w:sz w:val="24"/>
              </w:rPr>
              <w:t>）表</w:t>
            </w:r>
            <w:r>
              <w:rPr>
                <w:rFonts w:ascii="Times New Roman" w:hAnsi="Times New Roman"/>
                <w:sz w:val="24"/>
              </w:rPr>
              <w:t>1</w:t>
            </w:r>
            <w:r>
              <w:rPr>
                <w:rFonts w:hint="eastAsia" w:ascii="Times New Roman" w:hAnsi="Times New Roman"/>
                <w:sz w:val="24"/>
              </w:rPr>
              <w:t>中颗粒物有组织排放浓度限值</w:t>
            </w:r>
            <w:r>
              <w:rPr>
                <w:rFonts w:ascii="Times New Roman" w:hAnsi="Times New Roman"/>
                <w:sz w:val="24"/>
              </w:rPr>
              <w:t>≤20 mg/m</w:t>
            </w:r>
            <w:r>
              <w:rPr>
                <w:rFonts w:ascii="Times New Roman" w:hAnsi="Times New Roman"/>
                <w:sz w:val="24"/>
                <w:vertAlign w:val="superscript"/>
              </w:rPr>
              <w:t>3</w:t>
            </w:r>
            <w:r>
              <w:rPr>
                <w:rFonts w:hint="eastAsia" w:ascii="Times New Roman" w:hAnsi="Times New Roman"/>
                <w:sz w:val="24"/>
              </w:rPr>
              <w:t>。</w:t>
            </w:r>
          </w:p>
          <w:p>
            <w:pPr>
              <w:spacing w:line="360" w:lineRule="auto"/>
              <w:ind w:firstLine="482"/>
              <w:rPr>
                <w:rFonts w:ascii="Times New Roman" w:hAnsi="Times New Roman"/>
                <w:bCs/>
                <w:sz w:val="24"/>
              </w:rPr>
            </w:pPr>
            <w:r>
              <w:rPr>
                <w:rFonts w:hint="eastAsia" w:ascii="Times New Roman" w:hAnsi="Times New Roman"/>
                <w:bCs/>
                <w:sz w:val="24"/>
              </w:rPr>
              <w:t>食堂油烟采用</w:t>
            </w:r>
            <w:r>
              <w:rPr>
                <w:rFonts w:ascii="Times New Roman" w:hAnsi="Times New Roman"/>
                <w:bCs/>
                <w:sz w:val="24"/>
              </w:rPr>
              <w:t>1</w:t>
            </w:r>
            <w:r>
              <w:rPr>
                <w:rFonts w:hint="eastAsia" w:ascii="Times New Roman" w:hAnsi="Times New Roman"/>
                <w:bCs/>
                <w:sz w:val="24"/>
              </w:rPr>
              <w:t>套油烟净化装置净化处理后，</w:t>
            </w:r>
            <w:r>
              <w:rPr>
                <w:rFonts w:hint="eastAsia" w:ascii="Times New Roman" w:hAnsi="Times New Roman"/>
                <w:sz w:val="24"/>
              </w:rPr>
              <w:t>由项目厨房的专用烟道排放，</w:t>
            </w:r>
            <w:r>
              <w:rPr>
                <w:rFonts w:hint="eastAsia" w:ascii="Times New Roman" w:hAnsi="Times New Roman"/>
                <w:bCs/>
                <w:sz w:val="24"/>
              </w:rPr>
              <w:t>油烟排放浓度能够满足</w:t>
            </w:r>
            <w:r>
              <w:rPr>
                <w:rFonts w:hint="eastAsia" w:ascii="Times New Roman" w:hAnsi="Times New Roman"/>
                <w:sz w:val="24"/>
              </w:rPr>
              <w:t>《饮食业油烟排放标准》（</w:t>
            </w:r>
            <w:r>
              <w:rPr>
                <w:rFonts w:ascii="Times New Roman" w:hAnsi="Times New Roman"/>
                <w:sz w:val="24"/>
              </w:rPr>
              <w:t>GB18483-2001</w:t>
            </w:r>
            <w:r>
              <w:rPr>
                <w:rFonts w:hint="eastAsia" w:ascii="Times New Roman" w:hAnsi="Times New Roman"/>
                <w:sz w:val="24"/>
              </w:rPr>
              <w:t>）小型规模排放限值的要求。</w:t>
            </w:r>
            <w:r>
              <w:rPr>
                <w:rFonts w:hint="eastAsia" w:ascii="Times New Roman" w:hAnsi="Times New Roman"/>
                <w:bCs/>
                <w:sz w:val="24"/>
              </w:rPr>
              <w:t>项目区汽车尾气及化粪池、污水收集池、垃圾桶等异味经自然扩散、绿化吸附后，对周围环境影响不大。</w:t>
            </w:r>
          </w:p>
          <w:p>
            <w:pPr>
              <w:pStyle w:val="10"/>
              <w:adjustRightInd w:val="0"/>
              <w:snapToGrid w:val="0"/>
              <w:spacing w:line="360" w:lineRule="auto"/>
              <w:ind w:firstLine="560" w:firstLineChars="200"/>
              <w:rPr>
                <w:szCs w:val="24"/>
              </w:rPr>
            </w:pPr>
            <w:r>
              <w:rPr>
                <w:szCs w:val="24"/>
              </w:rPr>
              <w:t>2</w:t>
            </w:r>
            <w:r>
              <w:rPr>
                <w:rFonts w:hint="eastAsia"/>
                <w:szCs w:val="24"/>
              </w:rPr>
              <w:t>）水环境影响分析结论</w:t>
            </w:r>
          </w:p>
          <w:p>
            <w:pPr>
              <w:pStyle w:val="10"/>
              <w:adjustRightInd w:val="0"/>
              <w:snapToGrid w:val="0"/>
              <w:spacing w:line="360" w:lineRule="auto"/>
              <w:ind w:firstLine="560" w:firstLineChars="200"/>
              <w:rPr>
                <w:szCs w:val="24"/>
              </w:rPr>
            </w:pPr>
            <w:r>
              <w:rPr>
                <w:rFonts w:hint="eastAsia"/>
                <w:szCs w:val="24"/>
              </w:rPr>
              <w:t>项目实行雨污分流，生产区的初期雨水经四周的雨水收集沟收集，流入厂区设置的初期雨水沉淀池进行沉淀后，回用于生产，后期雨水则通过截水沟外排。食堂废水首先经过油水分离器隔油处理后，同生活污水经过化粪池沉淀发酵处理，办公区、生活区化粪池污水暂存于污水收集池部分用于晴天项目区绿化浇灌，部分定期委托环卫部门清运处置，不外排；生产废水经过三级沉淀处理后全部回用于生产或者旱季用于原料堆场抑尘用水，不外排。</w:t>
            </w:r>
          </w:p>
          <w:p>
            <w:pPr>
              <w:pStyle w:val="10"/>
              <w:adjustRightInd w:val="0"/>
              <w:snapToGrid w:val="0"/>
              <w:spacing w:line="360" w:lineRule="auto"/>
              <w:ind w:firstLine="560" w:firstLineChars="200"/>
              <w:rPr>
                <w:szCs w:val="24"/>
              </w:rPr>
            </w:pPr>
            <w:r>
              <w:rPr>
                <w:szCs w:val="24"/>
              </w:rPr>
              <w:t>3</w:t>
            </w:r>
            <w:r>
              <w:rPr>
                <w:rFonts w:hint="eastAsia"/>
                <w:szCs w:val="24"/>
              </w:rPr>
              <w:t>）声环境影响分析结论</w:t>
            </w:r>
          </w:p>
          <w:p>
            <w:pPr>
              <w:spacing w:line="360" w:lineRule="auto"/>
              <w:ind w:firstLine="640" w:firstLineChars="200"/>
              <w:rPr>
                <w:rFonts w:ascii="Times New Roman" w:hAnsi="Times New Roman"/>
                <w:color w:val="000000"/>
              </w:rPr>
            </w:pPr>
            <w:r>
              <w:rPr>
                <w:rFonts w:ascii="Times New Roman" w:hAnsi="Times New Roman"/>
                <w:color w:val="000000"/>
              </w:rPr>
              <w:t xml:space="preserve">  </w:t>
            </w:r>
            <w:r>
              <w:rPr>
                <w:rFonts w:hint="eastAsia" w:ascii="Times New Roman" w:hAnsi="Times New Roman"/>
                <w:bCs/>
                <w:sz w:val="24"/>
                <w:szCs w:val="24"/>
              </w:rPr>
              <w:t>项目运营期噪声为</w:t>
            </w:r>
            <w:r>
              <w:rPr>
                <w:rFonts w:hint="eastAsia" w:ascii="Times New Roman" w:hAnsi="Times New Roman"/>
                <w:sz w:val="24"/>
              </w:rPr>
              <w:t>搅拌机组、装载机、泵类、空压机、皮带输送机等，</w:t>
            </w:r>
            <w:r>
              <w:rPr>
                <w:rFonts w:hint="eastAsia" w:ascii="Times New Roman" w:hAnsi="Times New Roman"/>
                <w:bCs/>
                <w:sz w:val="24"/>
                <w:szCs w:val="24"/>
              </w:rPr>
              <w:t>噪声源强为</w:t>
            </w:r>
            <w:r>
              <w:rPr>
                <w:rFonts w:ascii="Times New Roman" w:hAnsi="Times New Roman"/>
                <w:bCs/>
                <w:sz w:val="24"/>
                <w:szCs w:val="24"/>
              </w:rPr>
              <w:t>70</w:t>
            </w:r>
            <w:r>
              <w:rPr>
                <w:rFonts w:hint="eastAsia" w:ascii="Times New Roman" w:hAnsi="Times New Roman"/>
                <w:bCs/>
                <w:sz w:val="24"/>
                <w:szCs w:val="24"/>
              </w:rPr>
              <w:t>～</w:t>
            </w:r>
            <w:r>
              <w:rPr>
                <w:rFonts w:ascii="Times New Roman" w:hAnsi="Times New Roman"/>
                <w:bCs/>
                <w:sz w:val="24"/>
                <w:szCs w:val="24"/>
              </w:rPr>
              <w:t>90dB</w:t>
            </w:r>
            <w:r>
              <w:rPr>
                <w:rFonts w:hint="eastAsia" w:ascii="Times New Roman" w:hAnsi="Times New Roman"/>
                <w:bCs/>
                <w:sz w:val="24"/>
                <w:szCs w:val="24"/>
              </w:rPr>
              <w:t>（</w:t>
            </w:r>
            <w:r>
              <w:rPr>
                <w:rFonts w:ascii="Times New Roman" w:hAnsi="Times New Roman"/>
                <w:bCs/>
                <w:sz w:val="24"/>
                <w:szCs w:val="24"/>
              </w:rPr>
              <w:t>A</w:t>
            </w:r>
            <w:r>
              <w:rPr>
                <w:rFonts w:hint="eastAsia" w:ascii="Times New Roman" w:hAnsi="Times New Roman"/>
                <w:bCs/>
                <w:sz w:val="24"/>
                <w:szCs w:val="24"/>
              </w:rPr>
              <w:t>），通过</w:t>
            </w:r>
            <w:r>
              <w:rPr>
                <w:rFonts w:hint="eastAsia" w:ascii="Times New Roman" w:hAnsi="Times New Roman"/>
                <w:bCs/>
                <w:sz w:val="24"/>
              </w:rPr>
              <w:t>加强管理，</w:t>
            </w:r>
            <w:r>
              <w:rPr>
                <w:rFonts w:hint="eastAsia" w:ascii="Times New Roman" w:hAnsi="Times New Roman"/>
                <w:kern w:val="0"/>
                <w:sz w:val="24"/>
                <w:szCs w:val="24"/>
              </w:rPr>
              <w:t>选用低噪声设备，</w:t>
            </w:r>
            <w:r>
              <w:rPr>
                <w:rFonts w:hint="eastAsia" w:ascii="Times New Roman" w:hAnsi="Times New Roman"/>
                <w:bCs/>
                <w:sz w:val="24"/>
              </w:rPr>
              <w:t>高噪声设备集中布置，并对设备采用软连接、防振垫、绿化围墙隔声；</w:t>
            </w:r>
            <w:r>
              <w:rPr>
                <w:rFonts w:hint="eastAsia" w:ascii="Times New Roman" w:hAnsi="Times New Roman"/>
                <w:kern w:val="0"/>
                <w:sz w:val="24"/>
                <w:szCs w:val="24"/>
              </w:rPr>
              <w:t>定期对设备进行维修、养护等措施处理</w:t>
            </w:r>
            <w:r>
              <w:rPr>
                <w:rFonts w:hint="eastAsia" w:ascii="Times New Roman" w:hAnsi="Times New Roman"/>
                <w:sz w:val="24"/>
              </w:rPr>
              <w:t>后经预测分析</w:t>
            </w:r>
            <w:r>
              <w:rPr>
                <w:rFonts w:hint="eastAsia" w:ascii="Times New Roman" w:hAnsi="Times New Roman"/>
                <w:bCs/>
                <w:sz w:val="24"/>
              </w:rPr>
              <w:t>测厂界可</w:t>
            </w:r>
            <w:r>
              <w:rPr>
                <w:rFonts w:hint="eastAsia" w:ascii="Times New Roman" w:hAnsi="Times New Roman"/>
                <w:sz w:val="24"/>
              </w:rPr>
              <w:t>达到</w:t>
            </w:r>
            <w:r>
              <w:rPr>
                <w:rFonts w:hint="eastAsia" w:ascii="Times New Roman" w:hAnsi="Times New Roman"/>
                <w:sz w:val="24"/>
                <w:szCs w:val="24"/>
              </w:rPr>
              <w:t>《工业企业厂界环境噪声排放标准》（</w:t>
            </w:r>
            <w:r>
              <w:rPr>
                <w:rFonts w:ascii="Times New Roman" w:hAnsi="Times New Roman"/>
                <w:sz w:val="24"/>
                <w:szCs w:val="24"/>
              </w:rPr>
              <w:t>GB12348-2008</w:t>
            </w: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类标准；</w:t>
            </w:r>
            <w:r>
              <w:rPr>
                <w:rFonts w:hint="eastAsia" w:ascii="Times New Roman" w:hAnsi="Times New Roman"/>
                <w:bCs/>
                <w:sz w:val="24"/>
                <w:szCs w:val="24"/>
              </w:rPr>
              <w:t>项目对周围敏感点的影响可接受</w:t>
            </w:r>
            <w:r>
              <w:rPr>
                <w:rFonts w:hint="eastAsia" w:ascii="Times New Roman" w:hAnsi="Times New Roman"/>
                <w:sz w:val="24"/>
              </w:rPr>
              <w:t>。</w:t>
            </w:r>
          </w:p>
          <w:p>
            <w:pPr>
              <w:pStyle w:val="10"/>
              <w:adjustRightInd w:val="0"/>
              <w:snapToGrid w:val="0"/>
              <w:spacing w:line="360" w:lineRule="auto"/>
              <w:ind w:firstLine="560" w:firstLineChars="200"/>
              <w:rPr>
                <w:bCs/>
                <w:kern w:val="52"/>
                <w:szCs w:val="24"/>
              </w:rPr>
            </w:pPr>
            <w:r>
              <w:rPr>
                <w:bCs/>
                <w:kern w:val="52"/>
                <w:szCs w:val="24"/>
              </w:rPr>
              <w:t>4</w:t>
            </w:r>
            <w:r>
              <w:rPr>
                <w:rFonts w:hint="eastAsia"/>
                <w:bCs/>
                <w:kern w:val="52"/>
                <w:szCs w:val="24"/>
              </w:rPr>
              <w:t>）</w:t>
            </w:r>
            <w:r>
              <w:rPr>
                <w:rFonts w:hint="eastAsia"/>
                <w:szCs w:val="24"/>
              </w:rPr>
              <w:t>固体废物影响分析结论</w:t>
            </w:r>
          </w:p>
          <w:p>
            <w:pPr>
              <w:autoSpaceDE w:val="0"/>
              <w:autoSpaceDN w:val="0"/>
              <w:adjustRightInd w:val="0"/>
              <w:snapToGrid w:val="0"/>
              <w:spacing w:line="360" w:lineRule="auto"/>
              <w:ind w:firstLine="480" w:firstLineChars="200"/>
              <w:rPr>
                <w:rFonts w:ascii="Times New Roman" w:hAnsi="Times New Roman"/>
                <w:kern w:val="0"/>
                <w:sz w:val="24"/>
                <w:szCs w:val="24"/>
              </w:rPr>
            </w:pPr>
            <w:r>
              <w:rPr>
                <w:rFonts w:ascii="Times New Roman" w:hAnsi="Times New Roman"/>
                <w:sz w:val="24"/>
              </w:rPr>
              <w:t xml:space="preserve"> </w:t>
            </w:r>
            <w:r>
              <w:rPr>
                <w:rFonts w:hint="eastAsia" w:ascii="Times New Roman" w:hAnsi="Times New Roman"/>
                <w:sz w:val="24"/>
              </w:rPr>
              <w:t>项目产生的生产固废用于场外运输道路回填或外售周边砖厂；筒仓顶部及搅拌主机均自带脉冲式除尘，回收粉尘作为原料回用于生产；生活垃圾通过集中收集后，能回收利用部分回收，其余无法回收部分生活垃圾，委托环卫部门清运处置；食堂泔水及废油脂企业采用塑料桶分类收集后，要求建设单位严格按照当地相关政府部门管理要求进行处置；</w:t>
            </w:r>
            <w:r>
              <w:rPr>
                <w:rFonts w:hint="eastAsia" w:ascii="Times New Roman" w:hAnsi="Times New Roman"/>
                <w:bCs/>
                <w:sz w:val="24"/>
              </w:rPr>
              <w:t>储油罐清洗委托有危险废物处置资质的单位进行清洗，罐底油泥、油渣随着清洗产生的废液由清洗单位负责统一清运收集后直接带离厂区，不在项目区储存。</w:t>
            </w:r>
            <w:r>
              <w:rPr>
                <w:rFonts w:hint="eastAsia" w:ascii="Times New Roman" w:hAnsi="Times New Roman"/>
                <w:sz w:val="24"/>
                <w:szCs w:val="24"/>
              </w:rPr>
              <w:t>综上，固废处置率为</w:t>
            </w:r>
            <w:r>
              <w:rPr>
                <w:rFonts w:ascii="Times New Roman" w:hAnsi="Times New Roman"/>
                <w:sz w:val="24"/>
                <w:szCs w:val="24"/>
              </w:rPr>
              <w:t>100%</w:t>
            </w:r>
            <w:r>
              <w:rPr>
                <w:rFonts w:hint="eastAsia" w:ascii="Times New Roman" w:hAnsi="Times New Roman"/>
                <w:sz w:val="24"/>
                <w:szCs w:val="24"/>
              </w:rPr>
              <w:t>。</w:t>
            </w: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widowControl/>
              <w:spacing w:line="360" w:lineRule="auto"/>
              <w:jc w:val="center"/>
              <w:rPr>
                <w:rFonts w:ascii="Times New Roman" w:hAnsi="Times New Roman"/>
                <w:kern w:val="0"/>
                <w:sz w:val="24"/>
                <w:szCs w:val="24"/>
              </w:rPr>
            </w:pPr>
            <w:r>
              <w:rPr>
                <w:rFonts w:hint="eastAsia" w:ascii="Times New Roman" w:hAnsi="Times New Roman"/>
                <w:kern w:val="0"/>
                <w:sz w:val="24"/>
                <w:szCs w:val="24"/>
              </w:rPr>
              <w:t>项目预防及减轻不良环境影响的对策和措施</w:t>
            </w:r>
          </w:p>
        </w:tc>
      </w:tr>
      <w:tr>
        <w:tblPrEx>
          <w:tblCellMar>
            <w:top w:w="0" w:type="dxa"/>
            <w:left w:w="108" w:type="dxa"/>
            <w:bottom w:w="0" w:type="dxa"/>
            <w:right w:w="108" w:type="dxa"/>
          </w:tblCellMar>
        </w:tblPrEx>
        <w:trPr>
          <w:trHeight w:val="3045"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imes New Roman" w:hAnsi="Times New Roman"/>
                <w:b/>
                <w:bCs/>
                <w:kern w:val="0"/>
                <w:sz w:val="24"/>
                <w:szCs w:val="24"/>
              </w:rPr>
            </w:pPr>
            <w:r>
              <w:rPr>
                <w:rFonts w:hint="eastAsia" w:ascii="Times New Roman" w:hAnsi="Times New Roman"/>
                <w:b/>
                <w:bCs/>
                <w:kern w:val="0"/>
                <w:sz w:val="24"/>
                <w:szCs w:val="24"/>
              </w:rPr>
              <w:t>一、施工期防治措施</w:t>
            </w:r>
          </w:p>
          <w:p>
            <w:pPr>
              <w:adjustRightInd w:val="0"/>
              <w:snapToGrid w:val="0"/>
              <w:spacing w:line="360" w:lineRule="auto"/>
              <w:rPr>
                <w:rFonts w:ascii="Times New Roman" w:hAnsi="Times New Roman"/>
                <w:b/>
                <w:sz w:val="24"/>
              </w:rPr>
            </w:pPr>
            <w:r>
              <w:rPr>
                <w:rFonts w:ascii="Times New Roman" w:hAnsi="Times New Roman"/>
                <w:b/>
                <w:sz w:val="24"/>
              </w:rPr>
              <w:t>1</w:t>
            </w:r>
            <w:r>
              <w:rPr>
                <w:rFonts w:hint="eastAsia" w:ascii="Times New Roman" w:hAnsi="Times New Roman"/>
                <w:b/>
                <w:sz w:val="24"/>
              </w:rPr>
              <w:t>、大气污染防治措施</w:t>
            </w:r>
          </w:p>
          <w:p>
            <w:pPr>
              <w:pStyle w:val="11"/>
              <w:spacing w:line="360" w:lineRule="auto"/>
              <w:ind w:firstLine="480" w:firstLineChars="200"/>
              <w:rPr>
                <w:rFonts w:ascii="Times New Roman" w:hAnsi="Times New Roman"/>
                <w:sz w:val="24"/>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w:t>
            </w:r>
            <w:r>
              <w:rPr>
                <w:rFonts w:hint="eastAsia" w:ascii="Times New Roman" w:hAnsi="Times New Roman"/>
                <w:sz w:val="24"/>
                <w:szCs w:val="24"/>
              </w:rPr>
              <w:t>施工扬尘防治做到</w:t>
            </w:r>
            <w:r>
              <w:rPr>
                <w:rFonts w:ascii="Times New Roman" w:hAnsi="Times New Roman"/>
                <w:sz w:val="24"/>
                <w:szCs w:val="24"/>
              </w:rPr>
              <w:t>“</w:t>
            </w:r>
            <w:r>
              <w:rPr>
                <w:rFonts w:hint="eastAsia" w:ascii="Times New Roman" w:hAnsi="Times New Roman"/>
                <w:sz w:val="24"/>
                <w:szCs w:val="24"/>
              </w:rPr>
              <w:t>六个百分之百的目标</w:t>
            </w:r>
            <w:r>
              <w:rPr>
                <w:rFonts w:ascii="Times New Roman" w:hAnsi="Times New Roman"/>
                <w:sz w:val="24"/>
                <w:szCs w:val="24"/>
              </w:rPr>
              <w:t>”</w:t>
            </w:r>
            <w:r>
              <w:rPr>
                <w:rFonts w:hint="eastAsia" w:ascii="Times New Roman" w:hAnsi="Times New Roman"/>
                <w:sz w:val="24"/>
                <w:szCs w:val="24"/>
              </w:rPr>
              <w:t>，即施工工地</w:t>
            </w:r>
            <w:r>
              <w:rPr>
                <w:rFonts w:ascii="Times New Roman" w:hAnsi="Times New Roman"/>
                <w:sz w:val="24"/>
                <w:szCs w:val="24"/>
              </w:rPr>
              <w:t>100%</w:t>
            </w:r>
            <w:r>
              <w:rPr>
                <w:rFonts w:hint="eastAsia" w:ascii="Times New Roman" w:hAnsi="Times New Roman"/>
                <w:sz w:val="24"/>
                <w:szCs w:val="24"/>
              </w:rPr>
              <w:t>围挡、物料堆放</w:t>
            </w:r>
            <w:r>
              <w:rPr>
                <w:rFonts w:ascii="Times New Roman" w:hAnsi="Times New Roman"/>
                <w:sz w:val="24"/>
                <w:szCs w:val="24"/>
              </w:rPr>
              <w:t>100%</w:t>
            </w:r>
            <w:r>
              <w:rPr>
                <w:rFonts w:hint="eastAsia" w:ascii="Times New Roman" w:hAnsi="Times New Roman"/>
                <w:sz w:val="24"/>
                <w:szCs w:val="24"/>
              </w:rPr>
              <w:t>覆盖、出入车辆</w:t>
            </w:r>
            <w:r>
              <w:rPr>
                <w:rFonts w:ascii="Times New Roman" w:hAnsi="Times New Roman"/>
                <w:sz w:val="24"/>
                <w:szCs w:val="24"/>
              </w:rPr>
              <w:t>100%</w:t>
            </w:r>
            <w:r>
              <w:rPr>
                <w:rFonts w:hint="eastAsia" w:ascii="Times New Roman" w:hAnsi="Times New Roman"/>
                <w:sz w:val="24"/>
                <w:szCs w:val="24"/>
              </w:rPr>
              <w:t>冲洗、施工现场地面</w:t>
            </w:r>
            <w:r>
              <w:rPr>
                <w:rFonts w:ascii="Times New Roman" w:hAnsi="Times New Roman"/>
                <w:sz w:val="24"/>
                <w:szCs w:val="24"/>
              </w:rPr>
              <w:t>100%</w:t>
            </w:r>
            <w:r>
              <w:rPr>
                <w:rFonts w:hint="eastAsia" w:ascii="Times New Roman" w:hAnsi="Times New Roman"/>
                <w:sz w:val="24"/>
                <w:szCs w:val="24"/>
              </w:rPr>
              <w:t>硬化、拆迁工地</w:t>
            </w:r>
            <w:r>
              <w:rPr>
                <w:rFonts w:ascii="Times New Roman" w:hAnsi="Times New Roman"/>
                <w:sz w:val="24"/>
                <w:szCs w:val="24"/>
              </w:rPr>
              <w:t>100%</w:t>
            </w:r>
            <w:r>
              <w:rPr>
                <w:rFonts w:hint="eastAsia" w:ascii="Times New Roman" w:hAnsi="Times New Roman"/>
                <w:sz w:val="24"/>
                <w:szCs w:val="24"/>
              </w:rPr>
              <w:t>湿法作业、渣土作业</w:t>
            </w:r>
            <w:r>
              <w:rPr>
                <w:rFonts w:ascii="Times New Roman" w:hAnsi="Times New Roman"/>
                <w:sz w:val="24"/>
                <w:szCs w:val="24"/>
              </w:rPr>
              <w:t>100%</w:t>
            </w:r>
            <w:r>
              <w:rPr>
                <w:rFonts w:hint="eastAsia" w:ascii="Times New Roman" w:hAnsi="Times New Roman"/>
                <w:sz w:val="24"/>
                <w:szCs w:val="24"/>
              </w:rPr>
              <w:t>密闭运输。</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）对施工场地和汽车行驶的路面经常洒水，约每日</w:t>
            </w:r>
            <w:r>
              <w:rPr>
                <w:rFonts w:ascii="Times New Roman" w:hAnsi="Times New Roman"/>
                <w:sz w:val="24"/>
              </w:rPr>
              <w:t>4</w:t>
            </w:r>
            <w:r>
              <w:rPr>
                <w:rFonts w:hint="eastAsia" w:ascii="Times New Roman" w:hAnsi="Times New Roman"/>
                <w:sz w:val="24"/>
              </w:rPr>
              <w:t>～</w:t>
            </w:r>
            <w:r>
              <w:rPr>
                <w:rFonts w:ascii="Times New Roman" w:hAnsi="Times New Roman"/>
                <w:sz w:val="24"/>
              </w:rPr>
              <w:t>5</w:t>
            </w:r>
            <w:r>
              <w:rPr>
                <w:rFonts w:hint="eastAsia" w:ascii="Times New Roman" w:hAnsi="Times New Roman"/>
                <w:sz w:val="24"/>
              </w:rPr>
              <w:t>次，可以使空气中的扬尘减少</w:t>
            </w:r>
            <w:r>
              <w:rPr>
                <w:rFonts w:ascii="Times New Roman" w:hAnsi="Times New Roman"/>
                <w:sz w:val="24"/>
              </w:rPr>
              <w:t>70%</w:t>
            </w:r>
            <w:r>
              <w:rPr>
                <w:rFonts w:hint="eastAsia" w:ascii="Times New Roman" w:hAnsi="Times New Roman"/>
                <w:sz w:val="24"/>
              </w:rPr>
              <w:t>左右，使扬尘的影响范围缩小到</w:t>
            </w:r>
            <w:r>
              <w:rPr>
                <w:rFonts w:ascii="Times New Roman" w:hAnsi="Times New Roman"/>
                <w:sz w:val="24"/>
              </w:rPr>
              <w:t>20</w:t>
            </w:r>
            <w:r>
              <w:rPr>
                <w:rFonts w:hint="eastAsia" w:ascii="Times New Roman" w:hAnsi="Times New Roman"/>
                <w:sz w:val="24"/>
              </w:rPr>
              <w:t>～</w:t>
            </w:r>
            <w:r>
              <w:rPr>
                <w:rFonts w:ascii="Times New Roman" w:hAnsi="Times New Roman"/>
                <w:sz w:val="24"/>
              </w:rPr>
              <w:t>50</w:t>
            </w:r>
            <w:r>
              <w:rPr>
                <w:rFonts w:hint="eastAsia" w:ascii="Times New Roman" w:hAnsi="Times New Roman"/>
                <w:sz w:val="24"/>
              </w:rPr>
              <w:t>米的范围，大大减少施工扬尘对周围环境的影响。</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）对于建材和沙土的运输也应该加强管理，不得超载，减少建材和沙土的抛洒，定期清洗运输车辆轮胎等各种措施，防止在运输途中发生跑、冒、漏、滴。</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）对易起尘物料存放点进行遮盖，并远离周边环境敏感点。</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）优化施工期间运输车辆的出入场路径，对建筑物立面设置封闭的防护网，起到阻隔扬尘的作用。</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）严格按照</w:t>
            </w:r>
            <w:r>
              <w:rPr>
                <w:rFonts w:hint="eastAsia" w:ascii="Times New Roman" w:hAnsi="Times New Roman"/>
                <w:bCs/>
                <w:iCs/>
                <w:sz w:val="24"/>
              </w:rPr>
              <w:t>《城市建筑垃圾管理规定》</w:t>
            </w:r>
            <w:r>
              <w:rPr>
                <w:rFonts w:hint="eastAsia" w:ascii="Times New Roman" w:hAnsi="Times New Roman"/>
                <w:sz w:val="24"/>
              </w:rPr>
              <w:t>规定，粉尘逸散性的工程材料、砂石、土石方或废弃物应当用袋子集中堆置于工地区域，并覆盖防尘布或防护网。</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7</w:t>
            </w:r>
            <w:r>
              <w:rPr>
                <w:rFonts w:hint="eastAsia" w:ascii="Times New Roman" w:hAnsi="Times New Roman"/>
                <w:sz w:val="24"/>
              </w:rPr>
              <w:t>）建筑施工场地出口设置车辆冲洗平台，并配备沉淀池，对运输车辆进行冲洗，以防污染施工场地周边的城市道路。</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8</w:t>
            </w:r>
            <w:r>
              <w:rPr>
                <w:rFonts w:hint="eastAsia" w:ascii="Times New Roman" w:hAnsi="Times New Roman"/>
                <w:sz w:val="24"/>
              </w:rPr>
              <w:t>）运输车辆尽可能采用密闭车斗，并保证物料不遗撒外漏。若无密闭车斗，物料、垃圾、渣土的装载高度不得超过车辆槽帮上沿，车斗应用苫布遮盖严实，保证物料、渣土、垃圾不露出。车辆应按照批准的路线和时间进行运输。及时清扫施工现场洒落的沙石、水泥等物料，砂石堆场、场内的运输线路应定时洒水抑尘。</w:t>
            </w:r>
            <w:r>
              <w:rPr>
                <w:rFonts w:ascii="Times New Roman" w:hAnsi="Times New Roman"/>
                <w:sz w:val="24"/>
              </w:rPr>
              <w:t xml:space="preserve"> </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9</w:t>
            </w:r>
            <w:r>
              <w:rPr>
                <w:rFonts w:hint="eastAsia" w:ascii="Times New Roman" w:hAnsi="Times New Roman"/>
                <w:sz w:val="24"/>
              </w:rPr>
              <w:t>）选择优质高效设备，提高能源的使用率，并对各种燃油设备和车辆定期维护，保证其良好运行，减少废气的产生量。</w:t>
            </w:r>
          </w:p>
          <w:p>
            <w:pPr>
              <w:pStyle w:val="11"/>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10</w:t>
            </w:r>
            <w:r>
              <w:rPr>
                <w:rFonts w:hint="eastAsia" w:ascii="Times New Roman" w:hAnsi="Times New Roman"/>
                <w:sz w:val="24"/>
              </w:rPr>
              <w:t>）加强施工管理，大风天气应停止土方作业。</w:t>
            </w:r>
          </w:p>
          <w:p>
            <w:pPr>
              <w:adjustRightInd w:val="0"/>
              <w:snapToGrid w:val="0"/>
              <w:spacing w:line="360" w:lineRule="auto"/>
              <w:rPr>
                <w:rFonts w:ascii="Times New Roman" w:hAnsi="Times New Roman"/>
                <w:b/>
                <w:sz w:val="24"/>
              </w:rPr>
            </w:pPr>
            <w:r>
              <w:rPr>
                <w:rFonts w:ascii="Times New Roman" w:hAnsi="Times New Roman"/>
                <w:b/>
                <w:sz w:val="24"/>
              </w:rPr>
              <w:t>2</w:t>
            </w:r>
            <w:r>
              <w:rPr>
                <w:rFonts w:hint="eastAsia" w:ascii="Times New Roman" w:hAnsi="Times New Roman"/>
                <w:b/>
                <w:sz w:val="24"/>
              </w:rPr>
              <w:t>、水污染防治措施</w:t>
            </w:r>
          </w:p>
          <w:p>
            <w:pPr>
              <w:pStyle w:val="11"/>
              <w:spacing w:line="360" w:lineRule="auto"/>
              <w:ind w:firstLine="465"/>
              <w:rPr>
                <w:rFonts w:ascii="Times New Roman" w:hAnsi="Times New Roman"/>
                <w:kern w:val="0"/>
                <w:sz w:val="24"/>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）施工场地不设置施工营地，施工人员不在场地吃住，仅依托粉磨站现有的公厕，施工人员生活污水</w:t>
            </w:r>
            <w:r>
              <w:rPr>
                <w:rFonts w:hint="eastAsia" w:ascii="Times New Roman" w:hAnsi="Times New Roman"/>
                <w:sz w:val="24"/>
                <w:szCs w:val="24"/>
              </w:rPr>
              <w:t>进入已建的化粪池进行处理，</w:t>
            </w:r>
            <w:r>
              <w:rPr>
                <w:rFonts w:hint="eastAsia" w:ascii="Times New Roman" w:hAnsi="Times New Roman"/>
                <w:kern w:val="0"/>
                <w:sz w:val="24"/>
                <w:szCs w:val="24"/>
              </w:rPr>
              <w:t>对地表水环境不造成影响。</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w:t>
            </w:r>
            <w:r>
              <w:rPr>
                <w:rFonts w:hint="eastAsia" w:ascii="Times New Roman" w:hAnsi="Times New Roman"/>
                <w:sz w:val="24"/>
                <w:szCs w:val="24"/>
              </w:rPr>
              <w:t>项目区内设置有沉淀池，将施工废水回收沉淀后用于施工过程和场地洒水抑尘</w:t>
            </w:r>
            <w:r>
              <w:rPr>
                <w:rFonts w:hint="eastAsia" w:ascii="Times New Roman" w:hAnsi="Times New Roman"/>
                <w:sz w:val="24"/>
              </w:rPr>
              <w:t>。</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）地表径流经过沉淀处理后，回用施工过程及场地洒水抑尘，回用不完的情况下，经沉淀处理后就近排入项目区外沟渠，不会对地表水体造成影响。</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）开挖土石方需回填的就近堆放在开挖基坑两侧。雨天对开挖的土石方进行遮盖，减少水土流失避免对地表水体造成污染。</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）尽量选用先进的设备、机械，以有效地减少跑、冒、滴、漏的数量及机械维修次数，从而减少含油污水的产生量。</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）本环评要求施工中车辆维修、清洗到盈江县社会车辆维修清洗中心维修清洗。</w:t>
            </w:r>
          </w:p>
          <w:p>
            <w:pPr>
              <w:adjustRightInd w:val="0"/>
              <w:snapToGrid w:val="0"/>
              <w:spacing w:line="360" w:lineRule="auto"/>
              <w:rPr>
                <w:rFonts w:ascii="Times New Roman" w:hAnsi="Times New Roman"/>
                <w:b/>
                <w:sz w:val="24"/>
              </w:rPr>
            </w:pPr>
            <w:r>
              <w:rPr>
                <w:rFonts w:ascii="Times New Roman" w:hAnsi="Times New Roman"/>
                <w:b/>
                <w:sz w:val="24"/>
              </w:rPr>
              <w:t>3</w:t>
            </w:r>
            <w:r>
              <w:rPr>
                <w:rFonts w:hint="eastAsia" w:ascii="Times New Roman" w:hAnsi="Times New Roman"/>
                <w:b/>
                <w:sz w:val="24"/>
              </w:rPr>
              <w:t>、噪声污染防治措施</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）施工期间，施工车辆出入施工现场时应低速、禁鸣。</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）施工时通过采取合理布局，选用低噪声设备。</w:t>
            </w:r>
          </w:p>
          <w:p>
            <w:pPr>
              <w:pStyle w:val="20"/>
              <w:spacing w:line="360" w:lineRule="auto"/>
              <w:ind w:left="0" w:leftChars="0" w:firstLine="480"/>
              <w:rPr>
                <w:sz w:val="24"/>
              </w:rPr>
            </w:pPr>
            <w:r>
              <w:rPr>
                <w:rFonts w:hint="eastAsia"/>
                <w:sz w:val="24"/>
              </w:rPr>
              <w:t>（</w:t>
            </w:r>
            <w:r>
              <w:rPr>
                <w:sz w:val="24"/>
              </w:rPr>
              <w:t>3</w:t>
            </w:r>
            <w:r>
              <w:rPr>
                <w:rFonts w:hint="eastAsia"/>
                <w:sz w:val="24"/>
              </w:rPr>
              <w:t>）合理安排施工时间，禁止在</w:t>
            </w:r>
            <w:r>
              <w:rPr>
                <w:sz w:val="24"/>
              </w:rPr>
              <w:t>12</w:t>
            </w:r>
            <w:r>
              <w:rPr>
                <w:rFonts w:hint="eastAsia"/>
                <w:sz w:val="24"/>
              </w:rPr>
              <w:t>时至</w:t>
            </w:r>
            <w:r>
              <w:rPr>
                <w:sz w:val="24"/>
              </w:rPr>
              <w:t>14</w:t>
            </w:r>
            <w:r>
              <w:rPr>
                <w:rFonts w:hint="eastAsia"/>
                <w:sz w:val="24"/>
              </w:rPr>
              <w:t>时午休时间、</w:t>
            </w:r>
            <w:r>
              <w:rPr>
                <w:sz w:val="24"/>
              </w:rPr>
              <w:t>22</w:t>
            </w:r>
            <w:r>
              <w:rPr>
                <w:rFonts w:hint="eastAsia"/>
                <w:sz w:val="24"/>
              </w:rPr>
              <w:t>时至次日</w:t>
            </w:r>
            <w:r>
              <w:rPr>
                <w:sz w:val="24"/>
              </w:rPr>
              <w:t>6</w:t>
            </w:r>
            <w:r>
              <w:rPr>
                <w:rFonts w:hint="eastAsia"/>
                <w:sz w:val="24"/>
              </w:rPr>
              <w:t>时夜间进行施工作业。</w:t>
            </w:r>
            <w:r>
              <w:rPr>
                <w:sz w:val="24"/>
              </w:rPr>
              <w:t xml:space="preserve"> </w:t>
            </w:r>
            <w:r>
              <w:rPr>
                <w:rFonts w:hint="eastAsia"/>
                <w:sz w:val="24"/>
              </w:rPr>
              <w:t>但抢修、抢险作业和生产工艺需要连续作业的除外。若确需夜间施工的，应报当地生态环境部门，办理《夜间施工许可证》，并且一定要事先公告周围居民，以便取得谅解。</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加强对施工人员的环境宣传和教育，做到文明施工，建立健全控制人为噪声的管理制度，增强施工人员的环保意识，提高防止噪声扰民的自觉性，减少人为噪声污染。在施工现场禁止大声喧哗吵闹、高声唱歌或敲击工具等，作业中搬运物件，必须轻拿轻放，钢铁件堆放不发出大的声响，严禁抛掷物件而造成噪声。</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）建设方应严格按照施工规范加以控制。在靠近周边敏感点施工时应设置移动式隔声屏、选用低噪声机械，产噪较大的设备必须安排在白天使用，并进行隔声及减振处理。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）项目在进行物料运输时，应合理安排运输时间，选择最佳的进场道路，避免在夜间及交通拥挤时段进行，减缓交通噪声对居民的影响。</w:t>
            </w:r>
            <w:r>
              <w:rPr>
                <w:rFonts w:ascii="Times New Roman" w:hAnsi="Times New Roman"/>
                <w:sz w:val="24"/>
              </w:rPr>
              <w:t xml:space="preserve"> </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7</w:t>
            </w:r>
            <w:r>
              <w:rPr>
                <w:rFonts w:hint="eastAsia" w:ascii="Times New Roman" w:hAnsi="Times New Roman"/>
                <w:sz w:val="24"/>
              </w:rPr>
              <w:t>）在施工机械与设备与基础或连接部位之间采用弹簧减震、橡胶减震、管道减震、阻尼减震技术，可减少动量，降低噪声。</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8</w:t>
            </w:r>
            <w:r>
              <w:rPr>
                <w:rFonts w:hint="eastAsia" w:ascii="Times New Roman" w:hAnsi="Times New Roman"/>
                <w:sz w:val="24"/>
              </w:rPr>
              <w:t>）合理布局施工场地，在允许的情况下，高噪声施工机械设备布置在远离居民的位置。</w:t>
            </w:r>
          </w:p>
          <w:p>
            <w:pPr>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9</w:t>
            </w:r>
            <w:r>
              <w:rPr>
                <w:rFonts w:hint="eastAsia" w:ascii="Times New Roman" w:hAnsi="Times New Roman"/>
                <w:sz w:val="24"/>
              </w:rPr>
              <w:t>）项目施工期间应与施工方签订环境管理责任书，具体落实施工期噪声防治措施，减轻对声环境的不利影响，并防止扰民纠纷。建设单位还应在施工前应提前告知周边住户，希望能取得周边居民的理解，如果产生噪声纠纷，建设单位应与周边住户协商解决。</w:t>
            </w:r>
          </w:p>
          <w:p>
            <w:pPr>
              <w:adjustRightInd w:val="0"/>
              <w:snapToGrid w:val="0"/>
              <w:spacing w:line="360" w:lineRule="auto"/>
              <w:rPr>
                <w:rFonts w:ascii="Times New Roman" w:hAnsi="Times New Roman"/>
                <w:b/>
                <w:sz w:val="24"/>
              </w:rPr>
            </w:pPr>
            <w:r>
              <w:rPr>
                <w:rFonts w:ascii="Times New Roman" w:hAnsi="Times New Roman"/>
                <w:b/>
                <w:sz w:val="24"/>
              </w:rPr>
              <w:t>4</w:t>
            </w:r>
            <w:r>
              <w:rPr>
                <w:rFonts w:hint="eastAsia" w:ascii="Times New Roman" w:hAnsi="Times New Roman"/>
                <w:b/>
                <w:sz w:val="24"/>
              </w:rPr>
              <w:t>、施工期固体废弃物管理措施</w:t>
            </w:r>
          </w:p>
          <w:p>
            <w:pPr>
              <w:adjustRightInd w:val="0"/>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）规范施工期间施工车辆在物料运输过程中的操作，不得在运输过程中沿途丢弃、遗撒固体废物，以免造成物料泄漏，给区域环境卫生带来不良影响，避免形成道路扬尘二次污染。</w:t>
            </w:r>
          </w:p>
          <w:p>
            <w:pPr>
              <w:adjustRightInd w:val="0"/>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）对收集、贮存、运输、处置固体废物的设施、设备和场所，应当加强管理和维护，保证其正常运行和使用。</w:t>
            </w:r>
          </w:p>
          <w:p>
            <w:pPr>
              <w:adjustRightInd w:val="0"/>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3</w:t>
            </w:r>
            <w:r>
              <w:rPr>
                <w:rFonts w:hint="eastAsia" w:ascii="Times New Roman" w:hAnsi="Times New Roman"/>
                <w:sz w:val="24"/>
                <w:szCs w:val="24"/>
              </w:rPr>
              <w:t>）工程完工后，将工地及周围环境清理整洁，做到工完、料净、场地洁。</w:t>
            </w:r>
          </w:p>
          <w:p>
            <w:pPr>
              <w:keepNext/>
              <w:adjustRightInd w:val="0"/>
              <w:snapToGrid w:val="0"/>
              <w:spacing w:line="360" w:lineRule="auto"/>
              <w:ind w:firstLine="480"/>
              <w:rPr>
                <w:rFonts w:ascii="Times New Roman" w:hAnsi="Times New Roman"/>
                <w:bCs/>
                <w:sz w:val="24"/>
              </w:rPr>
            </w:pPr>
            <w:r>
              <w:rPr>
                <w:rFonts w:hint="eastAsia" w:ascii="Times New Roman" w:hAnsi="Times New Roman"/>
                <w:sz w:val="24"/>
                <w:szCs w:val="24"/>
              </w:rPr>
              <w:t>（</w:t>
            </w:r>
            <w:r>
              <w:rPr>
                <w:rFonts w:ascii="Times New Roman" w:hAnsi="Times New Roman"/>
                <w:sz w:val="24"/>
                <w:szCs w:val="24"/>
              </w:rPr>
              <w:t>4</w:t>
            </w:r>
            <w:r>
              <w:rPr>
                <w:rFonts w:hint="eastAsia" w:ascii="Times New Roman" w:hAnsi="Times New Roman"/>
                <w:sz w:val="24"/>
                <w:szCs w:val="24"/>
              </w:rPr>
              <w:t>）施工过程中产生的建筑垃圾，其中能回收利用的进行回收利用，不能回收利用部分，</w:t>
            </w:r>
            <w:r>
              <w:rPr>
                <w:rFonts w:hint="eastAsia" w:ascii="Times New Roman" w:hAnsi="Times New Roman"/>
                <w:bCs/>
                <w:sz w:val="24"/>
              </w:rPr>
              <w:t>由施工方负责清运至周边需要回填的场地进行回填或者清运至当地建设部门指定的地点堆放处置，禁止随意丢弃。</w:t>
            </w:r>
          </w:p>
          <w:p>
            <w:pPr>
              <w:keepNext/>
              <w:spacing w:line="360" w:lineRule="auto"/>
              <w:ind w:firstLine="482"/>
              <w:rPr>
                <w:rFonts w:ascii="Times New Roman" w:hAnsi="Times New Roman"/>
                <w:kern w:val="0"/>
                <w:sz w:val="24"/>
                <w:szCs w:val="24"/>
              </w:rPr>
            </w:pPr>
            <w:r>
              <w:rPr>
                <w:rFonts w:hint="eastAsia" w:ascii="Times New Roman" w:hAnsi="Times New Roman"/>
                <w:bCs/>
                <w:sz w:val="24"/>
              </w:rPr>
              <w:t>（</w:t>
            </w:r>
            <w:r>
              <w:rPr>
                <w:rFonts w:ascii="Times New Roman" w:hAnsi="Times New Roman"/>
                <w:bCs/>
                <w:sz w:val="24"/>
              </w:rPr>
              <w:t>5</w:t>
            </w:r>
            <w:r>
              <w:rPr>
                <w:rFonts w:hint="eastAsia" w:ascii="Times New Roman" w:hAnsi="Times New Roman"/>
                <w:bCs/>
                <w:sz w:val="24"/>
              </w:rPr>
              <w:t>）</w:t>
            </w:r>
            <w:r>
              <w:rPr>
                <w:rFonts w:hint="eastAsia" w:ascii="Times New Roman" w:hAnsi="Times New Roman"/>
                <w:sz w:val="24"/>
              </w:rPr>
              <w:t>废弃土石方</w:t>
            </w:r>
            <w:r>
              <w:rPr>
                <w:rFonts w:hint="eastAsia" w:ascii="Times New Roman" w:hAnsi="Times New Roman"/>
                <w:sz w:val="24"/>
                <w:szCs w:val="24"/>
              </w:rPr>
              <w:t>清运至和平社村民菜和</w:t>
            </w:r>
            <w:r>
              <w:rPr>
                <w:rFonts w:hint="eastAsia" w:ascii="Times New Roman" w:hAnsi="Times New Roman"/>
                <w:sz w:val="24"/>
              </w:rPr>
              <w:t>平原镇勐町村预留建设用地回填，废弃土石方合理处置，</w:t>
            </w:r>
            <w:r>
              <w:rPr>
                <w:rFonts w:hint="eastAsia" w:ascii="Times New Roman" w:hAnsi="Times New Roman"/>
                <w:kern w:val="0"/>
                <w:sz w:val="24"/>
                <w:szCs w:val="24"/>
              </w:rPr>
              <w:t>对周围环境影响不大。</w:t>
            </w:r>
          </w:p>
          <w:p>
            <w:pPr>
              <w:widowControl/>
              <w:spacing w:line="360" w:lineRule="auto"/>
              <w:rPr>
                <w:rFonts w:ascii="Times New Roman" w:hAnsi="Times New Roman"/>
                <w:b/>
                <w:bCs/>
                <w:sz w:val="24"/>
                <w:szCs w:val="24"/>
              </w:rPr>
            </w:pPr>
            <w:r>
              <w:rPr>
                <w:rFonts w:hint="eastAsia" w:ascii="Times New Roman" w:hAnsi="Times New Roman"/>
                <w:b/>
                <w:bCs/>
                <w:kern w:val="0"/>
                <w:sz w:val="24"/>
                <w:szCs w:val="24"/>
              </w:rPr>
              <w:t>二、运营期防治措施</w:t>
            </w:r>
          </w:p>
          <w:p>
            <w:pPr>
              <w:adjustRightInd w:val="0"/>
              <w:snapToGrid w:val="0"/>
              <w:spacing w:line="360" w:lineRule="auto"/>
              <w:rPr>
                <w:rFonts w:ascii="Times New Roman" w:hAnsi="Times New Roman"/>
                <w:b/>
                <w:sz w:val="24"/>
              </w:rPr>
            </w:pPr>
            <w:r>
              <w:rPr>
                <w:rFonts w:ascii="Times New Roman" w:hAnsi="Times New Roman"/>
                <w:b/>
                <w:sz w:val="24"/>
              </w:rPr>
              <w:t>1</w:t>
            </w:r>
            <w:r>
              <w:rPr>
                <w:rFonts w:hint="eastAsia" w:ascii="Times New Roman" w:hAnsi="Times New Roman"/>
                <w:b/>
                <w:sz w:val="24"/>
              </w:rPr>
              <w:t>、大气污染防治措施</w:t>
            </w:r>
          </w:p>
          <w:p>
            <w:pPr>
              <w:numPr>
                <w:ilvl w:val="0"/>
                <w:numId w:val="4"/>
              </w:numPr>
              <w:spacing w:line="360" w:lineRule="auto"/>
              <w:ind w:firstLine="480"/>
              <w:rPr>
                <w:rFonts w:ascii="Times New Roman" w:hAnsi="Times New Roman"/>
                <w:sz w:val="24"/>
                <w:szCs w:val="24"/>
              </w:rPr>
            </w:pPr>
            <w:r>
              <w:rPr>
                <w:rFonts w:hint="eastAsia" w:ascii="Times New Roman" w:hAnsi="Times New Roman"/>
                <w:sz w:val="24"/>
                <w:szCs w:val="24"/>
              </w:rPr>
              <w:t>厂区加强管理，控制原料的堆存量，</w:t>
            </w:r>
            <w:r>
              <w:rPr>
                <w:rFonts w:hint="eastAsia" w:ascii="Times New Roman" w:hAnsi="Times New Roman"/>
                <w:bCs/>
                <w:sz w:val="24"/>
              </w:rPr>
              <w:t>严禁物料堆放高度超出</w:t>
            </w:r>
            <w:r>
              <w:rPr>
                <w:rFonts w:ascii="Times New Roman" w:hAnsi="Times New Roman"/>
                <w:bCs/>
                <w:sz w:val="24"/>
              </w:rPr>
              <w:t>2.5m</w:t>
            </w:r>
            <w:r>
              <w:rPr>
                <w:rFonts w:hint="eastAsia" w:ascii="Times New Roman" w:hAnsi="Times New Roman"/>
                <w:bCs/>
                <w:sz w:val="24"/>
              </w:rPr>
              <w:t>混凝土墙，</w:t>
            </w:r>
            <w:r>
              <w:rPr>
                <w:rFonts w:hint="eastAsia" w:ascii="Times New Roman" w:hAnsi="Times New Roman"/>
                <w:sz w:val="24"/>
                <w:szCs w:val="24"/>
              </w:rPr>
              <w:t>缩短堆放时间，</w:t>
            </w:r>
            <w:r>
              <w:rPr>
                <w:rFonts w:hint="eastAsia" w:ascii="Times New Roman" w:hAnsi="Times New Roman"/>
                <w:sz w:val="24"/>
              </w:rPr>
              <w:t>对砂石料堆场、原料装卸、物料输送、计量及投料产尘点设置摇头喷雾降尘设施，</w:t>
            </w:r>
            <w:r>
              <w:rPr>
                <w:rFonts w:hint="eastAsia" w:ascii="Times New Roman" w:hAnsi="Times New Roman"/>
                <w:kern w:val="0"/>
                <w:sz w:val="24"/>
              </w:rPr>
              <w:t>使物料含水率</w:t>
            </w:r>
            <w:r>
              <w:rPr>
                <w:rFonts w:ascii="Times New Roman" w:hAnsi="Times New Roman"/>
                <w:kern w:val="0"/>
                <w:sz w:val="24"/>
              </w:rPr>
              <w:t>10%</w:t>
            </w:r>
            <w:r>
              <w:rPr>
                <w:rFonts w:hint="eastAsia" w:ascii="Times New Roman" w:hAnsi="Times New Roman"/>
                <w:kern w:val="0"/>
                <w:sz w:val="24"/>
              </w:rPr>
              <w:t>，</w:t>
            </w:r>
            <w:r>
              <w:rPr>
                <w:rFonts w:hint="eastAsia" w:ascii="Times New Roman" w:hAnsi="Times New Roman"/>
                <w:sz w:val="24"/>
              </w:rPr>
              <w:t>减少无组织粉尘的产生</w:t>
            </w:r>
            <w:r>
              <w:rPr>
                <w:rFonts w:hint="eastAsia" w:ascii="Times New Roman" w:hAnsi="Times New Roman"/>
                <w:sz w:val="24"/>
                <w:szCs w:val="24"/>
              </w:rPr>
              <w:t>；</w:t>
            </w:r>
          </w:p>
          <w:p>
            <w:pPr>
              <w:spacing w:line="360" w:lineRule="auto"/>
              <w:ind w:firstLine="480"/>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）砂石料运输至厂区砂石料堆场内，</w:t>
            </w:r>
            <w:r>
              <w:rPr>
                <w:rFonts w:hint="eastAsia" w:ascii="Times New Roman" w:hAnsi="Times New Roman"/>
                <w:bCs/>
                <w:sz w:val="24"/>
                <w:szCs w:val="24"/>
              </w:rPr>
              <w:t>尽量避免大风天进行砂、石等原料的卸车作业，装卸区要求靠近原料堆放区，原料堆放区</w:t>
            </w:r>
            <w:r>
              <w:rPr>
                <w:rFonts w:hint="eastAsia" w:ascii="Times New Roman" w:hAnsi="Times New Roman"/>
                <w:bCs/>
                <w:sz w:val="24"/>
              </w:rPr>
              <w:t>增设摇头喷雾降尘设施，</w:t>
            </w:r>
            <w:r>
              <w:rPr>
                <w:rFonts w:hint="eastAsia" w:ascii="Times New Roman" w:hAnsi="Times New Roman"/>
                <w:sz w:val="24"/>
                <w:szCs w:val="24"/>
              </w:rPr>
              <w:t>需采用边卸料边降尘的方式。</w:t>
            </w:r>
          </w:p>
          <w:p>
            <w:pPr>
              <w:spacing w:line="360" w:lineRule="auto"/>
              <w:ind w:firstLine="480"/>
              <w:rPr>
                <w:rFonts w:ascii="Times New Roman" w:hAnsi="Times New Roman"/>
                <w:bCs/>
                <w:sz w:val="24"/>
              </w:rPr>
            </w:pPr>
            <w:r>
              <w:rPr>
                <w:rFonts w:hint="eastAsia" w:ascii="Times New Roman" w:hAnsi="Times New Roman"/>
                <w:bCs/>
                <w:sz w:val="24"/>
                <w:szCs w:val="24"/>
              </w:rPr>
              <w:t>（</w:t>
            </w:r>
            <w:r>
              <w:rPr>
                <w:rFonts w:ascii="Times New Roman" w:hAnsi="Times New Roman"/>
                <w:bCs/>
                <w:sz w:val="24"/>
                <w:szCs w:val="24"/>
              </w:rPr>
              <w:t>3</w:t>
            </w:r>
            <w:r>
              <w:rPr>
                <w:rFonts w:hint="eastAsia" w:ascii="Times New Roman" w:hAnsi="Times New Roman"/>
                <w:bCs/>
                <w:sz w:val="24"/>
                <w:szCs w:val="24"/>
              </w:rPr>
              <w:t>）原料运输车辆应实施封闭式运输，</w:t>
            </w:r>
            <w:r>
              <w:rPr>
                <w:rFonts w:hint="eastAsia" w:ascii="Times New Roman" w:hAnsi="Times New Roman"/>
                <w:sz w:val="24"/>
              </w:rPr>
              <w:t>应对物料进行遮盖、遮挡，尽量减少沿途的逸洒，另外，在厂区搅拌车辆出入口处设置</w:t>
            </w:r>
            <w:r>
              <w:rPr>
                <w:rFonts w:ascii="Times New Roman" w:hAnsi="Times New Roman"/>
                <w:sz w:val="24"/>
              </w:rPr>
              <w:t>1</w:t>
            </w:r>
            <w:r>
              <w:rPr>
                <w:rFonts w:hint="eastAsia" w:ascii="Times New Roman" w:hAnsi="Times New Roman"/>
                <w:sz w:val="24"/>
              </w:rPr>
              <w:t>套运输车辆轮胎清洗设施，并在进厂时控制车速，以此来减少运输过程中粉尘的产生量，</w:t>
            </w:r>
            <w:r>
              <w:rPr>
                <w:rFonts w:hint="eastAsia" w:ascii="Times New Roman" w:hAnsi="Times New Roman"/>
                <w:bCs/>
                <w:sz w:val="24"/>
              </w:rPr>
              <w:t>根据本项目的情况，要求项目企业加强管理，对厂区内地面</w:t>
            </w:r>
            <w:r>
              <w:rPr>
                <w:rFonts w:hint="eastAsia" w:ascii="Times New Roman" w:hAnsi="Times New Roman"/>
                <w:kern w:val="0"/>
                <w:sz w:val="24"/>
              </w:rPr>
              <w:t>定期派专人进行路面清扫、洒水，以减少道路扬尘。</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）各粉料筒仓顶部及搅拌主机自带一套脉冲式除尘器，除尘效率达</w:t>
            </w:r>
            <w:r>
              <w:rPr>
                <w:rFonts w:ascii="Times New Roman" w:hAnsi="Times New Roman"/>
                <w:sz w:val="24"/>
              </w:rPr>
              <w:t>99%</w:t>
            </w:r>
            <w:r>
              <w:rPr>
                <w:rFonts w:hint="eastAsia" w:ascii="Times New Roman" w:hAnsi="Times New Roman"/>
                <w:sz w:val="24"/>
              </w:rPr>
              <w:t>以上，共</w:t>
            </w:r>
            <w:r>
              <w:rPr>
                <w:rFonts w:ascii="Times New Roman" w:hAnsi="Times New Roman"/>
                <w:sz w:val="24"/>
              </w:rPr>
              <w:t>10</w:t>
            </w:r>
            <w:r>
              <w:rPr>
                <w:rFonts w:hint="eastAsia" w:ascii="Times New Roman" w:hAnsi="Times New Roman"/>
                <w:sz w:val="24"/>
              </w:rPr>
              <w:t>套除尘器。</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）食堂内要求安装一套油烟净化设施，净化效率达</w:t>
            </w:r>
            <w:r>
              <w:rPr>
                <w:rFonts w:ascii="Times New Roman" w:hAnsi="Times New Roman"/>
                <w:sz w:val="24"/>
              </w:rPr>
              <w:t>60%</w:t>
            </w:r>
            <w:r>
              <w:rPr>
                <w:rFonts w:hint="eastAsia" w:ascii="Times New Roman" w:hAnsi="Times New Roman"/>
                <w:sz w:val="24"/>
              </w:rPr>
              <w:t>，经过净化处理后的烟气经过专用烟道引至屋顶排放。</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项目备用柴油发电机放置于专门的设备房内；发电机配有废气过滤棉，经过废气吸附过滤后，有效的降低废气的排放，并通过排烟系统排出设备间外，实现与外环境的换气，排气口未面向人口密集的方向，排气筒高度不低于</w:t>
            </w:r>
            <w:r>
              <w:rPr>
                <w:rFonts w:ascii="Times New Roman" w:hAnsi="Times New Roman"/>
                <w:sz w:val="24"/>
              </w:rPr>
              <w:t>2.5m</w:t>
            </w:r>
            <w:r>
              <w:rPr>
                <w:rFonts w:hint="eastAsia" w:ascii="Times New Roman" w:hAnsi="Times New Roman"/>
                <w:sz w:val="24"/>
              </w:rPr>
              <w:t>。</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7</w:t>
            </w:r>
            <w:r>
              <w:rPr>
                <w:rFonts w:hint="eastAsia" w:ascii="Times New Roman" w:hAnsi="Times New Roman"/>
                <w:sz w:val="24"/>
              </w:rPr>
              <w:t>）</w:t>
            </w:r>
            <w:r>
              <w:rPr>
                <w:rFonts w:hint="eastAsia" w:ascii="Times New Roman" w:hAnsi="Times New Roman"/>
                <w:sz w:val="24"/>
                <w:szCs w:val="24"/>
              </w:rPr>
              <w:t>项目运营后必须严格执行</w:t>
            </w:r>
            <w:r>
              <w:rPr>
                <w:rFonts w:ascii="Times New Roman" w:hAnsi="Times New Roman"/>
                <w:sz w:val="24"/>
                <w:szCs w:val="24"/>
              </w:rPr>
              <w:t xml:space="preserve">50m </w:t>
            </w:r>
            <w:r>
              <w:rPr>
                <w:rFonts w:hint="eastAsia" w:ascii="Times New Roman" w:hAnsi="Times New Roman"/>
                <w:sz w:val="24"/>
                <w:szCs w:val="24"/>
              </w:rPr>
              <w:t>的卫生防护距离，在该防护距离内，禁止居民、学校、医院等敏感单位的建设。环评要求企业与相关部门及时沟通，禁止在本项目卫生防护距离以内批建居住性用地和食品企业。</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8</w:t>
            </w:r>
            <w:r>
              <w:rPr>
                <w:rFonts w:hint="eastAsia" w:ascii="Times New Roman" w:hAnsi="Times New Roman"/>
                <w:sz w:val="24"/>
              </w:rPr>
              <w:t>）加强厂区绿化，对无组织废气进行吸附。</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9</w:t>
            </w:r>
            <w:r>
              <w:rPr>
                <w:rFonts w:hint="eastAsia" w:ascii="Times New Roman" w:hAnsi="Times New Roman"/>
                <w:sz w:val="24"/>
              </w:rPr>
              <w:t>）环评要求建设方</w:t>
            </w:r>
            <w:r>
              <w:rPr>
                <w:rFonts w:hint="eastAsia" w:ascii="Times New Roman" w:hAnsi="Times New Roman"/>
                <w:sz w:val="24"/>
                <w:lang w:val="zh-CN"/>
              </w:rPr>
              <w:t>应加强设备维护管理，保障</w:t>
            </w:r>
            <w:r>
              <w:rPr>
                <w:rFonts w:hint="eastAsia" w:ascii="Times New Roman" w:hAnsi="Times New Roman"/>
                <w:sz w:val="24"/>
              </w:rPr>
              <w:t>除尘器</w:t>
            </w:r>
            <w:r>
              <w:rPr>
                <w:rFonts w:hint="eastAsia" w:ascii="Times New Roman" w:hAnsi="Times New Roman"/>
                <w:sz w:val="24"/>
                <w:lang w:val="zh-CN"/>
              </w:rPr>
              <w:t>处于良好的运行状态，降低非正常情况发生几率。</w:t>
            </w:r>
            <w:r>
              <w:rPr>
                <w:rFonts w:hint="eastAsia" w:ascii="Times New Roman" w:hAnsi="Times New Roman"/>
                <w:sz w:val="24"/>
              </w:rPr>
              <w:t>一旦由于除尘器故障导致事故排放，释放粉尘浓度增大时，员工应迅速发现并关闭送罐车空气泵，停止生产维修。</w:t>
            </w:r>
          </w:p>
          <w:p>
            <w:pPr>
              <w:spacing w:line="360" w:lineRule="auto"/>
              <w:ind w:firstLine="480" w:firstLineChars="200"/>
              <w:rPr>
                <w:rFonts w:ascii="Times New Roman" w:hAnsi="Times New Roman"/>
              </w:rPr>
            </w:pPr>
            <w:r>
              <w:rPr>
                <w:rFonts w:hint="eastAsia" w:ascii="Times New Roman" w:hAnsi="Times New Roman"/>
                <w:sz w:val="24"/>
              </w:rPr>
              <w:t>（</w:t>
            </w:r>
            <w:r>
              <w:rPr>
                <w:rFonts w:ascii="Times New Roman" w:hAnsi="Times New Roman"/>
                <w:sz w:val="24"/>
              </w:rPr>
              <w:t>10</w:t>
            </w:r>
            <w:r>
              <w:rPr>
                <w:rFonts w:hint="eastAsia" w:ascii="Times New Roman" w:hAnsi="Times New Roman"/>
                <w:sz w:val="24"/>
              </w:rPr>
              <w:t>）加强厂区内外道路清洁管理，定期对道路进行洒水降尘、有必要时委托环卫部门清扫车辆对项目区运输道路进行清洁。</w:t>
            </w:r>
          </w:p>
          <w:p>
            <w:pPr>
              <w:adjustRightInd w:val="0"/>
              <w:snapToGrid w:val="0"/>
              <w:spacing w:line="360" w:lineRule="auto"/>
              <w:rPr>
                <w:rFonts w:ascii="Times New Roman" w:hAnsi="Times New Roman"/>
                <w:b/>
                <w:sz w:val="24"/>
              </w:rPr>
            </w:pPr>
            <w:r>
              <w:rPr>
                <w:rFonts w:ascii="Times New Roman" w:hAnsi="Times New Roman"/>
                <w:b/>
                <w:sz w:val="24"/>
              </w:rPr>
              <w:t>2</w:t>
            </w:r>
            <w:r>
              <w:rPr>
                <w:rFonts w:hint="eastAsia" w:ascii="Times New Roman" w:hAnsi="Times New Roman"/>
                <w:b/>
                <w:sz w:val="24"/>
              </w:rPr>
              <w:t>、水污染防治措施</w:t>
            </w:r>
          </w:p>
          <w:p>
            <w:pPr>
              <w:spacing w:line="360" w:lineRule="auto"/>
              <w:ind w:firstLine="360" w:firstLineChars="150"/>
              <w:rPr>
                <w:rFonts w:ascii="Times New Roman" w:hAnsi="Times New Roman"/>
                <w:sz w:val="24"/>
                <w:lang w:val="zh-CN"/>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）项目实行雨污分流系统，</w:t>
            </w:r>
            <w:r>
              <w:rPr>
                <w:rFonts w:hint="eastAsia" w:ascii="Times New Roman" w:hAnsi="Times New Roman"/>
                <w:sz w:val="24"/>
                <w:lang w:val="zh-CN"/>
              </w:rPr>
              <w:t>项目区生产区的初期雨水经其四周雨水沟渠收集，流入厂区</w:t>
            </w:r>
            <w:r>
              <w:rPr>
                <w:rFonts w:hint="eastAsia" w:ascii="Times New Roman" w:hAnsi="Times New Roman"/>
                <w:sz w:val="24"/>
              </w:rPr>
              <w:t>较低处设置的初期雨水沉淀池（</w:t>
            </w:r>
            <w:r>
              <w:rPr>
                <w:rFonts w:ascii="Times New Roman" w:hAnsi="Times New Roman"/>
                <w:sz w:val="24"/>
              </w:rPr>
              <w:t>25m</w:t>
            </w:r>
            <w:r>
              <w:rPr>
                <w:rFonts w:ascii="Times New Roman" w:hAnsi="Times New Roman"/>
                <w:sz w:val="24"/>
                <w:vertAlign w:val="superscript"/>
              </w:rPr>
              <w:t>3</w:t>
            </w:r>
            <w:r>
              <w:rPr>
                <w:rFonts w:hint="eastAsia" w:ascii="Times New Roman" w:hAnsi="Times New Roman"/>
                <w:sz w:val="24"/>
              </w:rPr>
              <w:t>）进行</w:t>
            </w:r>
            <w:r>
              <w:rPr>
                <w:rFonts w:hint="eastAsia" w:ascii="Times New Roman" w:hAnsi="Times New Roman"/>
                <w:sz w:val="24"/>
                <w:lang w:val="zh-CN"/>
              </w:rPr>
              <w:t>沉淀处理后，回用于生产；</w:t>
            </w:r>
            <w:r>
              <w:rPr>
                <w:rFonts w:hint="eastAsia" w:ascii="Times New Roman" w:hAnsi="Times New Roman"/>
                <w:sz w:val="24"/>
              </w:rPr>
              <w:t>后期雨水则排出厂区外</w:t>
            </w:r>
            <w:r>
              <w:rPr>
                <w:rFonts w:hint="eastAsia" w:ascii="Times New Roman" w:hAnsi="Times New Roman"/>
                <w:sz w:val="24"/>
                <w:lang w:val="zh-CN"/>
              </w:rPr>
              <w:t>。</w:t>
            </w:r>
          </w:p>
          <w:p>
            <w:pPr>
              <w:adjustRightInd w:val="0"/>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）食堂废水首先经过油水分离器（</w:t>
            </w:r>
            <w:r>
              <w:rPr>
                <w:rFonts w:ascii="Times New Roman" w:hAnsi="Times New Roman"/>
                <w:sz w:val="24"/>
                <w:szCs w:val="24"/>
              </w:rPr>
              <w:t>1m</w:t>
            </w:r>
            <w:r>
              <w:rPr>
                <w:rFonts w:ascii="Times New Roman" w:hAnsi="Times New Roman"/>
                <w:sz w:val="24"/>
                <w:szCs w:val="24"/>
                <w:vertAlign w:val="superscript"/>
              </w:rPr>
              <w:t>3</w:t>
            </w:r>
            <w:r>
              <w:rPr>
                <w:rFonts w:hint="eastAsia" w:ascii="Times New Roman" w:hAnsi="Times New Roman"/>
                <w:sz w:val="24"/>
                <w:szCs w:val="24"/>
              </w:rPr>
              <w:t>）隔油处理后，同生活污水经过化粪池（</w:t>
            </w:r>
            <w:r>
              <w:rPr>
                <w:rFonts w:ascii="Times New Roman" w:hAnsi="Times New Roman"/>
                <w:sz w:val="24"/>
                <w:szCs w:val="24"/>
              </w:rPr>
              <w:t>2</w:t>
            </w:r>
            <w:r>
              <w:rPr>
                <w:rFonts w:hint="eastAsia" w:ascii="Times New Roman" w:hAnsi="Times New Roman"/>
                <w:sz w:val="24"/>
                <w:szCs w:val="24"/>
              </w:rPr>
              <w:t>个，</w:t>
            </w:r>
            <w:r>
              <w:rPr>
                <w:rFonts w:ascii="Times New Roman" w:hAnsi="Times New Roman"/>
                <w:sz w:val="24"/>
                <w:szCs w:val="24"/>
              </w:rPr>
              <w:t>12m</w:t>
            </w:r>
            <w:r>
              <w:rPr>
                <w:rFonts w:ascii="Times New Roman" w:hAnsi="Times New Roman"/>
                <w:sz w:val="24"/>
                <w:szCs w:val="24"/>
                <w:vertAlign w:val="superscript"/>
              </w:rPr>
              <w:t>3</w:t>
            </w:r>
            <w:r>
              <w:rPr>
                <w:rFonts w:hint="eastAsia" w:ascii="Times New Roman" w:hAnsi="Times New Roman"/>
                <w:sz w:val="24"/>
                <w:szCs w:val="24"/>
              </w:rPr>
              <w:t>）沉淀发酵处理，办公区、生活区化粪池污水暂存于污水收集池部分用于晴天项目区绿化浇灌，部分定期委托环卫部门清运处置，不外排；</w:t>
            </w:r>
            <w:r>
              <w:rPr>
                <w:rFonts w:hint="eastAsia" w:ascii="Times New Roman" w:hAnsi="Times New Roman"/>
                <w:sz w:val="24"/>
              </w:rPr>
              <w:t>保证生活污水在化粪池内有足够的停留时间，并且避免生活污水短时间出现外溢。</w:t>
            </w:r>
          </w:p>
          <w:p>
            <w:pPr>
              <w:spacing w:line="360" w:lineRule="auto"/>
              <w:ind w:firstLine="480" w:firstLineChars="200"/>
              <w:rPr>
                <w:rFonts w:ascii="Times New Roman" w:hAnsi="Times New Roman"/>
                <w:sz w:val="24"/>
              </w:rPr>
            </w:pPr>
            <w:r>
              <w:rPr>
                <w:rFonts w:hint="eastAsia" w:ascii="Times New Roman" w:hAnsi="Times New Roman"/>
                <w:sz w:val="24"/>
                <w:szCs w:val="24"/>
              </w:rPr>
              <w:t>（</w:t>
            </w:r>
            <w:r>
              <w:rPr>
                <w:rFonts w:ascii="Times New Roman" w:hAnsi="Times New Roman"/>
                <w:sz w:val="24"/>
                <w:szCs w:val="24"/>
              </w:rPr>
              <w:t>3</w:t>
            </w:r>
            <w:r>
              <w:rPr>
                <w:rFonts w:hint="eastAsia" w:ascii="Times New Roman" w:hAnsi="Times New Roman"/>
                <w:sz w:val="24"/>
                <w:szCs w:val="24"/>
              </w:rPr>
              <w:t>）生产废水经生产区三级沉淀池处理后，用于原料堆场洒水抑尘或回用于生产。</w:t>
            </w:r>
            <w:r>
              <w:rPr>
                <w:rFonts w:hint="eastAsia" w:ascii="Times New Roman" w:hAnsi="Times New Roman"/>
                <w:sz w:val="24"/>
              </w:rPr>
              <w:t>项目生产线配套设置了</w:t>
            </w:r>
            <w:r>
              <w:rPr>
                <w:rFonts w:ascii="Times New Roman" w:hAnsi="Times New Roman"/>
                <w:sz w:val="24"/>
              </w:rPr>
              <w:t>3</w:t>
            </w:r>
            <w:r>
              <w:rPr>
                <w:rFonts w:hint="eastAsia" w:ascii="Times New Roman" w:hAnsi="Times New Roman"/>
                <w:sz w:val="24"/>
              </w:rPr>
              <w:t>级沉淀池，总容量为</w:t>
            </w:r>
            <w:r>
              <w:rPr>
                <w:rFonts w:ascii="Times New Roman" w:hAnsi="Times New Roman"/>
                <w:sz w:val="24"/>
              </w:rPr>
              <w:t>100m</w:t>
            </w:r>
            <w:r>
              <w:rPr>
                <w:rFonts w:ascii="Times New Roman" w:hAnsi="Times New Roman"/>
                <w:sz w:val="24"/>
                <w:vertAlign w:val="superscript"/>
              </w:rPr>
              <w:t>3</w:t>
            </w:r>
            <w:r>
              <w:rPr>
                <w:rFonts w:hint="eastAsia" w:ascii="Times New Roman" w:hAnsi="Times New Roman"/>
                <w:sz w:val="24"/>
              </w:rPr>
              <w:t>。</w:t>
            </w:r>
          </w:p>
          <w:p>
            <w:pPr>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4</w:t>
            </w:r>
            <w:r>
              <w:rPr>
                <w:rFonts w:hint="eastAsia" w:ascii="Times New Roman" w:hAnsi="Times New Roman"/>
                <w:bCs/>
                <w:sz w:val="24"/>
              </w:rPr>
              <w:t>）储油罐清洗委托有危险废物处置资质的单位进行清洗，清洗产生的废液由清洗单位负责统一清运收集后直接带离厂区，不在项目区储存。</w:t>
            </w:r>
          </w:p>
          <w:p>
            <w:pPr>
              <w:spacing w:line="360" w:lineRule="auto"/>
              <w:rPr>
                <w:rFonts w:ascii="Times New Roman" w:hAnsi="Times New Roman"/>
                <w:b/>
                <w:sz w:val="24"/>
              </w:rPr>
            </w:pPr>
            <w:r>
              <w:rPr>
                <w:rFonts w:ascii="Times New Roman" w:hAnsi="Times New Roman"/>
                <w:b/>
                <w:sz w:val="24"/>
              </w:rPr>
              <w:t>3</w:t>
            </w:r>
            <w:r>
              <w:rPr>
                <w:rFonts w:hint="eastAsia" w:ascii="Times New Roman" w:hAnsi="Times New Roman"/>
                <w:b/>
                <w:sz w:val="24"/>
              </w:rPr>
              <w:t>、噪声污染防治措施</w:t>
            </w:r>
          </w:p>
          <w:p>
            <w:pPr>
              <w:spacing w:line="360" w:lineRule="auto"/>
              <w:ind w:firstLine="480"/>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）选用低噪声设备，生产设备集中布置于生产区内，搅拌设备进行整体密闭，并在设备底部安装减震橡胶垫，接口处采用软连接处理；</w:t>
            </w:r>
          </w:p>
          <w:p>
            <w:pPr>
              <w:spacing w:line="360" w:lineRule="auto"/>
              <w:ind w:firstLine="480"/>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）厂区厂界种植高大的树木，可阻隔生产设备噪声对厂区最近的保护目标的影响；</w:t>
            </w:r>
          </w:p>
          <w:p>
            <w:pPr>
              <w:spacing w:line="360" w:lineRule="auto"/>
              <w:ind w:firstLine="480"/>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）对设备进行定期检查，以避免设备不正常工作而产生较大的噪声污染；</w:t>
            </w:r>
          </w:p>
          <w:p>
            <w:pPr>
              <w:adjustRightInd w:val="0"/>
              <w:snapToGrid w:val="0"/>
              <w:spacing w:line="360" w:lineRule="auto"/>
              <w:ind w:firstLine="556" w:firstLineChars="232"/>
              <w:rPr>
                <w:rFonts w:ascii="Times New Roman" w:hAnsi="Times New Roman"/>
                <w:sz w:val="24"/>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w:t>
            </w:r>
            <w:r>
              <w:rPr>
                <w:rFonts w:hint="eastAsia" w:ascii="Times New Roman" w:hAnsi="Times New Roman"/>
                <w:sz w:val="24"/>
                <w:szCs w:val="24"/>
              </w:rPr>
              <w:t>合理安排工作时间，对高噪声设备的运行，应避免在人群休息时进行，与敏感点工作时间错开进行，以减少噪声的影响。</w:t>
            </w:r>
          </w:p>
          <w:p>
            <w:pPr>
              <w:spacing w:line="360" w:lineRule="auto"/>
              <w:ind w:firstLine="480"/>
              <w:rPr>
                <w:rFonts w:ascii="Times New Roman" w:hAnsi="Times New Roman"/>
                <w:sz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）协调好项目周边居民之间的关系，避免噪声投诉事件发生。</w:t>
            </w:r>
          </w:p>
          <w:p>
            <w:pPr>
              <w:spacing w:line="360" w:lineRule="auto"/>
              <w:ind w:firstLine="480"/>
              <w:rPr>
                <w:rFonts w:ascii="Times New Roman" w:hAnsi="Times New Roman"/>
                <w:sz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）项目建设方要求对进出厂的车辆进行管理，设置禁鸣限速标志，要求车辆出入的时间避开沿线居民休息的时间。</w:t>
            </w:r>
          </w:p>
          <w:p>
            <w:pPr>
              <w:adjustRightInd w:val="0"/>
              <w:snapToGrid w:val="0"/>
              <w:rPr>
                <w:rFonts w:ascii="Times New Roman" w:hAnsi="Times New Roman"/>
                <w:b/>
                <w:sz w:val="24"/>
              </w:rPr>
            </w:pPr>
            <w:r>
              <w:rPr>
                <w:rFonts w:ascii="Times New Roman" w:hAnsi="Times New Roman"/>
                <w:b/>
                <w:sz w:val="24"/>
              </w:rPr>
              <w:t>4</w:t>
            </w:r>
            <w:r>
              <w:rPr>
                <w:rFonts w:hint="eastAsia" w:ascii="Times New Roman" w:hAnsi="Times New Roman"/>
                <w:b/>
                <w:sz w:val="24"/>
              </w:rPr>
              <w:t>、固体废弃物防治措施</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）生产废水经过沉淀处理后，沉淀池沉淀物均为混凝土原料，设置生产固废储存池（容积为</w:t>
            </w:r>
            <w:r>
              <w:rPr>
                <w:rFonts w:ascii="Times New Roman" w:hAnsi="Times New Roman"/>
                <w:sz w:val="24"/>
              </w:rPr>
              <w:t>15m</w:t>
            </w:r>
            <w:r>
              <w:rPr>
                <w:rFonts w:ascii="Times New Roman" w:hAnsi="Times New Roman"/>
                <w:sz w:val="24"/>
                <w:vertAlign w:val="superscript"/>
              </w:rPr>
              <w:t>3</w:t>
            </w:r>
            <w:r>
              <w:rPr>
                <w:rFonts w:hint="eastAsia" w:ascii="Times New Roman" w:hAnsi="Times New Roman"/>
                <w:sz w:val="24"/>
              </w:rPr>
              <w:t>）暂存，储存池上设顶棚，避免雨水冲刷二次污染，生产固废用于场外运输道路回填或外售周边砖厂。</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）筒仓顶部及搅拌主机均自带脉冲式除尘，回收粉尘作为原料回用于生产。</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）试验室用于力学检验产生的废混凝土块，经统一收集后，用于运输道路回填。</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）生活垃圾通过集中收集后，能回收利用部分回收，其余无法回收部分生活垃圾，如包装废料、白色垃圾等，运至环卫部门指定的地点集中处理，不外排。</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）食堂泔水及废油脂企业采用塑料桶分类收集后，要求建设单位严格按照当地相关政府部门管理要求进行处置。</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）化粪池污泥定期</w:t>
            </w:r>
            <w:r>
              <w:rPr>
                <w:rFonts w:hint="eastAsia" w:ascii="Times New Roman" w:hAnsi="Times New Roman"/>
                <w:sz w:val="24"/>
                <w:szCs w:val="24"/>
              </w:rPr>
              <w:t>委托环卫部门清运处置。</w:t>
            </w:r>
          </w:p>
          <w:p>
            <w:pPr>
              <w:spacing w:line="360" w:lineRule="auto"/>
              <w:ind w:firstLine="480" w:firstLineChars="200"/>
              <w:rPr>
                <w:rFonts w:ascii="Times New Roman" w:hAnsi="Times New Roman"/>
                <w:bCs/>
                <w:sz w:val="24"/>
              </w:rPr>
            </w:pPr>
            <w:r>
              <w:rPr>
                <w:rFonts w:hint="eastAsia" w:ascii="Times New Roman" w:hAnsi="Times New Roman"/>
                <w:sz w:val="24"/>
              </w:rPr>
              <w:t>（</w:t>
            </w:r>
            <w:r>
              <w:rPr>
                <w:rFonts w:ascii="Times New Roman" w:hAnsi="Times New Roman"/>
                <w:sz w:val="24"/>
              </w:rPr>
              <w:t>7</w:t>
            </w:r>
            <w:r>
              <w:rPr>
                <w:rFonts w:hint="eastAsia" w:ascii="Times New Roman" w:hAnsi="Times New Roman"/>
                <w:sz w:val="24"/>
              </w:rPr>
              <w:t>）</w:t>
            </w:r>
            <w:r>
              <w:rPr>
                <w:rFonts w:hint="eastAsia" w:ascii="Times New Roman" w:hAnsi="Times New Roman"/>
                <w:bCs/>
                <w:sz w:val="24"/>
              </w:rPr>
              <w:t>储油罐清洗委托有危险废物处置资质的单位进行清洗，罐底油泥、油渣随着清洗产生的废液由清洗单位负责统一清运收集后直接带离厂区，不在项目区储存。</w:t>
            </w:r>
          </w:p>
          <w:p>
            <w:pPr>
              <w:pStyle w:val="11"/>
              <w:spacing w:line="360" w:lineRule="auto"/>
              <w:rPr>
                <w:rFonts w:ascii="Times New Roman" w:hAnsi="Times New Roman"/>
                <w:b/>
                <w:bCs/>
                <w:sz w:val="24"/>
                <w:szCs w:val="24"/>
              </w:rPr>
            </w:pPr>
            <w:r>
              <w:rPr>
                <w:rFonts w:ascii="Times New Roman" w:hAnsi="Times New Roman"/>
                <w:b/>
                <w:sz w:val="24"/>
              </w:rPr>
              <w:t>5</w:t>
            </w:r>
            <w:r>
              <w:rPr>
                <w:rFonts w:hint="eastAsia" w:ascii="Times New Roman" w:hAnsi="Times New Roman"/>
                <w:b/>
                <w:sz w:val="24"/>
              </w:rPr>
              <w:t>、</w:t>
            </w:r>
            <w:r>
              <w:rPr>
                <w:rFonts w:hint="eastAsia" w:ascii="Times New Roman" w:hAnsi="Times New Roman"/>
                <w:b/>
                <w:bCs/>
                <w:sz w:val="24"/>
                <w:szCs w:val="24"/>
              </w:rPr>
              <w:t>地下水环境保护措施</w:t>
            </w:r>
          </w:p>
          <w:p>
            <w:pPr>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w:t>
            </w:r>
            <w:r>
              <w:rPr>
                <w:rFonts w:ascii="Times New Roman" w:hAnsi="Times New Roman"/>
                <w:kern w:val="0"/>
                <w:sz w:val="24"/>
                <w:szCs w:val="24"/>
              </w:rPr>
              <w:t>1</w:t>
            </w:r>
            <w:r>
              <w:rPr>
                <w:rFonts w:hint="eastAsia" w:ascii="Times New Roman" w:hAnsi="Times New Roman"/>
                <w:kern w:val="0"/>
                <w:sz w:val="24"/>
                <w:szCs w:val="24"/>
              </w:rPr>
              <w:t>）充分做好</w:t>
            </w:r>
            <w:r>
              <w:rPr>
                <w:rFonts w:hint="eastAsia" w:ascii="Times New Roman" w:hAnsi="Times New Roman"/>
                <w:sz w:val="24"/>
              </w:rPr>
              <w:t>各沉淀池、化粪池、污水收集池、排水沟渠、防洪沟渠及场地地坪</w:t>
            </w:r>
            <w:r>
              <w:rPr>
                <w:rFonts w:hint="eastAsia" w:ascii="Times New Roman" w:hAnsi="Times New Roman"/>
                <w:kern w:val="0"/>
                <w:sz w:val="24"/>
                <w:szCs w:val="24"/>
              </w:rPr>
              <w:t>的防渗处理，杜绝污水渗漏，确保污水收集处理系统衔接良好，防止污水</w:t>
            </w:r>
            <w:r>
              <w:rPr>
                <w:rFonts w:ascii="Times New Roman" w:hAnsi="Times New Roman"/>
                <w:kern w:val="0"/>
                <w:sz w:val="24"/>
                <w:szCs w:val="24"/>
              </w:rPr>
              <w:t>“</w:t>
            </w:r>
            <w:r>
              <w:rPr>
                <w:rFonts w:hint="eastAsia" w:ascii="Times New Roman" w:hAnsi="Times New Roman"/>
                <w:kern w:val="0"/>
                <w:sz w:val="24"/>
                <w:szCs w:val="24"/>
              </w:rPr>
              <w:t>跑、冒、滴、漏</w:t>
            </w:r>
            <w:r>
              <w:rPr>
                <w:rFonts w:ascii="Times New Roman" w:hAnsi="Times New Roman"/>
                <w:kern w:val="0"/>
                <w:sz w:val="24"/>
                <w:szCs w:val="24"/>
              </w:rPr>
              <w:t>”</w:t>
            </w:r>
            <w:r>
              <w:rPr>
                <w:rFonts w:hint="eastAsia" w:ascii="Times New Roman" w:hAnsi="Times New Roman"/>
                <w:kern w:val="0"/>
                <w:sz w:val="24"/>
                <w:szCs w:val="24"/>
              </w:rPr>
              <w:t>现象的发生，保证项目区内废水经污水处理系统处理达标后外排，对区域地下水水质影响较小。</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）建设方严格按照《加油站地下水污染防治指南》及《汽车加油加气站设计与施工规范（</w:t>
            </w:r>
            <w:r>
              <w:rPr>
                <w:rFonts w:ascii="Times New Roman" w:hAnsi="Times New Roman"/>
                <w:sz w:val="24"/>
              </w:rPr>
              <w:t>2014</w:t>
            </w:r>
            <w:r>
              <w:rPr>
                <w:rFonts w:hint="eastAsia" w:ascii="Times New Roman" w:hAnsi="Times New Roman"/>
                <w:sz w:val="24"/>
              </w:rPr>
              <w:t>版）》（</w:t>
            </w:r>
            <w:r>
              <w:rPr>
                <w:rFonts w:ascii="Times New Roman" w:hAnsi="Times New Roman"/>
                <w:sz w:val="24"/>
              </w:rPr>
              <w:t>GB 50156-2012</w:t>
            </w:r>
            <w:r>
              <w:rPr>
                <w:rFonts w:hint="eastAsia" w:ascii="Times New Roman" w:hAnsi="Times New Roman"/>
                <w:sz w:val="24"/>
              </w:rPr>
              <w:t>）的要求进行建设，</w:t>
            </w:r>
            <w:r>
              <w:rPr>
                <w:rFonts w:hint="eastAsia" w:ascii="Times New Roman" w:hAnsi="Times New Roman"/>
                <w:kern w:val="0"/>
                <w:sz w:val="24"/>
                <w:szCs w:val="24"/>
              </w:rPr>
              <w:t>为防止加油区油品泄漏，污染土壤和地下水，油罐采用的双层罐及双层管道应符合《汽车加油加气站设计与施工规范》（</w:t>
            </w:r>
            <w:r>
              <w:rPr>
                <w:rFonts w:ascii="Times New Roman" w:hAnsi="Times New Roman"/>
                <w:kern w:val="0"/>
                <w:sz w:val="24"/>
                <w:szCs w:val="24"/>
              </w:rPr>
              <w:t>GB 50156-2012</w:t>
            </w:r>
            <w:r>
              <w:rPr>
                <w:rFonts w:hint="eastAsia" w:ascii="Times New Roman" w:hAnsi="Times New Roman"/>
                <w:kern w:val="0"/>
                <w:sz w:val="24"/>
                <w:szCs w:val="24"/>
              </w:rPr>
              <w:t>）的要求。</w:t>
            </w:r>
          </w:p>
          <w:p>
            <w:pPr>
              <w:spacing w:line="360" w:lineRule="auto"/>
              <w:ind w:firstLine="480" w:firstLineChars="200"/>
              <w:rPr>
                <w:rFonts w:ascii="Times New Roman" w:hAnsi="Times New Roman"/>
                <w:kern w:val="0"/>
                <w:sz w:val="24"/>
                <w:szCs w:val="24"/>
              </w:rPr>
            </w:pP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widowControl/>
              <w:spacing w:line="360" w:lineRule="auto"/>
              <w:jc w:val="center"/>
              <w:rPr>
                <w:rFonts w:ascii="Times New Roman" w:hAnsi="Times New Roman"/>
                <w:kern w:val="0"/>
                <w:sz w:val="24"/>
                <w:szCs w:val="24"/>
              </w:rPr>
            </w:pPr>
            <w:r>
              <w:rPr>
                <w:rFonts w:hint="eastAsia" w:ascii="Times New Roman" w:hAnsi="Times New Roman"/>
                <w:kern w:val="0"/>
                <w:sz w:val="24"/>
                <w:szCs w:val="24"/>
              </w:rPr>
              <w:t>公众参与情况</w:t>
            </w:r>
          </w:p>
        </w:tc>
      </w:tr>
      <w:tr>
        <w:tblPrEx>
          <w:tblCellMar>
            <w:top w:w="0" w:type="dxa"/>
            <w:left w:w="108" w:type="dxa"/>
            <w:bottom w:w="0" w:type="dxa"/>
            <w:right w:w="108" w:type="dxa"/>
          </w:tblCellMar>
        </w:tblPrEx>
        <w:trPr>
          <w:trHeight w:val="651"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建设方对距离项目较近的和平社村民、和平社村民小组、草明亮村民小组进行了公众调查，并填写了公众参与调查表；根据调查表，无反对者，均支持项目的建设。</w:t>
            </w:r>
          </w:p>
        </w:tc>
      </w:tr>
      <w:tr>
        <w:tblPrEx>
          <w:tblCellMar>
            <w:top w:w="0" w:type="dxa"/>
            <w:left w:w="108" w:type="dxa"/>
            <w:bottom w:w="0" w:type="dxa"/>
            <w:right w:w="108" w:type="dxa"/>
          </w:tblCellMar>
        </w:tblPrEx>
        <w:trPr>
          <w:trHeight w:val="855" w:hRule="atLeast"/>
        </w:trPr>
        <w:tc>
          <w:tcPr>
            <w:tcW w:w="3220" w:type="dxa"/>
            <w:gridSpan w:val="3"/>
            <w:tcBorders>
              <w:top w:val="single" w:color="auto" w:sz="4" w:space="0"/>
              <w:left w:val="single" w:color="auto" w:sz="4" w:space="0"/>
              <w:bottom w:val="single" w:color="auto" w:sz="4" w:space="0"/>
              <w:right w:val="single" w:color="auto" w:sz="4" w:space="0"/>
            </w:tcBorders>
            <w:shd w:val="clear" w:color="000000" w:fill="C0C0C0"/>
            <w:vAlign w:val="center"/>
          </w:tcPr>
          <w:p>
            <w:pPr>
              <w:widowControl/>
              <w:spacing w:line="360" w:lineRule="auto"/>
              <w:jc w:val="left"/>
              <w:rPr>
                <w:rFonts w:ascii="Times New Roman" w:hAnsi="Times New Roman"/>
                <w:kern w:val="0"/>
                <w:sz w:val="24"/>
                <w:szCs w:val="24"/>
              </w:rPr>
            </w:pPr>
            <w:r>
              <w:rPr>
                <w:rFonts w:hint="eastAsia" w:ascii="Times New Roman" w:hAnsi="Times New Roman"/>
                <w:kern w:val="0"/>
                <w:sz w:val="24"/>
                <w:szCs w:val="24"/>
              </w:rPr>
              <w:t>建设单位或地方政府所作出的相关承诺文件</w:t>
            </w:r>
          </w:p>
        </w:tc>
        <w:tc>
          <w:tcPr>
            <w:tcW w:w="5762" w:type="dxa"/>
            <w:gridSpan w:val="4"/>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kern w:val="0"/>
                <w:sz w:val="24"/>
                <w:szCs w:val="24"/>
              </w:rPr>
            </w:pPr>
            <w:r>
              <w:rPr>
                <w:rFonts w:hint="eastAsia" w:ascii="Times New Roman" w:hAnsi="Times New Roman"/>
                <w:kern w:val="0"/>
                <w:sz w:val="24"/>
                <w:szCs w:val="24"/>
              </w:rPr>
              <w:t>关于《盈江中盈商品混凝土搅拌站建设项目环境影响报告表》全文公示的情况说明。　</w:t>
            </w:r>
          </w:p>
        </w:tc>
      </w:tr>
      <w:tr>
        <w:tblPrEx>
          <w:tblCellMar>
            <w:top w:w="0" w:type="dxa"/>
            <w:left w:w="108" w:type="dxa"/>
            <w:bottom w:w="0" w:type="dxa"/>
            <w:right w:w="108" w:type="dxa"/>
          </w:tblCellMar>
        </w:tblPrEx>
        <w:trPr>
          <w:trHeight w:val="855" w:hRule="atLeast"/>
        </w:trPr>
        <w:tc>
          <w:tcPr>
            <w:tcW w:w="8982" w:type="dxa"/>
            <w:gridSpan w:val="7"/>
            <w:tcBorders>
              <w:top w:val="single" w:color="auto" w:sz="4" w:space="0"/>
              <w:left w:val="single" w:color="auto" w:sz="4" w:space="0"/>
              <w:bottom w:val="single" w:color="auto" w:sz="4" w:space="0"/>
              <w:right w:val="single" w:color="000000" w:sz="4" w:space="0"/>
            </w:tcBorders>
            <w:shd w:val="clear" w:color="000000" w:fill="C0C0C0"/>
            <w:vAlign w:val="center"/>
          </w:tcPr>
          <w:p>
            <w:pPr>
              <w:widowControl/>
              <w:spacing w:line="360" w:lineRule="auto"/>
              <w:jc w:val="center"/>
              <w:rPr>
                <w:rFonts w:ascii="Times New Roman" w:hAnsi="Times New Roman"/>
                <w:kern w:val="0"/>
                <w:sz w:val="24"/>
                <w:szCs w:val="24"/>
              </w:rPr>
            </w:pPr>
            <w:r>
              <w:rPr>
                <w:rFonts w:hint="eastAsia" w:ascii="Times New Roman" w:hAnsi="Times New Roman"/>
                <w:kern w:val="0"/>
                <w:sz w:val="24"/>
                <w:szCs w:val="24"/>
              </w:rPr>
              <w:t>拟审批意见</w:t>
            </w:r>
          </w:p>
        </w:tc>
      </w:tr>
      <w:tr>
        <w:tblPrEx>
          <w:tblCellMar>
            <w:top w:w="0" w:type="dxa"/>
            <w:left w:w="108" w:type="dxa"/>
            <w:bottom w:w="0" w:type="dxa"/>
            <w:right w:w="108" w:type="dxa"/>
          </w:tblCellMar>
        </w:tblPrEx>
        <w:trPr>
          <w:trHeight w:val="675" w:hRule="atLeast"/>
        </w:trPr>
        <w:tc>
          <w:tcPr>
            <w:tcW w:w="1468" w:type="dxa"/>
            <w:tcBorders>
              <w:top w:val="nil"/>
              <w:left w:val="single" w:color="auto" w:sz="4" w:space="0"/>
              <w:bottom w:val="single" w:color="auto" w:sz="4" w:space="0"/>
              <w:right w:val="single" w:color="auto" w:sz="4" w:space="0"/>
            </w:tcBorders>
            <w:shd w:val="clear" w:color="000000" w:fill="C0C0C0"/>
            <w:vAlign w:val="center"/>
          </w:tcPr>
          <w:p>
            <w:pPr>
              <w:widowControl/>
              <w:spacing w:line="360" w:lineRule="auto"/>
              <w:jc w:val="left"/>
              <w:rPr>
                <w:rFonts w:ascii="Times New Roman" w:hAnsi="Times New Roman"/>
                <w:kern w:val="0"/>
                <w:sz w:val="24"/>
                <w:szCs w:val="24"/>
              </w:rPr>
            </w:pPr>
            <w:r>
              <w:rPr>
                <w:rFonts w:hint="eastAsia" w:ascii="Times New Roman" w:hAnsi="Times New Roman"/>
                <w:kern w:val="0"/>
                <w:sz w:val="24"/>
                <w:szCs w:val="24"/>
              </w:rPr>
              <w:t>拟审批意见</w:t>
            </w:r>
          </w:p>
        </w:tc>
        <w:tc>
          <w:tcPr>
            <w:tcW w:w="7514" w:type="dxa"/>
            <w:gridSpan w:val="6"/>
            <w:tcBorders>
              <w:top w:val="single" w:color="auto" w:sz="4" w:space="0"/>
              <w:left w:val="nil"/>
              <w:bottom w:val="single" w:color="auto" w:sz="4" w:space="0"/>
              <w:right w:val="single" w:color="000000" w:sz="4" w:space="0"/>
            </w:tcBorders>
            <w:vAlign w:val="center"/>
          </w:tcPr>
          <w:p>
            <w:pPr>
              <w:widowControl/>
              <w:spacing w:line="360" w:lineRule="auto"/>
              <w:jc w:val="left"/>
              <w:rPr>
                <w:rFonts w:ascii="Times New Roman" w:hAnsi="Times New Roman"/>
                <w:kern w:val="0"/>
                <w:sz w:val="24"/>
                <w:szCs w:val="24"/>
              </w:rPr>
            </w:pPr>
            <w:r>
              <w:rPr>
                <w:rFonts w:hint="eastAsia" w:ascii="Times New Roman" w:hAnsi="Times New Roman"/>
                <w:kern w:val="0"/>
                <w:sz w:val="24"/>
                <w:szCs w:val="24"/>
              </w:rPr>
              <w:t>　同意审批</w:t>
            </w:r>
          </w:p>
        </w:tc>
      </w:tr>
      <w:tr>
        <w:tblPrEx>
          <w:tblCellMar>
            <w:top w:w="0" w:type="dxa"/>
            <w:left w:w="108" w:type="dxa"/>
            <w:bottom w:w="0" w:type="dxa"/>
            <w:right w:w="108" w:type="dxa"/>
          </w:tblCellMar>
        </w:tblPrEx>
        <w:trPr>
          <w:trHeight w:val="570" w:hRule="atLeast"/>
        </w:trPr>
        <w:tc>
          <w:tcPr>
            <w:tcW w:w="8982" w:type="dxa"/>
            <w:gridSpan w:val="7"/>
            <w:tcBorders>
              <w:top w:val="single" w:color="auto" w:sz="4" w:space="0"/>
              <w:left w:val="nil"/>
              <w:bottom w:val="nil"/>
              <w:right w:val="nil"/>
            </w:tcBorders>
            <w:vAlign w:val="center"/>
          </w:tcPr>
          <w:p>
            <w:pPr>
              <w:widowControl/>
              <w:spacing w:line="360" w:lineRule="auto"/>
              <w:jc w:val="left"/>
              <w:rPr>
                <w:rFonts w:ascii="Times New Roman" w:hAnsi="Times New Roman"/>
                <w:kern w:val="0"/>
                <w:sz w:val="24"/>
                <w:szCs w:val="24"/>
              </w:rPr>
            </w:pPr>
            <w:r>
              <w:rPr>
                <w:rFonts w:hint="eastAsia" w:ascii="Times New Roman" w:hAnsi="Times New Roman"/>
                <w:kern w:val="0"/>
                <w:sz w:val="24"/>
                <w:szCs w:val="24"/>
              </w:rPr>
              <w:t>注</w:t>
            </w:r>
            <w:r>
              <w:rPr>
                <w:rFonts w:ascii="Times New Roman" w:hAnsi="Times New Roman"/>
                <w:kern w:val="0"/>
                <w:sz w:val="24"/>
                <w:szCs w:val="24"/>
              </w:rPr>
              <w:t>:</w:t>
            </w:r>
            <w:r>
              <w:rPr>
                <w:rFonts w:hint="eastAsia" w:ascii="Times New Roman" w:hAnsi="Times New Roman"/>
                <w:kern w:val="0"/>
                <w:sz w:val="24"/>
                <w:szCs w:val="24"/>
              </w:rPr>
              <w:t>项目基本情况、项目主要环境影响、项目预防及减轻不良环境影响的对策和措施、公众参与情况、建设单位或地方政府所作出的相关承诺文件部分由建设单位填写。拟审批意见、公众反馈意见联系方式部分由行政审批机关填写</w:t>
            </w:r>
          </w:p>
        </w:tc>
      </w:tr>
    </w:tbl>
    <w:p>
      <w:pPr>
        <w:pStyle w:val="11"/>
        <w:rPr>
          <w:rFonts w:hAnsi="宋体" w:cs="宋体"/>
          <w:color w:val="353535"/>
          <w:kern w:val="0"/>
          <w:sz w:val="24"/>
        </w:rPr>
      </w:pPr>
    </w:p>
    <w:tbl>
      <w:tblPr>
        <w:tblStyle w:val="21"/>
        <w:tblW w:w="8982" w:type="dxa"/>
        <w:tblInd w:w="-459" w:type="dxa"/>
        <w:tblLayout w:type="fixed"/>
        <w:tblCellMar>
          <w:top w:w="0" w:type="dxa"/>
          <w:left w:w="108" w:type="dxa"/>
          <w:bottom w:w="0" w:type="dxa"/>
          <w:right w:w="108" w:type="dxa"/>
        </w:tblCellMar>
      </w:tblPr>
      <w:tblGrid>
        <w:gridCol w:w="1468"/>
        <w:gridCol w:w="234"/>
        <w:gridCol w:w="1518"/>
        <w:gridCol w:w="1268"/>
        <w:gridCol w:w="1703"/>
        <w:gridCol w:w="844"/>
        <w:gridCol w:w="1947"/>
      </w:tblGrid>
      <w:tr>
        <w:tblPrEx>
          <w:tblCellMar>
            <w:top w:w="0" w:type="dxa"/>
            <w:left w:w="108" w:type="dxa"/>
            <w:bottom w:w="0" w:type="dxa"/>
            <w:right w:w="108" w:type="dxa"/>
          </w:tblCellMar>
        </w:tblPrEx>
        <w:trPr>
          <w:trHeight w:val="945" w:hRule="atLeast"/>
        </w:trPr>
        <w:tc>
          <w:tcPr>
            <w:tcW w:w="8982" w:type="dxa"/>
            <w:gridSpan w:val="7"/>
            <w:tcBorders>
              <w:top w:val="nil"/>
              <w:left w:val="nil"/>
              <w:bottom w:val="single" w:color="auto" w:sz="4" w:space="0"/>
              <w:right w:val="nil"/>
            </w:tcBorders>
            <w:vAlign w:val="center"/>
          </w:tcPr>
          <w:p>
            <w:pPr>
              <w:widowControl/>
              <w:spacing w:line="360" w:lineRule="auto"/>
              <w:jc w:val="center"/>
              <w:rPr>
                <w:rFonts w:ascii="Times New Roman" w:hAnsi="Times New Roman"/>
                <w:b/>
                <w:bCs/>
                <w:kern w:val="0"/>
                <w:sz w:val="24"/>
                <w:szCs w:val="24"/>
              </w:rPr>
            </w:pPr>
            <w:r>
              <w:rPr>
                <w:rFonts w:hint="eastAsia" w:ascii="Times New Roman" w:hAnsi="Times New Roman"/>
                <w:b/>
                <w:bCs/>
                <w:kern w:val="0"/>
                <w:sz w:val="24"/>
                <w:szCs w:val="24"/>
              </w:rPr>
              <w:t>德宏生态环境局盈江分局拟审批建设项目环评信息公开表</w:t>
            </w:r>
          </w:p>
        </w:tc>
      </w:tr>
      <w:tr>
        <w:tblPrEx>
          <w:tblCellMar>
            <w:top w:w="0" w:type="dxa"/>
            <w:left w:w="108" w:type="dxa"/>
            <w:bottom w:w="0" w:type="dxa"/>
            <w:right w:w="108" w:type="dxa"/>
          </w:tblCellMar>
        </w:tblPrEx>
        <w:trPr>
          <w:trHeight w:val="1445" w:hRule="atLeast"/>
        </w:trPr>
        <w:tc>
          <w:tcPr>
            <w:tcW w:w="1702" w:type="dxa"/>
            <w:gridSpan w:val="2"/>
            <w:tcBorders>
              <w:top w:val="single" w:color="auto" w:sz="4" w:space="0"/>
              <w:left w:val="single" w:color="auto" w:sz="4" w:space="0"/>
              <w:bottom w:val="single" w:color="auto" w:sz="4" w:space="0"/>
              <w:right w:val="single" w:color="auto" w:sz="4" w:space="0"/>
            </w:tcBorders>
            <w:shd w:val="clear" w:color="000000" w:fill="C0C0C0"/>
            <w:vAlign w:val="center"/>
          </w:tcPr>
          <w:p>
            <w:pPr>
              <w:widowControl/>
              <w:jc w:val="left"/>
              <w:rPr>
                <w:rFonts w:ascii="Times New Roman" w:hAnsi="Times New Roman"/>
                <w:kern w:val="0"/>
                <w:sz w:val="24"/>
                <w:szCs w:val="24"/>
              </w:rPr>
            </w:pPr>
            <w:r>
              <w:rPr>
                <w:rFonts w:hint="eastAsia" w:ascii="Times New Roman" w:hAnsi="Times New Roman"/>
                <w:kern w:val="0"/>
                <w:sz w:val="24"/>
                <w:szCs w:val="24"/>
              </w:rPr>
              <w:t>项目名称</w:t>
            </w:r>
          </w:p>
        </w:tc>
        <w:tc>
          <w:tcPr>
            <w:tcW w:w="1518"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 w:val="24"/>
                <w:szCs w:val="24"/>
              </w:rPr>
            </w:pPr>
            <w:r>
              <w:rPr>
                <w:rFonts w:hint="eastAsia" w:ascii="Times New Roman" w:hAnsi="Times New Roman"/>
                <w:kern w:val="0"/>
                <w:sz w:val="24"/>
                <w:szCs w:val="24"/>
              </w:rPr>
              <w:t>云南省盈江星云有限公司</w:t>
            </w:r>
            <w:r>
              <w:rPr>
                <w:rFonts w:ascii="Times New Roman" w:hAnsi="Times New Roman"/>
                <w:kern w:val="0"/>
                <w:sz w:val="24"/>
                <w:szCs w:val="24"/>
              </w:rPr>
              <w:t>2×25500KVA</w:t>
            </w:r>
            <w:r>
              <w:rPr>
                <w:rFonts w:hint="eastAsia" w:ascii="Times New Roman" w:hAnsi="Times New Roman"/>
                <w:kern w:val="0"/>
                <w:sz w:val="24"/>
                <w:szCs w:val="24"/>
              </w:rPr>
              <w:t>硅冶炼炉烟气治理升级改造项目</w:t>
            </w:r>
          </w:p>
        </w:tc>
        <w:tc>
          <w:tcPr>
            <w:tcW w:w="1268" w:type="dxa"/>
            <w:tcBorders>
              <w:top w:val="single" w:color="auto" w:sz="4" w:space="0"/>
              <w:left w:val="nil"/>
              <w:bottom w:val="single" w:color="auto" w:sz="4" w:space="0"/>
              <w:right w:val="single" w:color="auto" w:sz="4" w:space="0"/>
            </w:tcBorders>
            <w:shd w:val="clear" w:color="000000" w:fill="C0C0C0"/>
            <w:vAlign w:val="center"/>
          </w:tcPr>
          <w:p>
            <w:pPr>
              <w:widowControl/>
              <w:jc w:val="left"/>
              <w:rPr>
                <w:rFonts w:ascii="Times New Roman" w:hAnsi="Times New Roman"/>
                <w:kern w:val="0"/>
                <w:sz w:val="24"/>
                <w:szCs w:val="24"/>
              </w:rPr>
            </w:pPr>
            <w:r>
              <w:rPr>
                <w:rFonts w:hint="eastAsia" w:ascii="Times New Roman" w:hAnsi="Times New Roman"/>
                <w:kern w:val="0"/>
                <w:sz w:val="24"/>
                <w:szCs w:val="24"/>
              </w:rPr>
              <w:t>建设地点</w:t>
            </w:r>
          </w:p>
        </w:tc>
        <w:tc>
          <w:tcPr>
            <w:tcW w:w="1703"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 w:val="24"/>
                <w:szCs w:val="24"/>
              </w:rPr>
            </w:pPr>
            <w:r>
              <w:rPr>
                <w:rFonts w:hint="eastAsia" w:hAnsi="宋体"/>
                <w:sz w:val="24"/>
                <w:szCs w:val="24"/>
              </w:rPr>
              <w:t>德宏州盈江县</w:t>
            </w:r>
            <w:r>
              <w:rPr>
                <w:rFonts w:hint="eastAsia"/>
                <w:sz w:val="24"/>
                <w:szCs w:val="24"/>
              </w:rPr>
              <w:t>昔马镇麻刀陆</w:t>
            </w:r>
          </w:p>
        </w:tc>
        <w:tc>
          <w:tcPr>
            <w:tcW w:w="844" w:type="dxa"/>
            <w:tcBorders>
              <w:top w:val="single" w:color="auto" w:sz="4" w:space="0"/>
              <w:left w:val="nil"/>
              <w:bottom w:val="single" w:color="auto" w:sz="4" w:space="0"/>
              <w:right w:val="single" w:color="auto" w:sz="4" w:space="0"/>
            </w:tcBorders>
            <w:shd w:val="clear" w:color="000000" w:fill="C0C0C0"/>
            <w:vAlign w:val="center"/>
          </w:tcPr>
          <w:p>
            <w:pPr>
              <w:widowControl/>
              <w:jc w:val="left"/>
              <w:rPr>
                <w:rFonts w:ascii="Times New Roman" w:hAnsi="Times New Roman"/>
                <w:kern w:val="0"/>
                <w:sz w:val="24"/>
                <w:szCs w:val="24"/>
              </w:rPr>
            </w:pPr>
            <w:r>
              <w:rPr>
                <w:rFonts w:hint="eastAsia" w:ascii="Times New Roman" w:hAnsi="Times New Roman"/>
                <w:kern w:val="0"/>
                <w:sz w:val="24"/>
                <w:szCs w:val="24"/>
              </w:rPr>
              <w:t>建设单位</w:t>
            </w:r>
          </w:p>
        </w:tc>
        <w:tc>
          <w:tcPr>
            <w:tcW w:w="194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hint="eastAsia"/>
                <w:sz w:val="24"/>
                <w:szCs w:val="24"/>
              </w:rPr>
              <w:t>云南省盈江星云有限公司</w:t>
            </w:r>
          </w:p>
        </w:tc>
      </w:tr>
      <w:tr>
        <w:tblPrEx>
          <w:tblCellMar>
            <w:top w:w="0" w:type="dxa"/>
            <w:left w:w="108" w:type="dxa"/>
            <w:bottom w:w="0" w:type="dxa"/>
            <w:right w:w="108" w:type="dxa"/>
          </w:tblCellMar>
        </w:tblPrEx>
        <w:trPr>
          <w:trHeight w:val="90" w:hRule="atLeast"/>
        </w:trPr>
        <w:tc>
          <w:tcPr>
            <w:tcW w:w="1702" w:type="dxa"/>
            <w:gridSpan w:val="2"/>
            <w:tcBorders>
              <w:top w:val="nil"/>
              <w:left w:val="single" w:color="auto" w:sz="4" w:space="0"/>
              <w:bottom w:val="single" w:color="auto" w:sz="4" w:space="0"/>
              <w:right w:val="single" w:color="auto" w:sz="4" w:space="0"/>
            </w:tcBorders>
            <w:shd w:val="clear" w:color="000000" w:fill="C0C0C0"/>
            <w:vAlign w:val="center"/>
          </w:tcPr>
          <w:p>
            <w:pPr>
              <w:widowControl/>
              <w:jc w:val="left"/>
              <w:rPr>
                <w:rFonts w:ascii="Times New Roman" w:hAnsi="Times New Roman"/>
                <w:kern w:val="0"/>
                <w:sz w:val="24"/>
                <w:szCs w:val="24"/>
              </w:rPr>
            </w:pPr>
            <w:r>
              <w:rPr>
                <w:rFonts w:hint="eastAsia" w:ascii="Times New Roman" w:hAnsi="Times New Roman"/>
                <w:kern w:val="0"/>
                <w:sz w:val="24"/>
                <w:szCs w:val="24"/>
              </w:rPr>
              <w:t>环评文件类型</w:t>
            </w:r>
          </w:p>
        </w:tc>
        <w:tc>
          <w:tcPr>
            <w:tcW w:w="1518" w:type="dxa"/>
            <w:tcBorders>
              <w:top w:val="nil"/>
              <w:left w:val="nil"/>
              <w:bottom w:val="single" w:color="auto" w:sz="4" w:space="0"/>
              <w:right w:val="single" w:color="auto" w:sz="4" w:space="0"/>
            </w:tcBorders>
            <w:vAlign w:val="center"/>
          </w:tcPr>
          <w:p>
            <w:pPr>
              <w:widowControl/>
              <w:jc w:val="left"/>
              <w:rPr>
                <w:rFonts w:ascii="Times New Roman" w:hAnsi="Times New Roman"/>
                <w:kern w:val="0"/>
                <w:sz w:val="24"/>
                <w:szCs w:val="24"/>
              </w:rPr>
            </w:pPr>
            <w:r>
              <w:rPr>
                <w:rFonts w:hint="eastAsia" w:ascii="Times New Roman" w:hAnsi="Times New Roman"/>
                <w:kern w:val="0"/>
                <w:sz w:val="24"/>
                <w:szCs w:val="24"/>
              </w:rPr>
              <w:t>　报告表</w:t>
            </w:r>
          </w:p>
        </w:tc>
        <w:tc>
          <w:tcPr>
            <w:tcW w:w="1268" w:type="dxa"/>
            <w:tcBorders>
              <w:top w:val="nil"/>
              <w:left w:val="nil"/>
              <w:bottom w:val="single" w:color="auto" w:sz="4" w:space="0"/>
              <w:right w:val="single" w:color="auto" w:sz="4" w:space="0"/>
            </w:tcBorders>
            <w:shd w:val="clear" w:color="000000" w:fill="C0C0C0"/>
            <w:vAlign w:val="center"/>
          </w:tcPr>
          <w:p>
            <w:pPr>
              <w:widowControl/>
              <w:jc w:val="left"/>
              <w:rPr>
                <w:rFonts w:ascii="Times New Roman" w:hAnsi="Times New Roman"/>
                <w:kern w:val="0"/>
                <w:sz w:val="24"/>
                <w:szCs w:val="24"/>
              </w:rPr>
            </w:pPr>
            <w:r>
              <w:rPr>
                <w:rFonts w:hint="eastAsia" w:ascii="Times New Roman" w:hAnsi="Times New Roman"/>
                <w:kern w:val="0"/>
                <w:sz w:val="24"/>
                <w:szCs w:val="24"/>
              </w:rPr>
              <w:t>环境影响评价机构</w:t>
            </w:r>
          </w:p>
        </w:tc>
        <w:tc>
          <w:tcPr>
            <w:tcW w:w="4494"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云南博曦环境影响评价有限公司</w:t>
            </w: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widowControl/>
              <w:spacing w:line="360" w:lineRule="auto"/>
              <w:jc w:val="center"/>
              <w:rPr>
                <w:rFonts w:ascii="Times New Roman" w:hAnsi="Times New Roman"/>
                <w:kern w:val="0"/>
                <w:sz w:val="24"/>
                <w:szCs w:val="24"/>
              </w:rPr>
            </w:pPr>
            <w:r>
              <w:rPr>
                <w:rFonts w:hint="eastAsia" w:ascii="Times New Roman" w:hAnsi="Times New Roman"/>
                <w:kern w:val="0"/>
                <w:sz w:val="24"/>
                <w:szCs w:val="24"/>
              </w:rPr>
              <w:t>项目概况</w:t>
            </w:r>
          </w:p>
        </w:tc>
      </w:tr>
      <w:tr>
        <w:tblPrEx>
          <w:tblCellMar>
            <w:top w:w="0" w:type="dxa"/>
            <w:left w:w="108" w:type="dxa"/>
            <w:bottom w:w="0" w:type="dxa"/>
            <w:right w:w="108" w:type="dxa"/>
          </w:tblCellMar>
        </w:tblPrEx>
        <w:trPr>
          <w:trHeight w:val="1102"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pStyle w:val="66"/>
              <w:ind w:firstLine="480"/>
              <w:jc w:val="both"/>
              <w:rPr>
                <w:rFonts w:ascii="Times New Roman" w:hAnsi="Times New Roman"/>
                <w:kern w:val="0"/>
              </w:rPr>
            </w:pPr>
            <w:r>
              <w:rPr>
                <w:rFonts w:hint="eastAsia" w:ascii="Times New Roman" w:hAnsi="Times New Roman"/>
                <w:kern w:val="0"/>
              </w:rPr>
              <w:t>本项目主要对星云公司厂区现有</w:t>
            </w:r>
            <w:r>
              <w:rPr>
                <w:rFonts w:ascii="Times New Roman" w:hAnsi="Times New Roman"/>
                <w:kern w:val="0"/>
              </w:rPr>
              <w:t>1</w:t>
            </w:r>
            <w:r>
              <w:rPr>
                <w:rFonts w:hint="eastAsia" w:ascii="Times New Roman" w:hAnsi="Times New Roman"/>
                <w:kern w:val="0"/>
              </w:rPr>
              <w:t>台</w:t>
            </w:r>
            <w:r>
              <w:rPr>
                <w:rFonts w:ascii="Times New Roman" w:hAnsi="Times New Roman"/>
                <w:kern w:val="0"/>
              </w:rPr>
              <w:t>25500kVA</w:t>
            </w:r>
            <w:r>
              <w:rPr>
                <w:rFonts w:hint="eastAsia" w:ascii="Times New Roman" w:hAnsi="Times New Roman"/>
                <w:kern w:val="0"/>
              </w:rPr>
              <w:t>矿热电炉和在建</w:t>
            </w:r>
            <w:r>
              <w:rPr>
                <w:rFonts w:ascii="Times New Roman" w:hAnsi="Times New Roman"/>
                <w:kern w:val="0"/>
              </w:rPr>
              <w:t>1</w:t>
            </w:r>
            <w:r>
              <w:rPr>
                <w:rFonts w:hint="eastAsia" w:ascii="Times New Roman" w:hAnsi="Times New Roman"/>
                <w:kern w:val="0"/>
              </w:rPr>
              <w:t>台</w:t>
            </w:r>
            <w:r>
              <w:rPr>
                <w:rFonts w:ascii="Times New Roman" w:hAnsi="Times New Roman"/>
                <w:kern w:val="0"/>
              </w:rPr>
              <w:t>25500kVA</w:t>
            </w:r>
            <w:r>
              <w:rPr>
                <w:rFonts w:hint="eastAsia" w:ascii="Times New Roman" w:hAnsi="Times New Roman"/>
                <w:kern w:val="0"/>
              </w:rPr>
              <w:t>矿热电炉生产线产生的烟气进行脱硫处理，</w:t>
            </w:r>
            <w:r>
              <w:rPr>
                <w:rFonts w:ascii="Times New Roman" w:hAnsi="Times New Roman"/>
                <w:kern w:val="0"/>
              </w:rPr>
              <w:t>2</w:t>
            </w:r>
            <w:r>
              <w:rPr>
                <w:rFonts w:hint="eastAsia" w:ascii="Times New Roman" w:hAnsi="Times New Roman"/>
                <w:kern w:val="0"/>
              </w:rPr>
              <w:t>条矿热电炉生产线分别建设一套脱硫系统。本项目对盈江星云有限公司现有和在建矿热电炉生产线分别建设一套脱硫系统，采用循环流化床半干法脱硫工艺（简称</w:t>
            </w:r>
            <w:r>
              <w:rPr>
                <w:rFonts w:ascii="Times New Roman" w:hAnsi="Times New Roman"/>
                <w:kern w:val="0"/>
              </w:rPr>
              <w:t>CFB</w:t>
            </w:r>
            <w:r>
              <w:rPr>
                <w:rFonts w:hint="eastAsia" w:ascii="Times New Roman" w:hAnsi="Times New Roman"/>
                <w:kern w:val="0"/>
              </w:rPr>
              <w:t>）。其中，现有矿热电炉生产线烟气首先引入脱硫系统（本次新建）后进入厂区原有布袋除尘设施处理（包括</w:t>
            </w:r>
            <w:r>
              <w:rPr>
                <w:rFonts w:ascii="Times New Roman" w:hAnsi="Times New Roman"/>
                <w:kern w:val="0"/>
              </w:rPr>
              <w:t>48</w:t>
            </w:r>
            <w:r>
              <w:rPr>
                <w:rFonts w:hint="eastAsia" w:ascii="Times New Roman" w:hAnsi="Times New Roman"/>
                <w:kern w:val="0"/>
              </w:rPr>
              <w:t>个灰斗、</w:t>
            </w:r>
            <w:r>
              <w:rPr>
                <w:rFonts w:ascii="Times New Roman" w:hAnsi="Times New Roman"/>
                <w:kern w:val="0"/>
              </w:rPr>
              <w:t>2016</w:t>
            </w:r>
            <w:r>
              <w:rPr>
                <w:rFonts w:hint="eastAsia" w:ascii="Times New Roman" w:hAnsi="Times New Roman"/>
                <w:kern w:val="0"/>
              </w:rPr>
              <w:t>条布袋），最终通过厂区原有烟囱（直径</w:t>
            </w:r>
            <w:r>
              <w:rPr>
                <w:rFonts w:ascii="Times New Roman" w:hAnsi="Times New Roman"/>
                <w:kern w:val="0"/>
              </w:rPr>
              <w:t>4m</w:t>
            </w:r>
            <w:r>
              <w:rPr>
                <w:rFonts w:hint="eastAsia" w:ascii="Times New Roman" w:hAnsi="Times New Roman"/>
                <w:kern w:val="0"/>
              </w:rPr>
              <w:t>、高度</w:t>
            </w:r>
            <w:r>
              <w:rPr>
                <w:rFonts w:ascii="Times New Roman" w:hAnsi="Times New Roman"/>
                <w:kern w:val="0"/>
              </w:rPr>
              <w:t>40m</w:t>
            </w:r>
            <w:r>
              <w:rPr>
                <w:rFonts w:hint="eastAsia" w:ascii="Times New Roman" w:hAnsi="Times New Roman"/>
                <w:kern w:val="0"/>
              </w:rPr>
              <w:t>）排放。在建矿热电炉生产线烟气首先引入脱硫系统（本次新建）后进入布袋除尘设施（本次新建）处理，最终通过新建排气筒排放，在建矿热电炉生产线除尘设施和排气筒按现有生产线进行建设。</w:t>
            </w:r>
            <w:r>
              <w:rPr>
                <w:rFonts w:hint="eastAsia" w:ascii="Times New Roman" w:hAnsi="Times New Roman"/>
              </w:rPr>
              <w:t>本项目总投资为</w:t>
            </w:r>
            <w:r>
              <w:t>500</w:t>
            </w:r>
            <w:r>
              <w:rPr>
                <w:rFonts w:hint="eastAsia" w:ascii="Times New Roman" w:hAnsi="Times New Roman"/>
              </w:rPr>
              <w:t>万元，环保投资</w:t>
            </w:r>
            <w:r>
              <w:rPr>
                <w:rFonts w:ascii="Times New Roman" w:hAnsi="Times New Roman"/>
              </w:rPr>
              <w:t>500</w:t>
            </w:r>
            <w:r>
              <w:rPr>
                <w:rFonts w:hint="eastAsia" w:ascii="Times New Roman" w:hAnsi="Times New Roman"/>
              </w:rPr>
              <w:t>万元。</w:t>
            </w: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widowControl/>
              <w:spacing w:line="360" w:lineRule="auto"/>
              <w:jc w:val="center"/>
              <w:rPr>
                <w:rFonts w:ascii="Times New Roman" w:hAnsi="Times New Roman"/>
                <w:kern w:val="0"/>
                <w:sz w:val="24"/>
                <w:szCs w:val="24"/>
              </w:rPr>
            </w:pPr>
            <w:r>
              <w:rPr>
                <w:rFonts w:hint="eastAsia" w:ascii="Times New Roman" w:hAnsi="Times New Roman"/>
                <w:kern w:val="0"/>
                <w:sz w:val="24"/>
                <w:szCs w:val="24"/>
              </w:rPr>
              <w:t>项目主要环境影响</w:t>
            </w:r>
          </w:p>
        </w:tc>
      </w:tr>
      <w:tr>
        <w:tblPrEx>
          <w:tblCellMar>
            <w:top w:w="0" w:type="dxa"/>
            <w:left w:w="108" w:type="dxa"/>
            <w:bottom w:w="0" w:type="dxa"/>
            <w:right w:w="108" w:type="dxa"/>
          </w:tblCellMar>
        </w:tblPrEx>
        <w:trPr>
          <w:trHeight w:val="614"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Times New Roman" w:hAnsi="Times New Roman"/>
                <w:sz w:val="24"/>
                <w:szCs w:val="24"/>
              </w:rPr>
            </w:pPr>
            <w:r>
              <w:rPr>
                <w:rFonts w:hint="eastAsia" w:ascii="Times New Roman" w:hAnsi="Times New Roman"/>
                <w:sz w:val="24"/>
                <w:szCs w:val="24"/>
              </w:rPr>
              <w:t>项目施工期主要为设备安装，其随着施工期的结束影响消失，对周围环境影响小。</w:t>
            </w:r>
          </w:p>
          <w:p>
            <w:pPr>
              <w:spacing w:line="360" w:lineRule="auto"/>
              <w:ind w:firstLine="480" w:firstLineChars="200"/>
              <w:rPr>
                <w:rFonts w:ascii="Times New Roman" w:hAnsi="Times New Roman"/>
                <w:sz w:val="24"/>
                <w:szCs w:val="24"/>
                <w:lang w:val="zh-CN"/>
              </w:rPr>
            </w:pPr>
            <w:r>
              <w:rPr>
                <w:rFonts w:hint="eastAsia" w:ascii="Times New Roman" w:hAnsi="Times New Roman"/>
                <w:sz w:val="24"/>
                <w:szCs w:val="24"/>
                <w:lang w:val="zh-CN"/>
              </w:rPr>
              <w:t>（</w:t>
            </w:r>
            <w:r>
              <w:rPr>
                <w:rFonts w:ascii="Times New Roman" w:hAnsi="Times New Roman"/>
                <w:sz w:val="24"/>
                <w:szCs w:val="24"/>
                <w:lang w:val="zh-CN"/>
              </w:rPr>
              <w:t>1</w:t>
            </w:r>
            <w:r>
              <w:rPr>
                <w:rFonts w:hint="eastAsia" w:ascii="Times New Roman" w:hAnsi="Times New Roman"/>
                <w:sz w:val="24"/>
                <w:szCs w:val="24"/>
                <w:lang w:val="zh-CN"/>
              </w:rPr>
              <w:t>）地表水影响分析</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根据项目脱硫工艺，</w:t>
            </w:r>
            <w:r>
              <w:rPr>
                <w:rFonts w:hint="eastAsia"/>
                <w:sz w:val="24"/>
                <w:szCs w:val="24"/>
              </w:rPr>
              <w:t>项目运行产生的净循环排污水与原有排污水一同作为厂区晴天的绿化、道路洒浇水，不外排；地坪冲洗水回用做洗硅水不外排</w:t>
            </w:r>
            <w:r>
              <w:rPr>
                <w:rFonts w:hint="eastAsia" w:ascii="Times New Roman" w:hAnsi="Times New Roman"/>
                <w:sz w:val="24"/>
                <w:szCs w:val="24"/>
              </w:rPr>
              <w:t>；本项目不新增工作人员，因此无新增生活污水。因此，项目运营过程中对周围地表水环境影响较小。</w:t>
            </w:r>
          </w:p>
          <w:p>
            <w:pPr>
              <w:spacing w:line="360" w:lineRule="auto"/>
              <w:ind w:firstLine="480" w:firstLineChars="200"/>
              <w:rPr>
                <w:rFonts w:ascii="Times New Roman" w:hAnsi="Times New Roman"/>
                <w:sz w:val="24"/>
                <w:szCs w:val="24"/>
                <w:lang w:val="zh-CN"/>
              </w:rPr>
            </w:pPr>
            <w:r>
              <w:rPr>
                <w:rFonts w:hint="eastAsia" w:ascii="Times New Roman" w:hAnsi="Times New Roman"/>
                <w:sz w:val="24"/>
                <w:szCs w:val="24"/>
                <w:lang w:val="zh-CN"/>
              </w:rPr>
              <w:t>（</w:t>
            </w:r>
            <w:r>
              <w:rPr>
                <w:rFonts w:ascii="Times New Roman" w:hAnsi="Times New Roman"/>
                <w:sz w:val="24"/>
                <w:szCs w:val="24"/>
                <w:lang w:val="zh-CN"/>
              </w:rPr>
              <w:t>2</w:t>
            </w:r>
            <w:r>
              <w:rPr>
                <w:rFonts w:hint="eastAsia" w:ascii="Times New Roman" w:hAnsi="Times New Roman"/>
                <w:sz w:val="24"/>
                <w:szCs w:val="24"/>
                <w:lang w:val="zh-CN"/>
              </w:rPr>
              <w:t>）废气影响分析</w:t>
            </w:r>
          </w:p>
          <w:p>
            <w:pPr>
              <w:spacing w:line="360" w:lineRule="auto"/>
              <w:ind w:firstLine="480" w:firstLineChars="200"/>
              <w:rPr>
                <w:rFonts w:ascii="Times New Roman" w:hAnsi="Times New Roman"/>
                <w:sz w:val="24"/>
                <w:szCs w:val="24"/>
                <w:lang w:val="zh-CN"/>
              </w:rPr>
            </w:pPr>
            <w:r>
              <w:rPr>
                <w:rFonts w:hint="eastAsia" w:ascii="Times New Roman" w:hAnsi="Times New Roman"/>
                <w:sz w:val="24"/>
                <w:szCs w:val="24"/>
                <w:lang w:val="zh-CN"/>
              </w:rPr>
              <w:t>通过本项目的实施，</w:t>
            </w:r>
            <w:r>
              <w:rPr>
                <w:rFonts w:hint="eastAsia" w:ascii="Times New Roman" w:hAnsi="Times New Roman"/>
                <w:snapToGrid w:val="0"/>
                <w:kern w:val="0"/>
                <w:sz w:val="24"/>
                <w:szCs w:val="24"/>
              </w:rPr>
              <w:t>全厂</w:t>
            </w:r>
            <w:r>
              <w:rPr>
                <w:rFonts w:ascii="Times New Roman" w:hAnsi="Times New Roman"/>
                <w:snapToGrid w:val="0"/>
                <w:kern w:val="0"/>
                <w:sz w:val="24"/>
                <w:szCs w:val="24"/>
              </w:rPr>
              <w:t>SO</w:t>
            </w:r>
            <w:r>
              <w:rPr>
                <w:rFonts w:ascii="Times New Roman" w:hAnsi="Times New Roman"/>
                <w:snapToGrid w:val="0"/>
                <w:kern w:val="0"/>
                <w:sz w:val="24"/>
                <w:szCs w:val="24"/>
                <w:vertAlign w:val="subscript"/>
              </w:rPr>
              <w:t>2</w:t>
            </w:r>
            <w:r>
              <w:rPr>
                <w:rFonts w:hint="eastAsia" w:ascii="Times New Roman" w:hAnsi="Times New Roman"/>
                <w:snapToGrid w:val="0"/>
                <w:kern w:val="0"/>
                <w:sz w:val="24"/>
                <w:szCs w:val="24"/>
              </w:rPr>
              <w:t>年排放量为</w:t>
            </w:r>
            <w:r>
              <w:rPr>
                <w:snapToGrid w:val="0"/>
                <w:kern w:val="0"/>
                <w:sz w:val="24"/>
                <w:szCs w:val="24"/>
              </w:rPr>
              <w:t>116.16</w:t>
            </w:r>
            <w:r>
              <w:rPr>
                <w:rFonts w:ascii="Times New Roman" w:hAnsi="Times New Roman"/>
                <w:snapToGrid w:val="0"/>
                <w:kern w:val="0"/>
                <w:sz w:val="24"/>
                <w:szCs w:val="24"/>
              </w:rPr>
              <w:t>t/a</w:t>
            </w:r>
            <w:r>
              <w:rPr>
                <w:rFonts w:hint="eastAsia" w:ascii="Times New Roman" w:hAnsi="Times New Roman"/>
                <w:snapToGrid w:val="0"/>
                <w:kern w:val="0"/>
                <w:sz w:val="24"/>
                <w:szCs w:val="24"/>
              </w:rPr>
              <w:t>、烟（粉）尘年排放量为</w:t>
            </w:r>
            <w:r>
              <w:rPr>
                <w:snapToGrid w:val="0"/>
                <w:kern w:val="0"/>
                <w:sz w:val="24"/>
                <w:szCs w:val="24"/>
              </w:rPr>
              <w:t>34.95</w:t>
            </w:r>
            <w:r>
              <w:rPr>
                <w:rFonts w:ascii="Times New Roman" w:hAnsi="Times New Roman"/>
                <w:snapToGrid w:val="0"/>
                <w:kern w:val="0"/>
                <w:sz w:val="24"/>
                <w:szCs w:val="24"/>
              </w:rPr>
              <w:t>t/a</w:t>
            </w:r>
            <w:r>
              <w:rPr>
                <w:rFonts w:hint="eastAsia" w:ascii="Times New Roman" w:hAnsi="Times New Roman"/>
                <w:snapToGrid w:val="0"/>
                <w:kern w:val="0"/>
                <w:sz w:val="24"/>
                <w:szCs w:val="24"/>
              </w:rPr>
              <w:t>，</w:t>
            </w:r>
            <w:r>
              <w:rPr>
                <w:rFonts w:ascii="Times New Roman" w:hAnsi="Times New Roman"/>
                <w:snapToGrid w:val="0"/>
                <w:kern w:val="0"/>
                <w:sz w:val="24"/>
                <w:szCs w:val="24"/>
              </w:rPr>
              <w:t>NO</w:t>
            </w:r>
            <w:r>
              <w:rPr>
                <w:rFonts w:ascii="Times New Roman" w:hAnsi="Times New Roman"/>
                <w:snapToGrid w:val="0"/>
                <w:kern w:val="0"/>
                <w:sz w:val="24"/>
                <w:szCs w:val="24"/>
                <w:vertAlign w:val="subscript"/>
              </w:rPr>
              <w:t>x</w:t>
            </w:r>
            <w:r>
              <w:rPr>
                <w:rFonts w:hint="eastAsia" w:ascii="Times New Roman" w:hAnsi="Times New Roman"/>
                <w:snapToGrid w:val="0"/>
                <w:kern w:val="0"/>
                <w:sz w:val="24"/>
                <w:szCs w:val="24"/>
              </w:rPr>
              <w:t>年排放量不变为</w:t>
            </w:r>
            <w:r>
              <w:rPr>
                <w:snapToGrid w:val="0"/>
                <w:kern w:val="0"/>
                <w:sz w:val="24"/>
                <w:szCs w:val="24"/>
              </w:rPr>
              <w:t>91.2</w:t>
            </w:r>
            <w:r>
              <w:rPr>
                <w:rFonts w:ascii="Times New Roman" w:hAnsi="Times New Roman"/>
                <w:snapToGrid w:val="0"/>
                <w:kern w:val="0"/>
                <w:sz w:val="24"/>
                <w:szCs w:val="24"/>
              </w:rPr>
              <w:t>t/a</w:t>
            </w:r>
            <w:r>
              <w:rPr>
                <w:rFonts w:hint="eastAsia" w:ascii="Times New Roman" w:hAnsi="Times New Roman"/>
                <w:sz w:val="24"/>
                <w:szCs w:val="24"/>
                <w:lang w:val="zh-CN"/>
              </w:rPr>
              <w:t>。具有较好的环境效益，对改善当地的环境状况产生积极作用。</w:t>
            </w:r>
          </w:p>
          <w:p>
            <w:pPr>
              <w:spacing w:line="360" w:lineRule="auto"/>
              <w:ind w:firstLine="480" w:firstLineChars="200"/>
              <w:rPr>
                <w:rFonts w:ascii="Times New Roman" w:hAnsi="Times New Roman"/>
                <w:sz w:val="24"/>
                <w:szCs w:val="24"/>
                <w:lang w:val="zh-CN"/>
              </w:rPr>
            </w:pPr>
            <w:r>
              <w:rPr>
                <w:rFonts w:hint="eastAsia" w:ascii="Times New Roman" w:hAnsi="Times New Roman"/>
                <w:sz w:val="24"/>
                <w:szCs w:val="24"/>
                <w:lang w:val="zh-CN"/>
              </w:rPr>
              <w:t>（</w:t>
            </w:r>
            <w:r>
              <w:rPr>
                <w:rFonts w:ascii="Times New Roman" w:hAnsi="Times New Roman"/>
                <w:sz w:val="24"/>
                <w:szCs w:val="24"/>
                <w:lang w:val="zh-CN"/>
              </w:rPr>
              <w:t>3</w:t>
            </w:r>
            <w:r>
              <w:rPr>
                <w:rFonts w:hint="eastAsia" w:ascii="Times New Roman" w:hAnsi="Times New Roman"/>
                <w:sz w:val="24"/>
                <w:szCs w:val="24"/>
                <w:lang w:val="zh-CN"/>
              </w:rPr>
              <w:t>）声环境影响分析</w:t>
            </w:r>
          </w:p>
          <w:p>
            <w:pPr>
              <w:spacing w:line="360" w:lineRule="auto"/>
              <w:rPr>
                <w:rFonts w:ascii="Times New Roman" w:hAnsi="Times New Roman"/>
                <w:sz w:val="24"/>
                <w:szCs w:val="24"/>
                <w:lang w:val="zh-CN"/>
              </w:rPr>
            </w:pPr>
            <w:r>
              <w:rPr>
                <w:rFonts w:hint="eastAsia" w:ascii="Times New Roman" w:hAnsi="Times New Roman"/>
                <w:sz w:val="24"/>
                <w:szCs w:val="24"/>
                <w:lang w:val="zh-CN"/>
              </w:rPr>
              <w:t>本项目在满足工艺要求的前提下，选用低噪声的设备。为了达到更好的声环境，气体输送机（包含罗茨风机）出口安装袋式收尘器起到消声作用，降低噪声辐射；工艺水泵选用新型高效型；通风管道合理布置，采用正确的结构，防止产生振动和噪声；控制室采用隔音门窗。通过以上降噪措施，可使厂界噪声满足《工业企业厂界环境噪声排放标准》（</w:t>
            </w:r>
            <w:r>
              <w:rPr>
                <w:rFonts w:ascii="Times New Roman" w:hAnsi="Times New Roman"/>
                <w:sz w:val="24"/>
                <w:szCs w:val="24"/>
                <w:lang w:val="zh-CN"/>
              </w:rPr>
              <w:t>GB12348-2008</w:t>
            </w:r>
            <w:r>
              <w:rPr>
                <w:rFonts w:hint="eastAsia" w:ascii="Times New Roman" w:hAnsi="Times New Roman"/>
                <w:sz w:val="24"/>
                <w:szCs w:val="24"/>
                <w:lang w:val="zh-CN"/>
              </w:rPr>
              <w:t>）中</w:t>
            </w:r>
            <w:r>
              <w:rPr>
                <w:rFonts w:ascii="Times New Roman" w:hAnsi="Times New Roman"/>
                <w:sz w:val="24"/>
                <w:szCs w:val="24"/>
                <w:lang w:val="zh-CN"/>
              </w:rPr>
              <w:t>2</w:t>
            </w:r>
            <w:r>
              <w:rPr>
                <w:rFonts w:hint="eastAsia" w:ascii="Times New Roman" w:hAnsi="Times New Roman"/>
                <w:sz w:val="24"/>
                <w:szCs w:val="24"/>
                <w:lang w:val="zh-CN"/>
              </w:rPr>
              <w:t>类标准。因此，噪声对外环境的影响是可以接受的。</w:t>
            </w:r>
          </w:p>
          <w:p>
            <w:pPr>
              <w:spacing w:line="360" w:lineRule="auto"/>
              <w:ind w:firstLine="480" w:firstLineChars="200"/>
              <w:rPr>
                <w:rFonts w:ascii="Times New Roman" w:hAnsi="Times New Roman"/>
                <w:sz w:val="24"/>
                <w:szCs w:val="24"/>
                <w:lang w:val="zh-CN"/>
              </w:rPr>
            </w:pPr>
            <w:r>
              <w:rPr>
                <w:rFonts w:hint="eastAsia" w:ascii="Times New Roman" w:hAnsi="Times New Roman"/>
                <w:sz w:val="24"/>
                <w:szCs w:val="24"/>
                <w:lang w:val="zh-CN"/>
              </w:rPr>
              <w:t>（</w:t>
            </w:r>
            <w:r>
              <w:rPr>
                <w:rFonts w:ascii="Times New Roman" w:hAnsi="Times New Roman"/>
                <w:sz w:val="24"/>
                <w:szCs w:val="24"/>
                <w:lang w:val="zh-CN"/>
              </w:rPr>
              <w:t>4</w:t>
            </w:r>
            <w:r>
              <w:rPr>
                <w:rFonts w:hint="eastAsia" w:ascii="Times New Roman" w:hAnsi="Times New Roman"/>
                <w:sz w:val="24"/>
                <w:szCs w:val="24"/>
                <w:lang w:val="zh-CN"/>
              </w:rPr>
              <w:t>）固体废弃物影响分析</w:t>
            </w:r>
          </w:p>
          <w:p>
            <w:pPr>
              <w:autoSpaceDE w:val="0"/>
              <w:autoSpaceDN w:val="0"/>
              <w:adjustRightInd w:val="0"/>
              <w:snapToGrid w:val="0"/>
              <w:spacing w:line="360" w:lineRule="auto"/>
              <w:ind w:firstLine="480" w:firstLineChars="200"/>
              <w:rPr>
                <w:rFonts w:ascii="Times New Roman" w:hAnsi="Times New Roman"/>
                <w:kern w:val="0"/>
                <w:sz w:val="24"/>
                <w:szCs w:val="24"/>
              </w:rPr>
            </w:pPr>
            <w:r>
              <w:rPr>
                <w:rFonts w:hint="eastAsia" w:ascii="Times New Roman" w:hAnsi="Times New Roman"/>
                <w:sz w:val="24"/>
                <w:szCs w:val="24"/>
                <w:lang w:val="zh-CN"/>
              </w:rPr>
              <w:t>本项目主要固体废物为硅微粉</w:t>
            </w:r>
            <w:r>
              <w:rPr>
                <w:rFonts w:hint="eastAsia"/>
                <w:sz w:val="24"/>
                <w:szCs w:val="24"/>
                <w:lang w:val="zh-CN"/>
              </w:rPr>
              <w:t>、硫酸钙和亚硫酸钙</w:t>
            </w:r>
            <w:r>
              <w:rPr>
                <w:rFonts w:hint="eastAsia" w:ascii="Times New Roman" w:hAnsi="Times New Roman"/>
                <w:sz w:val="24"/>
                <w:szCs w:val="24"/>
                <w:lang w:val="zh-CN"/>
              </w:rPr>
              <w:t>，经硅微粉暂存仓收集后全部出售大理市亨通货运公司作为生产原料。本项目不新增工作人员，因此无新的生活垃圾等固废产生。原生活垃圾由市政环卫部门统一处理，因此对外环境基本没有影响。</w:t>
            </w: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widowControl/>
              <w:spacing w:line="360" w:lineRule="auto"/>
              <w:jc w:val="center"/>
              <w:rPr>
                <w:rFonts w:ascii="Times New Roman" w:hAnsi="Times New Roman"/>
                <w:kern w:val="0"/>
                <w:sz w:val="24"/>
                <w:szCs w:val="24"/>
              </w:rPr>
            </w:pPr>
            <w:r>
              <w:rPr>
                <w:rFonts w:hint="eastAsia" w:ascii="Times New Roman" w:hAnsi="Times New Roman"/>
                <w:kern w:val="0"/>
                <w:sz w:val="24"/>
                <w:szCs w:val="24"/>
              </w:rPr>
              <w:t>项目预防及减轻不良环境影响的对策和措施</w:t>
            </w:r>
          </w:p>
        </w:tc>
      </w:tr>
      <w:tr>
        <w:tblPrEx>
          <w:tblCellMar>
            <w:top w:w="0" w:type="dxa"/>
            <w:left w:w="108" w:type="dxa"/>
            <w:bottom w:w="0" w:type="dxa"/>
            <w:right w:w="108" w:type="dxa"/>
          </w:tblCellMar>
        </w:tblPrEx>
        <w:trPr>
          <w:trHeight w:val="3045"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425"/>
              <w:gridCol w:w="1200"/>
              <w:gridCol w:w="1125"/>
              <w:gridCol w:w="3358"/>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ascii="Times New Roman" w:hAnsi="Times New Roman"/>
                      <w:sz w:val="21"/>
                      <w:szCs w:val="21"/>
                      <w:lang w:val="zh-CN"/>
                    </w:rPr>
                    <w:t xml:space="preserve">  </w:t>
                  </w:r>
                  <w:r>
                    <w:rPr>
                      <w:rFonts w:hint="eastAsia" w:ascii="Times New Roman" w:hAnsi="Times New Roman"/>
                      <w:sz w:val="21"/>
                      <w:szCs w:val="21"/>
                      <w:lang w:val="zh-CN"/>
                    </w:rPr>
                    <w:t>内容</w:t>
                  </w:r>
                </w:p>
                <w:p>
                  <w:pPr>
                    <w:spacing w:line="360" w:lineRule="auto"/>
                    <w:rPr>
                      <w:rFonts w:ascii="Times New Roman" w:hAnsi="Times New Roman"/>
                      <w:sz w:val="21"/>
                      <w:szCs w:val="21"/>
                      <w:lang w:val="zh-CN"/>
                    </w:rPr>
                  </w:pPr>
                  <w:r>
                    <w:rPr>
                      <w:rFonts w:hint="eastAsia" w:ascii="Times New Roman" w:hAnsi="Times New Roman"/>
                      <w:sz w:val="21"/>
                      <w:szCs w:val="21"/>
                      <w:lang w:val="zh-CN"/>
                    </w:rPr>
                    <w:t>类型</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排放源</w:t>
                  </w:r>
                </w:p>
                <w:p>
                  <w:pPr>
                    <w:spacing w:line="360" w:lineRule="auto"/>
                    <w:rPr>
                      <w:rFonts w:ascii="Times New Roman" w:hAnsi="Times New Roman"/>
                      <w:sz w:val="21"/>
                      <w:szCs w:val="21"/>
                      <w:lang w:val="zh-CN"/>
                    </w:rPr>
                  </w:pPr>
                  <w:r>
                    <w:rPr>
                      <w:rFonts w:hint="eastAsia" w:ascii="Times New Roman" w:hAnsi="Times New Roman"/>
                      <w:sz w:val="21"/>
                      <w:szCs w:val="21"/>
                      <w:lang w:val="zh-CN"/>
                    </w:rPr>
                    <w:t>（编号）</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污染物名称</w:t>
                  </w:r>
                </w:p>
              </w:tc>
              <w:tc>
                <w:tcPr>
                  <w:tcW w:w="33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防治措施</w:t>
                  </w:r>
                </w:p>
              </w:tc>
              <w:tc>
                <w:tcPr>
                  <w:tcW w:w="19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大气污染物</w:t>
                  </w:r>
                </w:p>
              </w:tc>
              <w:tc>
                <w:tcPr>
                  <w:tcW w:w="4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施工期</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施工场地</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施工扬尘</w:t>
                  </w:r>
                </w:p>
              </w:tc>
              <w:tc>
                <w:tcPr>
                  <w:tcW w:w="33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洒水降尘，车辆加盖棚布</w:t>
                  </w:r>
                </w:p>
              </w:tc>
              <w:tc>
                <w:tcPr>
                  <w:tcW w:w="19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有效控制扬尘对周边敏感目标的影响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p>
              </w:tc>
              <w:tc>
                <w:tcPr>
                  <w:tcW w:w="42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运营期</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ascii="Times New Roman" w:hAnsi="Times New Roman"/>
                      <w:sz w:val="21"/>
                      <w:szCs w:val="21"/>
                    </w:rPr>
                    <w:t>1#</w:t>
                  </w:r>
                  <w:r>
                    <w:rPr>
                      <w:rFonts w:hint="eastAsia" w:ascii="Times New Roman" w:hAnsi="Times New Roman"/>
                      <w:sz w:val="21"/>
                      <w:szCs w:val="21"/>
                    </w:rPr>
                    <w:t>矿热炉</w:t>
                  </w:r>
                  <w:r>
                    <w:rPr>
                      <w:rFonts w:ascii="Times New Roman" w:hAnsi="Times New Roman"/>
                      <w:sz w:val="21"/>
                      <w:szCs w:val="21"/>
                    </w:rPr>
                    <w:t>G1</w:t>
                  </w:r>
                </w:p>
              </w:tc>
              <w:tc>
                <w:tcPr>
                  <w:tcW w:w="112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rPr>
                    <w:t>矿热炉</w:t>
                  </w:r>
                  <w:r>
                    <w:rPr>
                      <w:rFonts w:hint="eastAsia" w:ascii="Times New Roman" w:hAnsi="Times New Roman"/>
                      <w:sz w:val="21"/>
                      <w:szCs w:val="21"/>
                      <w:lang w:val="zh-CN"/>
                    </w:rPr>
                    <w:t>废气（</w:t>
                  </w:r>
                  <w:r>
                    <w:rPr>
                      <w:rFonts w:ascii="Times New Roman" w:hAnsi="Times New Roman"/>
                      <w:sz w:val="21"/>
                      <w:szCs w:val="21"/>
                      <w:lang w:val="zh-CN"/>
                    </w:rPr>
                    <w:t>SO2</w:t>
                  </w:r>
                  <w:r>
                    <w:rPr>
                      <w:rFonts w:hint="eastAsia" w:ascii="Times New Roman" w:hAnsi="Times New Roman"/>
                      <w:sz w:val="21"/>
                      <w:szCs w:val="21"/>
                      <w:lang w:val="zh-CN"/>
                    </w:rPr>
                    <w:t>、</w:t>
                  </w:r>
                  <w:r>
                    <w:rPr>
                      <w:rFonts w:ascii="Times New Roman" w:hAnsi="Times New Roman"/>
                      <w:sz w:val="21"/>
                      <w:szCs w:val="21"/>
                      <w:lang w:val="zh-CN"/>
                    </w:rPr>
                    <w:t>NOx</w:t>
                  </w:r>
                  <w:r>
                    <w:rPr>
                      <w:rFonts w:hint="eastAsia" w:ascii="Times New Roman" w:hAnsi="Times New Roman"/>
                      <w:sz w:val="21"/>
                      <w:szCs w:val="21"/>
                      <w:lang w:val="zh-CN"/>
                    </w:rPr>
                    <w:t>、烟尘）</w:t>
                  </w:r>
                </w:p>
              </w:tc>
              <w:tc>
                <w:tcPr>
                  <w:tcW w:w="335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ascii="Times New Roman" w:hAnsi="Times New Roman"/>
                      <w:sz w:val="21"/>
                      <w:szCs w:val="21"/>
                      <w:lang w:val="zh-CN"/>
                    </w:rPr>
                    <w:t>CFB</w:t>
                  </w:r>
                  <w:r>
                    <w:rPr>
                      <w:rFonts w:hint="eastAsia" w:ascii="Times New Roman" w:hAnsi="Times New Roman"/>
                      <w:sz w:val="21"/>
                      <w:szCs w:val="21"/>
                      <w:lang w:val="zh-CN"/>
                    </w:rPr>
                    <w:t>循环流化床半干法脱硫，脱硫效率≥</w:t>
                  </w:r>
                  <w:r>
                    <w:rPr>
                      <w:rFonts w:ascii="Times New Roman" w:hAnsi="Times New Roman"/>
                      <w:sz w:val="21"/>
                      <w:szCs w:val="21"/>
                      <w:lang w:val="zh-CN"/>
                    </w:rPr>
                    <w:t>60%</w:t>
                  </w:r>
                </w:p>
              </w:tc>
              <w:tc>
                <w:tcPr>
                  <w:tcW w:w="197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颗粒物能够满足《铁合金工业污染物排放标准》（</w:t>
                  </w:r>
                  <w:r>
                    <w:rPr>
                      <w:rFonts w:ascii="Times New Roman" w:hAnsi="Times New Roman"/>
                      <w:sz w:val="21"/>
                      <w:szCs w:val="21"/>
                      <w:lang w:val="zh-CN"/>
                    </w:rPr>
                    <w:t>GB28666-2012</w:t>
                  </w:r>
                  <w:r>
                    <w:rPr>
                      <w:rFonts w:hint="eastAsia" w:ascii="Times New Roman" w:hAnsi="Times New Roman"/>
                      <w:sz w:val="21"/>
                      <w:szCs w:val="21"/>
                      <w:lang w:val="zh-CN"/>
                    </w:rPr>
                    <w:t>）表</w:t>
                  </w:r>
                  <w:r>
                    <w:rPr>
                      <w:rFonts w:ascii="Times New Roman" w:hAnsi="Times New Roman"/>
                      <w:sz w:val="21"/>
                      <w:szCs w:val="21"/>
                      <w:lang w:val="zh-CN"/>
                    </w:rPr>
                    <w:t>5</w:t>
                  </w:r>
                  <w:r>
                    <w:rPr>
                      <w:rFonts w:hint="eastAsia" w:ascii="Times New Roman" w:hAnsi="Times New Roman"/>
                      <w:sz w:val="21"/>
                      <w:szCs w:val="21"/>
                      <w:lang w:val="zh-CN"/>
                    </w:rPr>
                    <w:t>中的标准限值；二氧化硫、氮氧化物排放浓度能够满足《大气污染物综合排放标准》（</w:t>
                  </w:r>
                  <w:r>
                    <w:rPr>
                      <w:rFonts w:ascii="Times New Roman" w:hAnsi="Times New Roman"/>
                      <w:sz w:val="21"/>
                      <w:szCs w:val="21"/>
                      <w:lang w:val="zh-CN"/>
                    </w:rPr>
                    <w:t>GB16297-1996</w:t>
                  </w:r>
                  <w:r>
                    <w:rPr>
                      <w:rFonts w:hint="eastAsia" w:ascii="Times New Roman" w:hAnsi="Times New Roman"/>
                      <w:sz w:val="21"/>
                      <w:szCs w:val="21"/>
                      <w:lang w:val="zh-CN"/>
                    </w:rPr>
                    <w:t>）表</w:t>
                  </w:r>
                  <w:r>
                    <w:rPr>
                      <w:rFonts w:ascii="Times New Roman" w:hAnsi="Times New Roman"/>
                      <w:sz w:val="21"/>
                      <w:szCs w:val="21"/>
                      <w:lang w:val="zh-CN"/>
                    </w:rPr>
                    <w:t>2</w:t>
                  </w:r>
                  <w:r>
                    <w:rPr>
                      <w:rFonts w:hint="eastAsia" w:ascii="Times New Roman" w:hAnsi="Times New Roman"/>
                      <w:sz w:val="21"/>
                      <w:szCs w:val="21"/>
                      <w:lang w:val="zh-CN"/>
                    </w:rPr>
                    <w:t>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ascii="Times New Roman" w:hAnsi="Times New Roman"/>
                      <w:sz w:val="21"/>
                      <w:szCs w:val="21"/>
                    </w:rPr>
                    <w:t>2#</w:t>
                  </w:r>
                  <w:r>
                    <w:rPr>
                      <w:rFonts w:hint="eastAsia" w:ascii="Times New Roman" w:hAnsi="Times New Roman"/>
                      <w:sz w:val="21"/>
                      <w:szCs w:val="21"/>
                    </w:rPr>
                    <w:t>矿热炉</w:t>
                  </w:r>
                  <w:r>
                    <w:rPr>
                      <w:rFonts w:ascii="Times New Roman" w:hAnsi="Times New Roman"/>
                      <w:sz w:val="21"/>
                      <w:szCs w:val="21"/>
                    </w:rPr>
                    <w:t>G2</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p>
              </w:tc>
              <w:tc>
                <w:tcPr>
                  <w:tcW w:w="335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p>
              </w:tc>
              <w:tc>
                <w:tcPr>
                  <w:tcW w:w="19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水污染物</w:t>
                  </w:r>
                </w:p>
              </w:tc>
              <w:tc>
                <w:tcPr>
                  <w:tcW w:w="42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施工期</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rPr>
                  </w:pPr>
                  <w:r>
                    <w:rPr>
                      <w:rFonts w:hint="eastAsia" w:ascii="Times New Roman" w:hAnsi="Times New Roman"/>
                      <w:sz w:val="21"/>
                      <w:szCs w:val="21"/>
                      <w:lang w:val="zh-CN"/>
                    </w:rPr>
                    <w:t>施工场地</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施工废水</w:t>
                  </w:r>
                </w:p>
              </w:tc>
              <w:tc>
                <w:tcPr>
                  <w:tcW w:w="33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设置一个规模为</w:t>
                  </w:r>
                  <w:r>
                    <w:rPr>
                      <w:rFonts w:ascii="Times New Roman" w:hAnsi="Times New Roman"/>
                      <w:sz w:val="21"/>
                      <w:szCs w:val="21"/>
                      <w:lang w:val="zh-CN"/>
                    </w:rPr>
                    <w:t>1m3</w:t>
                  </w:r>
                  <w:r>
                    <w:rPr>
                      <w:rFonts w:hint="eastAsia" w:ascii="Times New Roman" w:hAnsi="Times New Roman"/>
                      <w:sz w:val="21"/>
                      <w:szCs w:val="21"/>
                      <w:lang w:val="zh-CN"/>
                    </w:rPr>
                    <w:t>的临时沉淀池，经沉淀处理后回用作施工用水或施工场地降尘用水。</w:t>
                  </w:r>
                </w:p>
              </w:tc>
              <w:tc>
                <w:tcPr>
                  <w:tcW w:w="19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废水不外排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rPr>
                  </w:pPr>
                  <w:r>
                    <w:rPr>
                      <w:rFonts w:hint="eastAsia" w:ascii="Times New Roman" w:hAnsi="Times New Roman"/>
                      <w:sz w:val="21"/>
                      <w:szCs w:val="21"/>
                      <w:lang w:val="zh-CN"/>
                    </w:rPr>
                    <w:t>施工人员</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生活废水</w:t>
                  </w:r>
                </w:p>
              </w:tc>
              <w:tc>
                <w:tcPr>
                  <w:tcW w:w="33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依托企业已建生活设施，其废水经污水处理站处理后达标排放。</w:t>
                  </w:r>
                </w:p>
              </w:tc>
              <w:tc>
                <w:tcPr>
                  <w:tcW w:w="19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达标外排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p>
              </w:tc>
              <w:tc>
                <w:tcPr>
                  <w:tcW w:w="42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运营期</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rPr>
                  </w:pPr>
                  <w:r>
                    <w:rPr>
                      <w:rFonts w:hint="eastAsia" w:ascii="Times New Roman" w:hAnsi="Times New Roman"/>
                      <w:sz w:val="21"/>
                      <w:szCs w:val="21"/>
                      <w:lang w:val="zh-CN"/>
                    </w:rPr>
                    <w:t>项目运行</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生产废水</w:t>
                  </w:r>
                </w:p>
              </w:tc>
              <w:tc>
                <w:tcPr>
                  <w:tcW w:w="33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净循环排污水</w:t>
                  </w:r>
                  <w:r>
                    <w:rPr>
                      <w:rFonts w:hint="eastAsia" w:ascii="Times New Roman" w:hAnsi="Times New Roman"/>
                      <w:sz w:val="21"/>
                      <w:szCs w:val="21"/>
                    </w:rPr>
                    <w:t>与原有排污水一同作为厂区晴天的绿化、道路洒浇水，不外排</w:t>
                  </w:r>
                  <w:r>
                    <w:rPr>
                      <w:rFonts w:hint="eastAsia" w:ascii="Times New Roman" w:hAnsi="Times New Roman"/>
                      <w:sz w:val="21"/>
                      <w:szCs w:val="21"/>
                      <w:lang w:val="zh-CN"/>
                    </w:rPr>
                    <w:t>；地坪冲洗水集中收集后用作洗硅水。</w:t>
                  </w:r>
                </w:p>
              </w:tc>
              <w:tc>
                <w:tcPr>
                  <w:tcW w:w="19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废水不外排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rPr>
                  </w:pPr>
                  <w:r>
                    <w:rPr>
                      <w:rFonts w:hint="eastAsia" w:ascii="Times New Roman" w:hAnsi="Times New Roman"/>
                      <w:sz w:val="21"/>
                      <w:szCs w:val="21"/>
                      <w:lang w:val="zh-CN"/>
                    </w:rPr>
                    <w:t>工作人员</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生活污水</w:t>
                  </w:r>
                </w:p>
              </w:tc>
              <w:tc>
                <w:tcPr>
                  <w:tcW w:w="33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本项目运行不产生生活污水。</w:t>
                  </w:r>
                </w:p>
              </w:tc>
              <w:tc>
                <w:tcPr>
                  <w:tcW w:w="19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废水不外排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固体废弃物</w:t>
                  </w:r>
                </w:p>
              </w:tc>
              <w:tc>
                <w:tcPr>
                  <w:tcW w:w="42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施工期</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施工人员</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生活垃圾</w:t>
                  </w:r>
                </w:p>
              </w:tc>
              <w:tc>
                <w:tcPr>
                  <w:tcW w:w="33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统一收集后与现有项目生活垃圾一起按当地环卫部门要求处置，处置率</w:t>
                  </w:r>
                  <w:r>
                    <w:rPr>
                      <w:rFonts w:ascii="Times New Roman" w:hAnsi="Times New Roman"/>
                      <w:sz w:val="21"/>
                      <w:szCs w:val="21"/>
                      <w:lang w:val="zh-CN"/>
                    </w:rPr>
                    <w:t>100%</w:t>
                  </w:r>
                  <w:r>
                    <w:rPr>
                      <w:rFonts w:hint="eastAsia" w:ascii="Times New Roman" w:hAnsi="Times New Roman"/>
                      <w:sz w:val="21"/>
                      <w:szCs w:val="21"/>
                      <w:lang w:val="zh-CN"/>
                    </w:rPr>
                    <w:t>；</w:t>
                  </w:r>
                </w:p>
              </w:tc>
              <w:tc>
                <w:tcPr>
                  <w:tcW w:w="197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处置率</w:t>
                  </w:r>
                  <w:r>
                    <w:rPr>
                      <w:rFonts w:ascii="Times New Roman" w:hAnsi="Times New Roman"/>
                      <w:sz w:val="21"/>
                      <w:szCs w:val="21"/>
                      <w:lang w:val="zh-CN"/>
                    </w:rPr>
                    <w:t>100%</w:t>
                  </w:r>
                  <w:r>
                    <w:rPr>
                      <w:rFonts w:hint="eastAsia" w:ascii="Times New Roman" w:hAnsi="Times New Roman"/>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p>
              </w:tc>
              <w:tc>
                <w:tcPr>
                  <w:tcW w:w="120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施工场地</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弃土石</w:t>
                  </w:r>
                </w:p>
              </w:tc>
              <w:tc>
                <w:tcPr>
                  <w:tcW w:w="33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全部用于厂区内绿化覆土，处置率</w:t>
                  </w:r>
                  <w:r>
                    <w:rPr>
                      <w:rFonts w:ascii="Times New Roman" w:hAnsi="Times New Roman"/>
                      <w:sz w:val="21"/>
                      <w:szCs w:val="21"/>
                      <w:lang w:val="zh-CN"/>
                    </w:rPr>
                    <w:t>100%</w:t>
                  </w:r>
                  <w:r>
                    <w:rPr>
                      <w:rFonts w:hint="eastAsia" w:ascii="Times New Roman" w:hAnsi="Times New Roman"/>
                      <w:sz w:val="21"/>
                      <w:szCs w:val="21"/>
                      <w:lang w:val="zh-CN"/>
                    </w:rPr>
                    <w:t>；</w:t>
                  </w:r>
                </w:p>
              </w:tc>
              <w:tc>
                <w:tcPr>
                  <w:tcW w:w="19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建筑废料</w:t>
                  </w:r>
                </w:p>
              </w:tc>
              <w:tc>
                <w:tcPr>
                  <w:tcW w:w="33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部分可回收综合利用，不可回收部分统一收集后按当地建设管理部分要求处置。</w:t>
                  </w:r>
                </w:p>
              </w:tc>
              <w:tc>
                <w:tcPr>
                  <w:tcW w:w="19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p>
              </w:tc>
              <w:tc>
                <w:tcPr>
                  <w:tcW w:w="42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运营期</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rPr>
                  </w:pPr>
                  <w:r>
                    <w:rPr>
                      <w:rFonts w:hint="eastAsia" w:ascii="Times New Roman" w:hAnsi="Times New Roman"/>
                      <w:sz w:val="21"/>
                      <w:szCs w:val="21"/>
                      <w:lang w:val="zh-CN"/>
                    </w:rPr>
                    <w:t>脱硫塔</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硅微粉、硫酸钙、亚硫酸钙</w:t>
                  </w:r>
                </w:p>
              </w:tc>
              <w:tc>
                <w:tcPr>
                  <w:tcW w:w="33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经硅微粉暂存仓收集后全部出售大理市亨通货运公司作为生产原料。</w:t>
                  </w:r>
                </w:p>
              </w:tc>
              <w:tc>
                <w:tcPr>
                  <w:tcW w:w="19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工作人员</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生活垃圾</w:t>
                  </w:r>
                </w:p>
              </w:tc>
              <w:tc>
                <w:tcPr>
                  <w:tcW w:w="33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项目职工由公司内部调配，不新增人员，因此不新增生活垃圾排放量。</w:t>
                  </w:r>
                </w:p>
              </w:tc>
              <w:tc>
                <w:tcPr>
                  <w:tcW w:w="19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噪声</w:t>
                  </w:r>
                </w:p>
              </w:tc>
              <w:tc>
                <w:tcPr>
                  <w:tcW w:w="4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施工期</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施工设备</w:t>
                  </w:r>
                </w:p>
              </w:tc>
              <w:tc>
                <w:tcPr>
                  <w:tcW w:w="4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主要的施工机械噪声源为</w:t>
                  </w:r>
                  <w:r>
                    <w:rPr>
                      <w:rFonts w:ascii="Times New Roman" w:hAnsi="Times New Roman"/>
                      <w:sz w:val="21"/>
                      <w:szCs w:val="21"/>
                      <w:lang w:val="zh-CN"/>
                    </w:rPr>
                    <w:t>55</w:t>
                  </w:r>
                  <w:r>
                    <w:rPr>
                      <w:rFonts w:hint="eastAsia" w:ascii="Times New Roman" w:hAnsi="Times New Roman"/>
                      <w:sz w:val="21"/>
                      <w:szCs w:val="21"/>
                      <w:lang w:val="zh-CN"/>
                    </w:rPr>
                    <w:t>～</w:t>
                  </w:r>
                  <w:r>
                    <w:rPr>
                      <w:rFonts w:ascii="Times New Roman" w:hAnsi="Times New Roman"/>
                      <w:sz w:val="21"/>
                      <w:szCs w:val="21"/>
                      <w:lang w:val="zh-CN"/>
                    </w:rPr>
                    <w:t>85dB(A)</w:t>
                  </w:r>
                  <w:r>
                    <w:rPr>
                      <w:rFonts w:hint="eastAsia" w:ascii="Times New Roman" w:hAnsi="Times New Roman"/>
                      <w:sz w:val="21"/>
                      <w:szCs w:val="21"/>
                      <w:lang w:val="zh-CN"/>
                    </w:rPr>
                    <w:t>，加强运输车辆管理，进入厂区应低速行驶，禁止鸣笛。</w:t>
                  </w:r>
                </w:p>
              </w:tc>
              <w:tc>
                <w:tcPr>
                  <w:tcW w:w="19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《建筑施工场界环境噪声排放标准》（</w:t>
                  </w:r>
                  <w:r>
                    <w:rPr>
                      <w:rFonts w:ascii="Times New Roman" w:hAnsi="Times New Roman"/>
                      <w:sz w:val="21"/>
                      <w:szCs w:val="21"/>
                      <w:lang w:val="zh-CN"/>
                    </w:rPr>
                    <w:t>GB12523-2011</w:t>
                  </w:r>
                  <w:r>
                    <w:rPr>
                      <w:rFonts w:hint="eastAsia" w:ascii="Times New Roman" w:hAnsi="Times New Roman"/>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p>
              </w:tc>
              <w:tc>
                <w:tcPr>
                  <w:tcW w:w="4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运营期</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脱硫系统</w:t>
                  </w:r>
                </w:p>
              </w:tc>
              <w:tc>
                <w:tcPr>
                  <w:tcW w:w="4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项目噪声源主要是脱硫设备中的气体输送机、工艺水泵等，源强在</w:t>
                  </w:r>
                  <w:r>
                    <w:rPr>
                      <w:rFonts w:ascii="Times New Roman" w:hAnsi="Times New Roman"/>
                      <w:sz w:val="21"/>
                      <w:szCs w:val="21"/>
                    </w:rPr>
                    <w:t>70</w:t>
                  </w:r>
                  <w:r>
                    <w:rPr>
                      <w:rFonts w:ascii="Times New Roman" w:hAnsi="Times New Roman"/>
                      <w:sz w:val="21"/>
                      <w:szCs w:val="21"/>
                      <w:lang w:val="zh-CN"/>
                    </w:rPr>
                    <w:t>-</w:t>
                  </w:r>
                  <w:r>
                    <w:rPr>
                      <w:rFonts w:ascii="Times New Roman" w:hAnsi="Times New Roman"/>
                      <w:sz w:val="21"/>
                      <w:szCs w:val="21"/>
                    </w:rPr>
                    <w:t>80</w:t>
                  </w:r>
                  <w:r>
                    <w:rPr>
                      <w:rFonts w:ascii="Times New Roman" w:hAnsi="Times New Roman"/>
                      <w:sz w:val="21"/>
                      <w:szCs w:val="21"/>
                      <w:lang w:val="zh-CN"/>
                    </w:rPr>
                    <w:t>dB</w:t>
                  </w:r>
                  <w:r>
                    <w:rPr>
                      <w:rFonts w:hint="eastAsia" w:ascii="Times New Roman" w:hAnsi="Times New Roman"/>
                      <w:sz w:val="21"/>
                      <w:szCs w:val="21"/>
                      <w:lang w:val="zh-CN"/>
                    </w:rPr>
                    <w:t>（</w:t>
                  </w:r>
                  <w:r>
                    <w:rPr>
                      <w:rFonts w:ascii="Times New Roman" w:hAnsi="Times New Roman"/>
                      <w:sz w:val="21"/>
                      <w:szCs w:val="21"/>
                      <w:lang w:val="zh-CN"/>
                    </w:rPr>
                    <w:t>A</w:t>
                  </w:r>
                  <w:r>
                    <w:rPr>
                      <w:rFonts w:hint="eastAsia" w:ascii="Times New Roman" w:hAnsi="Times New Roman"/>
                      <w:sz w:val="21"/>
                      <w:szCs w:val="21"/>
                      <w:lang w:val="zh-CN"/>
                    </w:rPr>
                    <w:t>）之间，主要采取隔声、消声、减震等措施。</w:t>
                  </w:r>
                </w:p>
              </w:tc>
              <w:tc>
                <w:tcPr>
                  <w:tcW w:w="19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《工业企业厂界环境噪声排放标准》（</w:t>
                  </w:r>
                  <w:r>
                    <w:rPr>
                      <w:rFonts w:ascii="Times New Roman" w:hAnsi="Times New Roman"/>
                      <w:sz w:val="21"/>
                      <w:szCs w:val="21"/>
                      <w:lang w:val="zh-CN"/>
                    </w:rPr>
                    <w:t>GB12348-2008</w:t>
                  </w:r>
                  <w:r>
                    <w:rPr>
                      <w:rFonts w:hint="eastAsia" w:ascii="Times New Roman" w:hAnsi="Times New Roman"/>
                      <w:sz w:val="21"/>
                      <w:szCs w:val="21"/>
                      <w:lang w:val="zh-CN"/>
                    </w:rPr>
                    <w:t>）</w:t>
                  </w:r>
                  <w:r>
                    <w:rPr>
                      <w:rFonts w:ascii="Times New Roman" w:hAnsi="Times New Roman"/>
                      <w:sz w:val="21"/>
                      <w:szCs w:val="21"/>
                      <w:lang w:val="zh-CN"/>
                    </w:rPr>
                    <w:t>2</w:t>
                  </w:r>
                  <w:r>
                    <w:rPr>
                      <w:rFonts w:hint="eastAsia" w:ascii="Times New Roman" w:hAnsi="Times New Roman"/>
                      <w:sz w:val="21"/>
                      <w:szCs w:val="21"/>
                      <w:lang w:val="zh-CN"/>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sz w:val="21"/>
                      <w:szCs w:val="21"/>
                      <w:lang w:val="zh-CN"/>
                    </w:rPr>
                  </w:pPr>
                  <w:r>
                    <w:rPr>
                      <w:rFonts w:hint="eastAsia" w:ascii="Times New Roman" w:hAnsi="Times New Roman"/>
                      <w:sz w:val="21"/>
                      <w:szCs w:val="21"/>
                      <w:lang w:val="zh-CN"/>
                    </w:rPr>
                    <w:t>生态保护措施及预期效果：</w:t>
                  </w:r>
                </w:p>
                <w:p>
                  <w:pPr>
                    <w:spacing w:line="360" w:lineRule="auto"/>
                    <w:rPr>
                      <w:rFonts w:ascii="Times New Roman" w:hAnsi="Times New Roman"/>
                      <w:sz w:val="21"/>
                      <w:szCs w:val="21"/>
                      <w:lang w:val="zh-CN"/>
                    </w:rPr>
                  </w:pPr>
                  <w:r>
                    <w:rPr>
                      <w:rFonts w:hint="eastAsia" w:ascii="Times New Roman" w:hAnsi="Times New Roman"/>
                      <w:sz w:val="21"/>
                      <w:szCs w:val="21"/>
                      <w:lang w:val="zh-CN"/>
                    </w:rPr>
                    <w:t>本项目为新建工程，由于项目所</w:t>
                  </w:r>
                  <w:r>
                    <w:rPr>
                      <w:rFonts w:ascii="Times New Roman" w:hAnsi="Times New Roman"/>
                      <w:sz w:val="21"/>
                      <w:szCs w:val="21"/>
                    </w:rPr>
                    <w:t xml:space="preserve"> </w:t>
                  </w:r>
                  <w:r>
                    <w:rPr>
                      <w:rFonts w:hint="eastAsia" w:ascii="Times New Roman" w:hAnsi="Times New Roman"/>
                      <w:sz w:val="21"/>
                      <w:szCs w:val="21"/>
                      <w:lang w:val="zh-CN"/>
                    </w:rPr>
                    <w:t>在地为硅厂现有厂区内，现厂地三通一平已做好，不存在地表植被破坏的问题。</w:t>
                  </w:r>
                </w:p>
              </w:tc>
            </w:tr>
          </w:tbl>
          <w:p>
            <w:pPr>
              <w:spacing w:line="360" w:lineRule="auto"/>
              <w:ind w:firstLine="480" w:firstLineChars="200"/>
              <w:rPr>
                <w:rFonts w:ascii="Times New Roman" w:hAnsi="Times New Roman"/>
                <w:kern w:val="0"/>
                <w:sz w:val="24"/>
                <w:szCs w:val="24"/>
              </w:rPr>
            </w:pP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widowControl/>
              <w:spacing w:line="360" w:lineRule="auto"/>
              <w:jc w:val="center"/>
              <w:rPr>
                <w:rFonts w:ascii="Times New Roman" w:hAnsi="Times New Roman"/>
                <w:kern w:val="0"/>
                <w:sz w:val="24"/>
                <w:szCs w:val="24"/>
              </w:rPr>
            </w:pPr>
            <w:r>
              <w:rPr>
                <w:rFonts w:hint="eastAsia" w:ascii="Times New Roman" w:hAnsi="Times New Roman"/>
                <w:kern w:val="0"/>
                <w:sz w:val="24"/>
                <w:szCs w:val="24"/>
              </w:rPr>
              <w:t>公众参与情况</w:t>
            </w:r>
          </w:p>
        </w:tc>
      </w:tr>
      <w:tr>
        <w:tblPrEx>
          <w:tblCellMar>
            <w:top w:w="0" w:type="dxa"/>
            <w:left w:w="108" w:type="dxa"/>
            <w:bottom w:w="0" w:type="dxa"/>
            <w:right w:w="108" w:type="dxa"/>
          </w:tblCellMar>
        </w:tblPrEx>
        <w:trPr>
          <w:trHeight w:val="651"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640" w:firstLineChars="200"/>
            </w:pPr>
          </w:p>
          <w:p>
            <w:pPr>
              <w:pStyle w:val="3"/>
              <w:rPr>
                <w:rFonts w:ascii="Times New Roman" w:hAnsi="Times New Roman" w:cs="Times New Roman"/>
                <w:kern w:val="0"/>
                <w:sz w:val="24"/>
                <w:szCs w:val="24"/>
              </w:rPr>
            </w:pPr>
          </w:p>
          <w:p>
            <w:pPr>
              <w:pStyle w:val="3"/>
              <w:rPr>
                <w:rFonts w:ascii="Times New Roman" w:hAnsi="Times New Roman" w:cs="Times New Roman"/>
                <w:kern w:val="0"/>
                <w:sz w:val="24"/>
                <w:szCs w:val="24"/>
              </w:rPr>
            </w:pPr>
          </w:p>
        </w:tc>
      </w:tr>
      <w:tr>
        <w:tblPrEx>
          <w:tblCellMar>
            <w:top w:w="0" w:type="dxa"/>
            <w:left w:w="108" w:type="dxa"/>
            <w:bottom w:w="0" w:type="dxa"/>
            <w:right w:w="108" w:type="dxa"/>
          </w:tblCellMar>
        </w:tblPrEx>
        <w:trPr>
          <w:trHeight w:val="855" w:hRule="atLeast"/>
        </w:trPr>
        <w:tc>
          <w:tcPr>
            <w:tcW w:w="3220" w:type="dxa"/>
            <w:gridSpan w:val="3"/>
            <w:tcBorders>
              <w:top w:val="single" w:color="auto" w:sz="4" w:space="0"/>
              <w:left w:val="single" w:color="auto" w:sz="4" w:space="0"/>
              <w:bottom w:val="single" w:color="auto" w:sz="4" w:space="0"/>
              <w:right w:val="single" w:color="auto" w:sz="4" w:space="0"/>
            </w:tcBorders>
            <w:shd w:val="clear" w:color="000000" w:fill="C0C0C0"/>
            <w:vAlign w:val="center"/>
          </w:tcPr>
          <w:p>
            <w:pPr>
              <w:widowControl/>
              <w:spacing w:line="360" w:lineRule="auto"/>
              <w:jc w:val="left"/>
              <w:rPr>
                <w:rFonts w:ascii="Times New Roman" w:hAnsi="Times New Roman"/>
                <w:kern w:val="0"/>
                <w:sz w:val="24"/>
                <w:szCs w:val="24"/>
              </w:rPr>
            </w:pPr>
            <w:r>
              <w:rPr>
                <w:rFonts w:hint="eastAsia" w:ascii="Times New Roman" w:hAnsi="Times New Roman"/>
                <w:kern w:val="0"/>
                <w:sz w:val="24"/>
                <w:szCs w:val="24"/>
              </w:rPr>
              <w:t>建设单位或地方政府所作出的相关承诺文件</w:t>
            </w:r>
          </w:p>
        </w:tc>
        <w:tc>
          <w:tcPr>
            <w:tcW w:w="5762" w:type="dxa"/>
            <w:gridSpan w:val="4"/>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kern w:val="0"/>
                <w:sz w:val="24"/>
                <w:szCs w:val="24"/>
              </w:rPr>
            </w:pPr>
            <w:r>
              <w:rPr>
                <w:rFonts w:hint="eastAsia" w:ascii="Times New Roman" w:hAnsi="Times New Roman"/>
                <w:kern w:val="0"/>
                <w:sz w:val="24"/>
                <w:szCs w:val="24"/>
              </w:rPr>
              <w:t>关于《</w:t>
            </w:r>
            <w:r>
              <w:rPr>
                <w:rFonts w:hint="eastAsia"/>
                <w:sz w:val="24"/>
                <w:szCs w:val="24"/>
              </w:rPr>
              <w:t>云南省盈江星云有限公司</w:t>
            </w:r>
            <w:r>
              <w:rPr>
                <w:sz w:val="24"/>
                <w:szCs w:val="24"/>
              </w:rPr>
              <w:t>2</w:t>
            </w:r>
            <w:r>
              <w:rPr>
                <w:rFonts w:hint="eastAsia"/>
                <w:sz w:val="24"/>
                <w:szCs w:val="24"/>
              </w:rPr>
              <w:t>×</w:t>
            </w:r>
            <w:r>
              <w:rPr>
                <w:sz w:val="24"/>
                <w:szCs w:val="24"/>
              </w:rPr>
              <w:t>25500KVA</w:t>
            </w:r>
            <w:r>
              <w:rPr>
                <w:rFonts w:hint="eastAsia"/>
                <w:sz w:val="24"/>
                <w:szCs w:val="24"/>
              </w:rPr>
              <w:t>硅冶炼炉烟气治理升级改造项目</w:t>
            </w:r>
            <w:r>
              <w:rPr>
                <w:rFonts w:hint="eastAsia" w:ascii="Times New Roman" w:hAnsi="Times New Roman"/>
                <w:kern w:val="0"/>
                <w:sz w:val="24"/>
                <w:szCs w:val="24"/>
              </w:rPr>
              <w:t>环境影响报告表》全文公示的情况说明　</w:t>
            </w:r>
          </w:p>
        </w:tc>
      </w:tr>
      <w:tr>
        <w:tblPrEx>
          <w:tblCellMar>
            <w:top w:w="0" w:type="dxa"/>
            <w:left w:w="108" w:type="dxa"/>
            <w:bottom w:w="0" w:type="dxa"/>
            <w:right w:w="108" w:type="dxa"/>
          </w:tblCellMar>
        </w:tblPrEx>
        <w:trPr>
          <w:trHeight w:val="855" w:hRule="atLeast"/>
        </w:trPr>
        <w:tc>
          <w:tcPr>
            <w:tcW w:w="8982" w:type="dxa"/>
            <w:gridSpan w:val="7"/>
            <w:tcBorders>
              <w:top w:val="single" w:color="auto" w:sz="4" w:space="0"/>
              <w:left w:val="single" w:color="auto" w:sz="4" w:space="0"/>
              <w:bottom w:val="single" w:color="auto" w:sz="4" w:space="0"/>
              <w:right w:val="single" w:color="000000" w:sz="4" w:space="0"/>
            </w:tcBorders>
            <w:shd w:val="clear" w:color="000000" w:fill="C0C0C0"/>
            <w:vAlign w:val="center"/>
          </w:tcPr>
          <w:p>
            <w:pPr>
              <w:widowControl/>
              <w:spacing w:line="360" w:lineRule="auto"/>
              <w:jc w:val="center"/>
              <w:rPr>
                <w:rFonts w:ascii="Times New Roman" w:hAnsi="Times New Roman"/>
                <w:kern w:val="0"/>
                <w:sz w:val="24"/>
                <w:szCs w:val="24"/>
              </w:rPr>
            </w:pPr>
            <w:r>
              <w:rPr>
                <w:rFonts w:hint="eastAsia" w:ascii="Times New Roman" w:hAnsi="Times New Roman"/>
                <w:kern w:val="0"/>
                <w:sz w:val="24"/>
                <w:szCs w:val="24"/>
              </w:rPr>
              <w:t>拟审批意见</w:t>
            </w:r>
          </w:p>
        </w:tc>
      </w:tr>
      <w:tr>
        <w:tblPrEx>
          <w:tblCellMar>
            <w:top w:w="0" w:type="dxa"/>
            <w:left w:w="108" w:type="dxa"/>
            <w:bottom w:w="0" w:type="dxa"/>
            <w:right w:w="108" w:type="dxa"/>
          </w:tblCellMar>
        </w:tblPrEx>
        <w:trPr>
          <w:trHeight w:val="675" w:hRule="atLeast"/>
        </w:trPr>
        <w:tc>
          <w:tcPr>
            <w:tcW w:w="1468" w:type="dxa"/>
            <w:tcBorders>
              <w:top w:val="nil"/>
              <w:left w:val="single" w:color="auto" w:sz="4" w:space="0"/>
              <w:bottom w:val="single" w:color="auto" w:sz="4" w:space="0"/>
              <w:right w:val="single" w:color="auto" w:sz="4" w:space="0"/>
            </w:tcBorders>
            <w:shd w:val="clear" w:color="000000" w:fill="C0C0C0"/>
            <w:vAlign w:val="center"/>
          </w:tcPr>
          <w:p>
            <w:pPr>
              <w:widowControl/>
              <w:spacing w:line="360" w:lineRule="auto"/>
              <w:jc w:val="left"/>
              <w:rPr>
                <w:rFonts w:ascii="Times New Roman" w:hAnsi="Times New Roman"/>
                <w:kern w:val="0"/>
                <w:sz w:val="24"/>
                <w:szCs w:val="24"/>
              </w:rPr>
            </w:pPr>
            <w:r>
              <w:rPr>
                <w:rFonts w:hint="eastAsia" w:ascii="Times New Roman" w:hAnsi="Times New Roman"/>
                <w:kern w:val="0"/>
                <w:sz w:val="24"/>
                <w:szCs w:val="24"/>
              </w:rPr>
              <w:t>拟审批意见</w:t>
            </w:r>
          </w:p>
        </w:tc>
        <w:tc>
          <w:tcPr>
            <w:tcW w:w="7514" w:type="dxa"/>
            <w:gridSpan w:val="6"/>
            <w:tcBorders>
              <w:top w:val="single" w:color="auto" w:sz="4" w:space="0"/>
              <w:left w:val="nil"/>
              <w:bottom w:val="single" w:color="auto" w:sz="4" w:space="0"/>
              <w:right w:val="single" w:color="000000" w:sz="4" w:space="0"/>
            </w:tcBorders>
            <w:vAlign w:val="center"/>
          </w:tcPr>
          <w:p>
            <w:pPr>
              <w:widowControl/>
              <w:spacing w:line="360" w:lineRule="auto"/>
              <w:jc w:val="left"/>
              <w:rPr>
                <w:rFonts w:ascii="Times New Roman" w:hAnsi="Times New Roman"/>
                <w:kern w:val="0"/>
                <w:sz w:val="24"/>
                <w:szCs w:val="24"/>
              </w:rPr>
            </w:pPr>
            <w:r>
              <w:rPr>
                <w:rFonts w:hint="eastAsia" w:ascii="Times New Roman" w:hAnsi="Times New Roman"/>
                <w:kern w:val="0"/>
                <w:sz w:val="24"/>
                <w:szCs w:val="24"/>
              </w:rPr>
              <w:t>　同意审批</w:t>
            </w:r>
          </w:p>
        </w:tc>
      </w:tr>
      <w:tr>
        <w:tblPrEx>
          <w:tblCellMar>
            <w:top w:w="0" w:type="dxa"/>
            <w:left w:w="108" w:type="dxa"/>
            <w:bottom w:w="0" w:type="dxa"/>
            <w:right w:w="108" w:type="dxa"/>
          </w:tblCellMar>
        </w:tblPrEx>
        <w:trPr>
          <w:trHeight w:val="570" w:hRule="atLeast"/>
        </w:trPr>
        <w:tc>
          <w:tcPr>
            <w:tcW w:w="8982" w:type="dxa"/>
            <w:gridSpan w:val="7"/>
            <w:tcBorders>
              <w:top w:val="single" w:color="auto" w:sz="4" w:space="0"/>
              <w:left w:val="nil"/>
              <w:bottom w:val="nil"/>
              <w:right w:val="nil"/>
            </w:tcBorders>
            <w:vAlign w:val="center"/>
          </w:tcPr>
          <w:p>
            <w:pPr>
              <w:widowControl/>
              <w:spacing w:line="360" w:lineRule="auto"/>
              <w:jc w:val="left"/>
              <w:rPr>
                <w:rFonts w:ascii="Times New Roman" w:hAnsi="Times New Roman"/>
                <w:kern w:val="0"/>
                <w:sz w:val="24"/>
                <w:szCs w:val="24"/>
              </w:rPr>
            </w:pPr>
            <w:r>
              <w:rPr>
                <w:rFonts w:hint="eastAsia" w:ascii="Times New Roman" w:hAnsi="Times New Roman"/>
                <w:kern w:val="0"/>
                <w:sz w:val="24"/>
                <w:szCs w:val="24"/>
              </w:rPr>
              <w:t>注</w:t>
            </w:r>
            <w:r>
              <w:rPr>
                <w:rFonts w:ascii="Times New Roman" w:hAnsi="Times New Roman"/>
                <w:kern w:val="0"/>
                <w:sz w:val="24"/>
                <w:szCs w:val="24"/>
              </w:rPr>
              <w:t>:</w:t>
            </w:r>
            <w:r>
              <w:rPr>
                <w:rFonts w:hint="eastAsia" w:ascii="Times New Roman" w:hAnsi="Times New Roman"/>
                <w:kern w:val="0"/>
                <w:sz w:val="24"/>
                <w:szCs w:val="24"/>
              </w:rPr>
              <w:t>项目基本情况、项目主要环境影响、项目预防及减轻不良环境影响的对策和措施、公众参与情况、建设单位或地方政府所作出的相关承诺文件部分由建设单位填写。拟审批意见、公众反馈意见联系方式部分由行政审批机关填写</w:t>
            </w:r>
          </w:p>
        </w:tc>
      </w:tr>
    </w:tbl>
    <w:p>
      <w:pPr>
        <w:pStyle w:val="11"/>
        <w:rPr>
          <w:rFonts w:hAnsi="宋体" w:cs="宋体"/>
          <w:color w:val="353535"/>
          <w:kern w:val="0"/>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entury Gothic">
    <w:altName w:val="Segoe Print"/>
    <w:panose1 w:val="00000000000000000000"/>
    <w:charset w:val="00"/>
    <w:family w:val="auto"/>
    <w:pitch w:val="default"/>
    <w:sig w:usb0="00000000" w:usb1="00000000" w:usb2="00000000" w:usb3="00000000" w:csb0="00000001" w:csb1="00000000"/>
  </w:font>
  <w:font w:name="幼圆">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D802D3"/>
    <w:multiLevelType w:val="singleLevel"/>
    <w:tmpl w:val="8ED802D3"/>
    <w:lvl w:ilvl="0" w:tentative="0">
      <w:start w:val="2"/>
      <w:numFmt w:val="decimal"/>
      <w:suff w:val="nothing"/>
      <w:lvlText w:val="%1）"/>
      <w:lvlJc w:val="left"/>
      <w:rPr>
        <w:rFonts w:cs="Times New Roman"/>
      </w:rPr>
    </w:lvl>
  </w:abstractNum>
  <w:abstractNum w:abstractNumId="1">
    <w:nsid w:val="ACA3D39A"/>
    <w:multiLevelType w:val="singleLevel"/>
    <w:tmpl w:val="ACA3D39A"/>
    <w:lvl w:ilvl="0" w:tentative="0">
      <w:start w:val="1"/>
      <w:numFmt w:val="decimal"/>
      <w:suff w:val="nothing"/>
      <w:lvlText w:val="（%1）"/>
      <w:lvlJc w:val="left"/>
      <w:rPr>
        <w:rFonts w:cs="Times New Roman"/>
      </w:rPr>
    </w:lvl>
  </w:abstractNum>
  <w:abstractNum w:abstractNumId="2">
    <w:nsid w:val="0748DD4B"/>
    <w:multiLevelType w:val="singleLevel"/>
    <w:tmpl w:val="0748DD4B"/>
    <w:lvl w:ilvl="0" w:tentative="0">
      <w:start w:val="2"/>
      <w:numFmt w:val="decimal"/>
      <w:suff w:val="nothing"/>
      <w:lvlText w:val="%1）"/>
      <w:lvlJc w:val="left"/>
      <w:rPr>
        <w:rFonts w:cs="Times New Roman"/>
      </w:rPr>
    </w:lvl>
  </w:abstractNum>
  <w:abstractNum w:abstractNumId="3">
    <w:nsid w:val="6F1467F8"/>
    <w:multiLevelType w:val="singleLevel"/>
    <w:tmpl w:val="6F1467F8"/>
    <w:lvl w:ilvl="0" w:tentative="0">
      <w:start w:val="5"/>
      <w:numFmt w:val="decimal"/>
      <w:suff w:val="nothing"/>
      <w:lvlText w:val="%1）"/>
      <w:lvlJc w:val="left"/>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32D37"/>
    <w:rsid w:val="000657F5"/>
    <w:rsid w:val="000C49E8"/>
    <w:rsid w:val="001A53D4"/>
    <w:rsid w:val="001F1AAA"/>
    <w:rsid w:val="00217A7D"/>
    <w:rsid w:val="00283E0B"/>
    <w:rsid w:val="002B7084"/>
    <w:rsid w:val="0031792B"/>
    <w:rsid w:val="00363772"/>
    <w:rsid w:val="00380462"/>
    <w:rsid w:val="003E0D5B"/>
    <w:rsid w:val="003F00A1"/>
    <w:rsid w:val="00481D17"/>
    <w:rsid w:val="004B6DB5"/>
    <w:rsid w:val="00505A91"/>
    <w:rsid w:val="005C0ED6"/>
    <w:rsid w:val="005C3534"/>
    <w:rsid w:val="005F11DC"/>
    <w:rsid w:val="006B1951"/>
    <w:rsid w:val="007D591E"/>
    <w:rsid w:val="0090712F"/>
    <w:rsid w:val="009C2AB9"/>
    <w:rsid w:val="00A24E2D"/>
    <w:rsid w:val="00A55FAD"/>
    <w:rsid w:val="00A86F96"/>
    <w:rsid w:val="00AA25EE"/>
    <w:rsid w:val="00BC7D9A"/>
    <w:rsid w:val="00CF49BF"/>
    <w:rsid w:val="00CF6801"/>
    <w:rsid w:val="00D37ABD"/>
    <w:rsid w:val="00DA4190"/>
    <w:rsid w:val="00DB2301"/>
    <w:rsid w:val="00DF2169"/>
    <w:rsid w:val="00E01387"/>
    <w:rsid w:val="00E52E99"/>
    <w:rsid w:val="01BA71C9"/>
    <w:rsid w:val="024A3204"/>
    <w:rsid w:val="03E37D63"/>
    <w:rsid w:val="0BC772A5"/>
    <w:rsid w:val="0FBB4730"/>
    <w:rsid w:val="10A57B18"/>
    <w:rsid w:val="115E2216"/>
    <w:rsid w:val="14D32D37"/>
    <w:rsid w:val="16E02AA3"/>
    <w:rsid w:val="19407352"/>
    <w:rsid w:val="1F301232"/>
    <w:rsid w:val="1F4B4085"/>
    <w:rsid w:val="218B02CB"/>
    <w:rsid w:val="23067856"/>
    <w:rsid w:val="23CF5928"/>
    <w:rsid w:val="26762558"/>
    <w:rsid w:val="26C34445"/>
    <w:rsid w:val="26F97C9C"/>
    <w:rsid w:val="2833296E"/>
    <w:rsid w:val="2A0639E3"/>
    <w:rsid w:val="2B694D7F"/>
    <w:rsid w:val="2BCA5A70"/>
    <w:rsid w:val="302A7117"/>
    <w:rsid w:val="329F5C49"/>
    <w:rsid w:val="34293EA8"/>
    <w:rsid w:val="36851939"/>
    <w:rsid w:val="3946255B"/>
    <w:rsid w:val="3D19197D"/>
    <w:rsid w:val="3D42500D"/>
    <w:rsid w:val="3ED722E2"/>
    <w:rsid w:val="415D3188"/>
    <w:rsid w:val="440E228A"/>
    <w:rsid w:val="462A63DE"/>
    <w:rsid w:val="465B65E8"/>
    <w:rsid w:val="469415D8"/>
    <w:rsid w:val="4BE06B3C"/>
    <w:rsid w:val="4D4B1180"/>
    <w:rsid w:val="4E005604"/>
    <w:rsid w:val="56244BC4"/>
    <w:rsid w:val="5B5E2EAC"/>
    <w:rsid w:val="5D2342D9"/>
    <w:rsid w:val="5E833EA4"/>
    <w:rsid w:val="631E4797"/>
    <w:rsid w:val="65705872"/>
    <w:rsid w:val="66DB21AA"/>
    <w:rsid w:val="68C44503"/>
    <w:rsid w:val="69E75442"/>
    <w:rsid w:val="72BD1756"/>
    <w:rsid w:val="73C85DB0"/>
    <w:rsid w:val="749A2CD5"/>
    <w:rsid w:val="7A9322F4"/>
    <w:rsid w:val="7F15343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99" w:semiHidden="0" w:name="Normal Indent"/>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nhideWhenUsed="0" w:uiPriority="99" w:semiHidden="0" w:name="Body Text First Indent" w:locked="1"/>
    <w:lsdException w:unhideWhenUsed="0" w:uiPriority="99" w:semiHidden="0" w:name="Body Text First Indent 2"/>
    <w:lsdException w:uiPriority="99" w:name="Note Heading" w:locked="1"/>
    <w:lsdException w:unhideWhenUsed="0" w:uiPriority="99" w:semiHidden="0" w:name="Body Text 2" w:locked="1"/>
    <w:lsdException w:uiPriority="99" w:name="Body Text 3" w:locked="1"/>
    <w:lsdException w:unhideWhenUsed="0" w:uiPriority="99" w:semiHidden="0" w:name="Body Text Indent 2" w:locked="1"/>
    <w:lsdException w:unhideWhenUsed="0" w:uiPriority="99" w:semiHidden="0" w:name="Body Text Indent 3" w:locked="1"/>
    <w:lsdException w:uiPriority="99" w:name="Block Text" w:locked="1"/>
    <w:lsdException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32"/>
      <w:lang w:val="en-US" w:eastAsia="zh-CN" w:bidi="ar-SA"/>
    </w:rPr>
  </w:style>
  <w:style w:type="paragraph" w:styleId="4">
    <w:name w:val="heading 1"/>
    <w:basedOn w:val="1"/>
    <w:next w:val="1"/>
    <w:link w:val="25"/>
    <w:qFormat/>
    <w:uiPriority w:val="99"/>
    <w:pPr>
      <w:keepNext/>
      <w:keepLines/>
      <w:outlineLvl w:val="0"/>
    </w:pPr>
    <w:rPr>
      <w:b/>
      <w:bCs/>
      <w:kern w:val="44"/>
      <w:sz w:val="30"/>
      <w:szCs w:val="44"/>
    </w:rPr>
  </w:style>
  <w:style w:type="paragraph" w:styleId="5">
    <w:name w:val="heading 2"/>
    <w:basedOn w:val="1"/>
    <w:next w:val="1"/>
    <w:link w:val="26"/>
    <w:qFormat/>
    <w:uiPriority w:val="99"/>
    <w:pPr>
      <w:keepNext/>
      <w:keepLines/>
      <w:spacing w:before="260" w:after="260" w:line="416" w:lineRule="auto"/>
      <w:outlineLvl w:val="1"/>
    </w:pPr>
    <w:rPr>
      <w:rFonts w:ascii="Arial" w:hAnsi="Arial" w:eastAsia="黑体" w:cs="Arial"/>
      <w:b/>
      <w:bCs/>
    </w:rPr>
  </w:style>
  <w:style w:type="paragraph" w:styleId="6">
    <w:name w:val="heading 3"/>
    <w:basedOn w:val="1"/>
    <w:next w:val="1"/>
    <w:link w:val="27"/>
    <w:qFormat/>
    <w:uiPriority w:val="99"/>
    <w:pPr>
      <w:keepNext/>
      <w:spacing w:line="360" w:lineRule="auto"/>
      <w:ind w:firstLine="200" w:firstLineChars="200"/>
      <w:outlineLvl w:val="2"/>
    </w:pPr>
    <w:rPr>
      <w:rFonts w:ascii="Times New Roman" w:hAnsi="Times New Roman"/>
      <w:b/>
      <w:bCs/>
      <w:sz w:val="28"/>
      <w:szCs w:val="28"/>
    </w:rPr>
  </w:style>
  <w:style w:type="paragraph" w:styleId="7">
    <w:name w:val="heading 4"/>
    <w:basedOn w:val="1"/>
    <w:next w:val="1"/>
    <w:link w:val="28"/>
    <w:qFormat/>
    <w:uiPriority w:val="99"/>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iPriority w:val="99"/>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29"/>
    <w:uiPriority w:val="99"/>
    <w:pPr>
      <w:pBdr>
        <w:bottom w:val="single" w:color="auto" w:sz="6" w:space="1"/>
      </w:pBdr>
      <w:tabs>
        <w:tab w:val="center" w:pos="4153"/>
        <w:tab w:val="right" w:pos="8306"/>
      </w:tabs>
      <w:snapToGrid w:val="0"/>
      <w:jc w:val="center"/>
    </w:pPr>
    <w:rPr>
      <w:sz w:val="18"/>
      <w:szCs w:val="18"/>
    </w:rPr>
  </w:style>
  <w:style w:type="paragraph" w:customStyle="1" w:styleId="3">
    <w:name w:val="正文1"/>
    <w:uiPriority w:val="99"/>
    <w:pPr>
      <w:jc w:val="both"/>
    </w:pPr>
    <w:rPr>
      <w:rFonts w:ascii="Calibri" w:hAnsi="Calibri" w:eastAsia="宋体" w:cs="宋体"/>
      <w:kern w:val="2"/>
      <w:sz w:val="21"/>
      <w:szCs w:val="21"/>
      <w:lang w:val="en-US" w:eastAsia="zh-CN" w:bidi="ar-SA"/>
    </w:rPr>
  </w:style>
  <w:style w:type="paragraph" w:styleId="8">
    <w:name w:val="Normal Indent"/>
    <w:basedOn w:val="1"/>
    <w:uiPriority w:val="99"/>
    <w:pPr>
      <w:ind w:firstLine="420" w:firstLineChars="200"/>
    </w:pPr>
    <w:rPr>
      <w:rFonts w:ascii="宋体" w:hAnsi="宋体" w:cs="宋体"/>
    </w:rPr>
  </w:style>
  <w:style w:type="paragraph" w:styleId="9">
    <w:name w:val="Body Text"/>
    <w:basedOn w:val="1"/>
    <w:link w:val="30"/>
    <w:uiPriority w:val="99"/>
    <w:pPr>
      <w:adjustRightInd w:val="0"/>
      <w:spacing w:line="360" w:lineRule="auto"/>
      <w:textAlignment w:val="baseline"/>
    </w:pPr>
  </w:style>
  <w:style w:type="paragraph" w:styleId="10">
    <w:name w:val="Body Text Indent"/>
    <w:basedOn w:val="1"/>
    <w:link w:val="32"/>
    <w:uiPriority w:val="99"/>
    <w:pPr>
      <w:ind w:firstLine="525"/>
    </w:pPr>
    <w:rPr>
      <w:rFonts w:ascii="Times New Roman" w:hAnsi="Times New Roman"/>
      <w:sz w:val="28"/>
      <w:szCs w:val="20"/>
    </w:rPr>
  </w:style>
  <w:style w:type="paragraph" w:styleId="11">
    <w:name w:val="Plain Text"/>
    <w:basedOn w:val="1"/>
    <w:link w:val="33"/>
    <w:uiPriority w:val="99"/>
    <w:rPr>
      <w:rFonts w:ascii="宋体" w:hAnsi="Courier New"/>
      <w:szCs w:val="20"/>
    </w:rPr>
  </w:style>
  <w:style w:type="paragraph" w:styleId="12">
    <w:name w:val="Body Text Indent 2"/>
    <w:basedOn w:val="1"/>
    <w:next w:val="1"/>
    <w:link w:val="34"/>
    <w:locked/>
    <w:uiPriority w:val="99"/>
    <w:pPr>
      <w:adjustRightInd w:val="0"/>
      <w:snapToGrid w:val="0"/>
      <w:spacing w:line="460" w:lineRule="atLeast"/>
      <w:ind w:firstLine="480"/>
    </w:pPr>
    <w:rPr>
      <w:rFonts w:ascii="宋体" w:hAnsi="宋体"/>
      <w:sz w:val="24"/>
    </w:rPr>
  </w:style>
  <w:style w:type="paragraph" w:styleId="13">
    <w:name w:val="footer"/>
    <w:basedOn w:val="1"/>
    <w:link w:val="35"/>
    <w:uiPriority w:val="99"/>
    <w:pPr>
      <w:tabs>
        <w:tab w:val="center" w:pos="4153"/>
        <w:tab w:val="right" w:pos="8306"/>
      </w:tabs>
      <w:snapToGrid w:val="0"/>
      <w:jc w:val="left"/>
    </w:pPr>
    <w:rPr>
      <w:sz w:val="18"/>
      <w:szCs w:val="18"/>
    </w:rPr>
  </w:style>
  <w:style w:type="paragraph" w:styleId="14">
    <w:name w:val="Body Text Indent 3"/>
    <w:basedOn w:val="1"/>
    <w:link w:val="37"/>
    <w:locked/>
    <w:uiPriority w:val="99"/>
    <w:pPr>
      <w:spacing w:line="500" w:lineRule="atLeast"/>
      <w:ind w:left="-105" w:firstLine="585"/>
    </w:pPr>
    <w:rPr>
      <w:rFonts w:ascii="宋体"/>
      <w:sz w:val="24"/>
    </w:rPr>
  </w:style>
  <w:style w:type="paragraph" w:styleId="15">
    <w:name w:val="Body Text 2"/>
    <w:basedOn w:val="1"/>
    <w:link w:val="38"/>
    <w:locked/>
    <w:uiPriority w:val="99"/>
    <w:rPr>
      <w:rFonts w:eastAsia="仿宋_GB2312"/>
      <w:sz w:val="28"/>
    </w:rPr>
  </w:style>
  <w:style w:type="paragraph" w:styleId="16">
    <w:name w:val="HTML Preformatted"/>
    <w:basedOn w:val="1"/>
    <w:link w:val="39"/>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7">
    <w:name w:val="Normal (Web)"/>
    <w:basedOn w:val="1"/>
    <w:uiPriority w:val="99"/>
    <w:rPr>
      <w:sz w:val="24"/>
    </w:rPr>
  </w:style>
  <w:style w:type="paragraph" w:styleId="18">
    <w:name w:val="index 1"/>
    <w:basedOn w:val="1"/>
    <w:next w:val="1"/>
    <w:uiPriority w:val="99"/>
    <w:pPr>
      <w:spacing w:line="360" w:lineRule="exact"/>
      <w:jc w:val="center"/>
    </w:pPr>
    <w:rPr>
      <w:b/>
      <w:sz w:val="24"/>
    </w:rPr>
  </w:style>
  <w:style w:type="paragraph" w:styleId="19">
    <w:name w:val="Body Text First Indent"/>
    <w:basedOn w:val="9"/>
    <w:link w:val="31"/>
    <w:locked/>
    <w:uiPriority w:val="99"/>
    <w:pPr>
      <w:ind w:firstLine="420" w:firstLineChars="100"/>
    </w:pPr>
  </w:style>
  <w:style w:type="paragraph" w:styleId="20">
    <w:name w:val="Body Text First Indent 2"/>
    <w:basedOn w:val="10"/>
    <w:next w:val="1"/>
    <w:link w:val="36"/>
    <w:uiPriority w:val="99"/>
    <w:pPr>
      <w:spacing w:after="120"/>
      <w:ind w:left="420" w:leftChars="200" w:firstLine="420" w:firstLineChars="200"/>
    </w:pPr>
    <w:rPr>
      <w:sz w:val="21"/>
      <w:szCs w:val="24"/>
    </w:rPr>
  </w:style>
  <w:style w:type="table" w:styleId="22">
    <w:name w:val="Table Grid"/>
    <w:basedOn w:val="21"/>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uiPriority w:val="99"/>
    <w:rPr>
      <w:rFonts w:cs="Times New Roman"/>
      <w:color w:val="0000FF"/>
      <w:u w:val="single"/>
    </w:rPr>
  </w:style>
  <w:style w:type="character" w:customStyle="1" w:styleId="25">
    <w:name w:val="Heading 1 Char"/>
    <w:basedOn w:val="23"/>
    <w:link w:val="4"/>
    <w:qFormat/>
    <w:locked/>
    <w:uiPriority w:val="99"/>
    <w:rPr>
      <w:rFonts w:cs="Times New Roman"/>
      <w:b/>
      <w:bCs/>
      <w:kern w:val="44"/>
      <w:sz w:val="44"/>
      <w:szCs w:val="44"/>
    </w:rPr>
  </w:style>
  <w:style w:type="character" w:customStyle="1" w:styleId="26">
    <w:name w:val="Heading 2 Char"/>
    <w:basedOn w:val="23"/>
    <w:link w:val="5"/>
    <w:semiHidden/>
    <w:qFormat/>
    <w:locked/>
    <w:uiPriority w:val="99"/>
    <w:rPr>
      <w:rFonts w:ascii="Cambria" w:hAnsi="Cambria" w:eastAsia="宋体" w:cs="Times New Roman"/>
      <w:b/>
      <w:bCs/>
      <w:sz w:val="32"/>
      <w:szCs w:val="32"/>
    </w:rPr>
  </w:style>
  <w:style w:type="character" w:customStyle="1" w:styleId="27">
    <w:name w:val="Heading 3 Char"/>
    <w:basedOn w:val="23"/>
    <w:link w:val="6"/>
    <w:semiHidden/>
    <w:qFormat/>
    <w:locked/>
    <w:uiPriority w:val="99"/>
    <w:rPr>
      <w:rFonts w:cs="Times New Roman"/>
      <w:b/>
      <w:bCs/>
      <w:sz w:val="32"/>
      <w:szCs w:val="32"/>
    </w:rPr>
  </w:style>
  <w:style w:type="character" w:customStyle="1" w:styleId="28">
    <w:name w:val="Heading 4 Char"/>
    <w:basedOn w:val="23"/>
    <w:link w:val="7"/>
    <w:semiHidden/>
    <w:locked/>
    <w:uiPriority w:val="99"/>
    <w:rPr>
      <w:rFonts w:ascii="Cambria" w:hAnsi="Cambria" w:eastAsia="宋体" w:cs="Times New Roman"/>
      <w:b/>
      <w:bCs/>
      <w:sz w:val="28"/>
      <w:szCs w:val="28"/>
    </w:rPr>
  </w:style>
  <w:style w:type="character" w:customStyle="1" w:styleId="29">
    <w:name w:val="Header Char"/>
    <w:basedOn w:val="23"/>
    <w:link w:val="2"/>
    <w:semiHidden/>
    <w:locked/>
    <w:uiPriority w:val="99"/>
    <w:rPr>
      <w:rFonts w:cs="Times New Roman"/>
      <w:sz w:val="18"/>
      <w:szCs w:val="18"/>
    </w:rPr>
  </w:style>
  <w:style w:type="character" w:customStyle="1" w:styleId="30">
    <w:name w:val="Body Text Char"/>
    <w:basedOn w:val="23"/>
    <w:link w:val="9"/>
    <w:semiHidden/>
    <w:locked/>
    <w:uiPriority w:val="99"/>
    <w:rPr>
      <w:rFonts w:cs="Times New Roman"/>
      <w:sz w:val="32"/>
      <w:szCs w:val="32"/>
    </w:rPr>
  </w:style>
  <w:style w:type="character" w:customStyle="1" w:styleId="31">
    <w:name w:val="Body Text First Indent Char"/>
    <w:basedOn w:val="30"/>
    <w:link w:val="19"/>
    <w:semiHidden/>
    <w:uiPriority w:val="99"/>
  </w:style>
  <w:style w:type="character" w:customStyle="1" w:styleId="32">
    <w:name w:val="Body Text Indent Char"/>
    <w:basedOn w:val="23"/>
    <w:link w:val="10"/>
    <w:semiHidden/>
    <w:locked/>
    <w:uiPriority w:val="99"/>
    <w:rPr>
      <w:rFonts w:cs="Times New Roman"/>
      <w:sz w:val="32"/>
      <w:szCs w:val="32"/>
    </w:rPr>
  </w:style>
  <w:style w:type="character" w:customStyle="1" w:styleId="33">
    <w:name w:val="Plain Text Char"/>
    <w:basedOn w:val="23"/>
    <w:link w:val="11"/>
    <w:semiHidden/>
    <w:locked/>
    <w:uiPriority w:val="99"/>
    <w:rPr>
      <w:rFonts w:ascii="宋体" w:hAnsi="Courier New" w:cs="Courier New"/>
      <w:sz w:val="21"/>
      <w:szCs w:val="21"/>
    </w:rPr>
  </w:style>
  <w:style w:type="character" w:customStyle="1" w:styleId="34">
    <w:name w:val="Body Text Indent 2 Char"/>
    <w:basedOn w:val="23"/>
    <w:link w:val="12"/>
    <w:semiHidden/>
    <w:uiPriority w:val="99"/>
    <w:rPr>
      <w:sz w:val="32"/>
      <w:szCs w:val="32"/>
    </w:rPr>
  </w:style>
  <w:style w:type="character" w:customStyle="1" w:styleId="35">
    <w:name w:val="Footer Char"/>
    <w:basedOn w:val="23"/>
    <w:link w:val="13"/>
    <w:semiHidden/>
    <w:locked/>
    <w:uiPriority w:val="99"/>
    <w:rPr>
      <w:rFonts w:cs="Times New Roman"/>
      <w:sz w:val="18"/>
      <w:szCs w:val="18"/>
    </w:rPr>
  </w:style>
  <w:style w:type="character" w:customStyle="1" w:styleId="36">
    <w:name w:val="Body Text First Indent 2 Char"/>
    <w:basedOn w:val="32"/>
    <w:link w:val="20"/>
    <w:semiHidden/>
    <w:locked/>
    <w:uiPriority w:val="99"/>
  </w:style>
  <w:style w:type="character" w:customStyle="1" w:styleId="37">
    <w:name w:val="Body Text Indent 3 Char"/>
    <w:basedOn w:val="23"/>
    <w:link w:val="14"/>
    <w:semiHidden/>
    <w:uiPriority w:val="99"/>
    <w:rPr>
      <w:sz w:val="16"/>
      <w:szCs w:val="16"/>
    </w:rPr>
  </w:style>
  <w:style w:type="character" w:customStyle="1" w:styleId="38">
    <w:name w:val="Body Text 2 Char"/>
    <w:basedOn w:val="23"/>
    <w:link w:val="15"/>
    <w:semiHidden/>
    <w:uiPriority w:val="99"/>
    <w:rPr>
      <w:sz w:val="32"/>
      <w:szCs w:val="32"/>
    </w:rPr>
  </w:style>
  <w:style w:type="character" w:customStyle="1" w:styleId="39">
    <w:name w:val="HTML Preformatted Char"/>
    <w:basedOn w:val="23"/>
    <w:link w:val="16"/>
    <w:semiHidden/>
    <w:uiPriority w:val="99"/>
    <w:rPr>
      <w:rFonts w:ascii="Courier New" w:hAnsi="Courier New" w:cs="Courier New"/>
      <w:sz w:val="20"/>
      <w:szCs w:val="20"/>
    </w:rPr>
  </w:style>
  <w:style w:type="paragraph" w:customStyle="1" w:styleId="40">
    <w:name w:val="Char2"/>
    <w:basedOn w:val="1"/>
    <w:uiPriority w:val="99"/>
    <w:pPr>
      <w:tabs>
        <w:tab w:val="left" w:pos="2040"/>
      </w:tabs>
    </w:pPr>
  </w:style>
  <w:style w:type="paragraph" w:customStyle="1" w:styleId="41">
    <w:name w:val="样式 标题 1 + 四号 段前: 0 磅 段后: 0 磅 行距: 1.5 倍行距"/>
    <w:basedOn w:val="4"/>
    <w:next w:val="42"/>
    <w:uiPriority w:val="99"/>
    <w:pPr>
      <w:spacing w:line="360" w:lineRule="auto"/>
      <w:jc w:val="center"/>
    </w:pPr>
  </w:style>
  <w:style w:type="paragraph" w:customStyle="1" w:styleId="42">
    <w:name w:val="文本正文"/>
    <w:basedOn w:val="1"/>
    <w:uiPriority w:val="99"/>
    <w:pPr>
      <w:snapToGrid w:val="0"/>
      <w:spacing w:line="360" w:lineRule="auto"/>
      <w:ind w:firstLine="510"/>
      <w:jc w:val="left"/>
    </w:pPr>
    <w:rPr>
      <w:spacing w:val="4"/>
      <w:kern w:val="24"/>
      <w:szCs w:val="24"/>
      <w:lang w:val="zh-CN"/>
    </w:rPr>
  </w:style>
  <w:style w:type="paragraph" w:customStyle="1" w:styleId="43">
    <w:name w:val="环评正文"/>
    <w:basedOn w:val="1"/>
    <w:uiPriority w:val="99"/>
    <w:pPr>
      <w:ind w:firstLine="200" w:firstLineChars="200"/>
    </w:pPr>
    <w:rPr>
      <w:rFonts w:ascii="Times New Roman" w:hAnsi="Times New Roman"/>
      <w:sz w:val="24"/>
    </w:rPr>
  </w:style>
  <w:style w:type="character" w:customStyle="1" w:styleId="44">
    <w:name w:val="con-all2"/>
    <w:uiPriority w:val="99"/>
  </w:style>
  <w:style w:type="paragraph" w:customStyle="1" w:styleId="45">
    <w:name w:val="_Style 3"/>
    <w:basedOn w:val="1"/>
    <w:uiPriority w:val="99"/>
    <w:pPr>
      <w:spacing w:line="360" w:lineRule="auto"/>
      <w:ind w:left="35" w:leftChars="35" w:right="35" w:rightChars="35" w:firstLine="420" w:firstLineChars="200"/>
    </w:pPr>
    <w:rPr>
      <w:sz w:val="24"/>
      <w:szCs w:val="22"/>
    </w:rPr>
  </w:style>
  <w:style w:type="paragraph" w:customStyle="1" w:styleId="46">
    <w:name w:val="列出段落"/>
    <w:basedOn w:val="1"/>
    <w:uiPriority w:val="99"/>
    <w:pPr>
      <w:ind w:firstLine="420" w:firstLineChars="200"/>
    </w:pPr>
    <w:rPr>
      <w:rFonts w:ascii="Times New Roman" w:hAnsi="Times New Roman"/>
      <w:kern w:val="24"/>
      <w:sz w:val="28"/>
      <w:szCs w:val="28"/>
    </w:rPr>
  </w:style>
  <w:style w:type="paragraph" w:customStyle="1" w:styleId="47">
    <w:name w:val="Char"/>
    <w:basedOn w:val="1"/>
    <w:uiPriority w:val="99"/>
    <w:pPr>
      <w:spacing w:line="360" w:lineRule="auto"/>
      <w:ind w:firstLine="200" w:firstLineChars="200"/>
    </w:pPr>
    <w:rPr>
      <w:rFonts w:ascii="宋体" w:hAnsi="宋体" w:cs="宋体"/>
      <w:sz w:val="24"/>
      <w:szCs w:val="24"/>
    </w:rPr>
  </w:style>
  <w:style w:type="paragraph" w:customStyle="1" w:styleId="48">
    <w:name w:val="List Paragraph1"/>
    <w:basedOn w:val="1"/>
    <w:uiPriority w:val="99"/>
    <w:pPr>
      <w:ind w:firstLine="420" w:firstLineChars="200"/>
    </w:pPr>
    <w:rPr>
      <w:sz w:val="24"/>
      <w:szCs w:val="24"/>
    </w:rPr>
  </w:style>
  <w:style w:type="paragraph" w:customStyle="1" w:styleId="49">
    <w:name w:val="列出段落1"/>
    <w:basedOn w:val="1"/>
    <w:uiPriority w:val="99"/>
    <w:pPr>
      <w:ind w:firstLine="420" w:firstLineChars="200"/>
    </w:pPr>
    <w:rPr>
      <w:rFonts w:ascii="Times New Roman" w:hAnsi="Times New Roman"/>
      <w:kern w:val="24"/>
      <w:sz w:val="28"/>
      <w:szCs w:val="28"/>
    </w:rPr>
  </w:style>
  <w:style w:type="paragraph" w:customStyle="1" w:styleId="50">
    <w:name w:val="p0"/>
    <w:basedOn w:val="1"/>
    <w:uiPriority w:val="99"/>
    <w:pPr>
      <w:widowControl/>
    </w:pPr>
    <w:rPr>
      <w:kern w:val="0"/>
      <w:szCs w:val="21"/>
    </w:rPr>
  </w:style>
  <w:style w:type="paragraph" w:customStyle="1" w:styleId="51">
    <w:name w:val="表格文字"/>
    <w:basedOn w:val="1"/>
    <w:uiPriority w:val="99"/>
    <w:pPr>
      <w:adjustRightInd w:val="0"/>
      <w:spacing w:line="360" w:lineRule="exact"/>
      <w:jc w:val="center"/>
    </w:pPr>
    <w:rPr>
      <w:rFonts w:ascii="Times New Roman" w:hAnsi="Times New Roman"/>
      <w:kern w:val="24"/>
      <w:szCs w:val="24"/>
    </w:rPr>
  </w:style>
  <w:style w:type="paragraph" w:customStyle="1" w:styleId="52">
    <w:name w:val="封面"/>
    <w:basedOn w:val="1"/>
    <w:uiPriority w:val="99"/>
    <w:pPr>
      <w:adjustRightInd w:val="0"/>
      <w:snapToGrid w:val="0"/>
      <w:spacing w:line="440" w:lineRule="exact"/>
      <w:ind w:firstLine="480" w:firstLineChars="200"/>
    </w:pPr>
    <w:rPr>
      <w:rFonts w:ascii="宋体" w:hAnsi="宋体"/>
      <w:bCs/>
      <w:color w:val="000000"/>
      <w:kern w:val="0"/>
      <w:sz w:val="24"/>
    </w:rPr>
  </w:style>
  <w:style w:type="paragraph" w:customStyle="1" w:styleId="53">
    <w:name w:val="正文2"/>
    <w:basedOn w:val="1"/>
    <w:uiPriority w:val="99"/>
    <w:pPr>
      <w:adjustRightInd w:val="0"/>
      <w:snapToGrid w:val="0"/>
      <w:spacing w:line="440" w:lineRule="atLeast"/>
      <w:ind w:firstLine="567"/>
    </w:pPr>
    <w:rPr>
      <w:sz w:val="24"/>
      <w:szCs w:val="20"/>
    </w:rPr>
  </w:style>
  <w:style w:type="paragraph" w:customStyle="1" w:styleId="54">
    <w:name w:val="报告表正文"/>
    <w:basedOn w:val="1"/>
    <w:uiPriority w:val="99"/>
    <w:pPr>
      <w:adjustRightInd w:val="0"/>
      <w:spacing w:line="312" w:lineRule="auto"/>
      <w:ind w:left="113" w:right="113" w:firstLine="482"/>
      <w:jc w:val="left"/>
      <w:textAlignment w:val="baseline"/>
    </w:pPr>
    <w:rPr>
      <w:rFonts w:ascii="Times New Roman" w:hAnsi="Times New Roman"/>
      <w:kern w:val="0"/>
      <w:sz w:val="24"/>
      <w:szCs w:val="20"/>
    </w:rPr>
  </w:style>
  <w:style w:type="paragraph" w:customStyle="1" w:styleId="55">
    <w:name w:val="样式 Century Gothic 四号 行距: 1.5 倍行距"/>
    <w:basedOn w:val="1"/>
    <w:uiPriority w:val="99"/>
    <w:pPr>
      <w:spacing w:line="360" w:lineRule="auto"/>
      <w:ind w:firstLine="200" w:firstLineChars="200"/>
    </w:pPr>
    <w:rPr>
      <w:rFonts w:ascii="Century Gothic" w:hAnsi="宋体" w:cs="宋体"/>
      <w:sz w:val="28"/>
      <w:szCs w:val="20"/>
    </w:rPr>
  </w:style>
  <w:style w:type="paragraph" w:customStyle="1" w:styleId="56">
    <w:name w:val="标题 44"/>
    <w:basedOn w:val="7"/>
    <w:next w:val="7"/>
    <w:uiPriority w:val="99"/>
    <w:pPr>
      <w:spacing w:before="0" w:after="0" w:line="360" w:lineRule="auto"/>
    </w:pPr>
    <w:rPr>
      <w:rFonts w:ascii="Times New Roman" w:hAnsi="Times New Roman"/>
      <w:b w:val="0"/>
      <w:sz w:val="24"/>
    </w:rPr>
  </w:style>
  <w:style w:type="paragraph" w:customStyle="1" w:styleId="57">
    <w:name w:val="72"/>
    <w:basedOn w:val="1"/>
    <w:uiPriority w:val="99"/>
    <w:pPr>
      <w:adjustRightInd w:val="0"/>
      <w:spacing w:line="360" w:lineRule="auto"/>
      <w:ind w:firstLine="200" w:firstLineChars="200"/>
      <w:jc w:val="left"/>
      <w:textAlignment w:val="baseline"/>
    </w:pPr>
    <w:rPr>
      <w:rFonts w:hAnsi="宋体"/>
      <w:spacing w:val="10"/>
      <w:sz w:val="24"/>
      <w:szCs w:val="24"/>
    </w:rPr>
  </w:style>
  <w:style w:type="paragraph" w:customStyle="1" w:styleId="58">
    <w:name w:val="Table Paragraph"/>
    <w:basedOn w:val="1"/>
    <w:uiPriority w:val="99"/>
    <w:pPr>
      <w:autoSpaceDE w:val="0"/>
      <w:autoSpaceDN w:val="0"/>
      <w:ind w:left="108"/>
      <w:jc w:val="left"/>
    </w:pPr>
    <w:rPr>
      <w:rFonts w:ascii="宋体" w:hAnsi="宋体" w:cs="宋体"/>
      <w:kern w:val="0"/>
      <w:sz w:val="22"/>
      <w:szCs w:val="22"/>
      <w:lang w:val="zh-CN"/>
    </w:rPr>
  </w:style>
  <w:style w:type="paragraph" w:customStyle="1" w:styleId="59">
    <w:name w:val="_Style 2"/>
    <w:basedOn w:val="1"/>
    <w:uiPriority w:val="99"/>
    <w:pPr>
      <w:spacing w:after="100" w:afterAutospacing="1"/>
      <w:ind w:firstLine="420" w:firstLineChars="200"/>
      <w:jc w:val="left"/>
    </w:pPr>
  </w:style>
  <w:style w:type="character" w:customStyle="1" w:styleId="60">
    <w:name w:val="apple-style-span"/>
    <w:basedOn w:val="23"/>
    <w:uiPriority w:val="99"/>
    <w:rPr>
      <w:rFonts w:cs="Times New Roman"/>
    </w:rPr>
  </w:style>
  <w:style w:type="paragraph" w:customStyle="1" w:styleId="61">
    <w:name w:val="List Paragraph2"/>
    <w:basedOn w:val="1"/>
    <w:uiPriority w:val="99"/>
    <w:pPr>
      <w:ind w:firstLine="420" w:firstLineChars="200"/>
    </w:pPr>
  </w:style>
  <w:style w:type="paragraph" w:customStyle="1" w:styleId="62">
    <w:name w:val="Default"/>
    <w:uiPriority w:val="99"/>
    <w:pPr>
      <w:widowControl w:val="0"/>
      <w:autoSpaceDE w:val="0"/>
      <w:autoSpaceDN w:val="0"/>
      <w:adjustRightInd w:val="0"/>
    </w:pPr>
    <w:rPr>
      <w:rFonts w:ascii="黑体" w:hAnsi="黑体" w:eastAsia="黑体" w:cs="Times New Roman"/>
      <w:color w:val="000000"/>
      <w:kern w:val="0"/>
      <w:sz w:val="24"/>
      <w:szCs w:val="22"/>
      <w:lang w:val="en-US" w:eastAsia="zh-CN" w:bidi="ar-SA"/>
    </w:rPr>
  </w:style>
  <w:style w:type="paragraph" w:customStyle="1" w:styleId="63">
    <w:name w:val="正文文字"/>
    <w:basedOn w:val="1"/>
    <w:next w:val="1"/>
    <w:uiPriority w:val="99"/>
    <w:pPr>
      <w:snapToGrid w:val="0"/>
      <w:spacing w:line="360" w:lineRule="auto"/>
      <w:ind w:firstLine="480" w:firstLineChars="200"/>
    </w:pPr>
    <w:rPr>
      <w:rFonts w:ascii="宋体" w:hAnsi="宋体" w:cs="宋体"/>
      <w:sz w:val="24"/>
    </w:rPr>
  </w:style>
  <w:style w:type="paragraph" w:customStyle="1" w:styleId="64">
    <w:name w:val="Char Char Char"/>
    <w:basedOn w:val="1"/>
    <w:uiPriority w:val="99"/>
    <w:pPr>
      <w:spacing w:line="360" w:lineRule="auto"/>
      <w:ind w:firstLine="200" w:firstLineChars="200"/>
    </w:pPr>
    <w:rPr>
      <w:rFonts w:ascii="宋体" w:hAnsi="宋体" w:cs="宋体"/>
      <w:sz w:val="24"/>
    </w:rPr>
  </w:style>
  <w:style w:type="character" w:customStyle="1" w:styleId="65">
    <w:name w:val="正文（首行缩进两字） Char"/>
    <w:uiPriority w:val="99"/>
    <w:rPr>
      <w:rFonts w:eastAsia="宋体"/>
      <w:kern w:val="2"/>
      <w:sz w:val="24"/>
      <w:lang w:val="en-US" w:eastAsia="zh-CN"/>
    </w:rPr>
  </w:style>
  <w:style w:type="paragraph" w:customStyle="1" w:styleId="66">
    <w:name w:val="报告正文"/>
    <w:basedOn w:val="1"/>
    <w:uiPriority w:val="99"/>
    <w:pPr>
      <w:spacing w:line="360" w:lineRule="auto"/>
      <w:ind w:firstLine="200" w:firstLineChars="200"/>
      <w:jc w:val="lef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19</Pages>
  <Words>2154</Words>
  <Characters>12282</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2018-09-03T03:05:00Z</dcterms:created>
  <dc:creator>Administrator</dc:creator>
  <cp:lastModifiedBy>杨丽芬</cp:lastModifiedBy>
  <dcterms:modified xsi:type="dcterms:W3CDTF">2020-11-24T09:56:48Z</dcterms:modified>
  <dc:title>关于2018年9月3日-9月10日建设项目环境影响评价文件拟审批情况的公示</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