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bookmarkStart w:id="0" w:name="_GoBack"/>
      <w:bookmarkEnd w:id="0"/>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default"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w:t>
      </w:r>
    </w:p>
    <w:p>
      <w:pPr>
        <w:jc w:val="center"/>
        <w:rPr>
          <w:rFonts w:hint="default" w:ascii="Times New Roman" w:hAnsi="Times New Roman" w:cs="Times New Roman"/>
          <w:color w:val="FF0000"/>
          <w:sz w:val="24"/>
          <w:lang w:val="en-US" w:eastAsia="zh-CN"/>
        </w:rPr>
      </w:pPr>
      <w:r>
        <w:rPr>
          <w:rFonts w:hint="default" w:ascii="Times New Roman" w:hAnsi="Times New Roman" w:cs="Times New Roman"/>
          <w:color w:val="FF0000"/>
          <w:sz w:val="24"/>
          <w:lang w:val="en-US" w:eastAsia="zh-CN"/>
        </w:rPr>
        <w:t>_____________________________________________________________________</w:t>
      </w:r>
    </w:p>
    <w:p>
      <w:pPr>
        <w:spacing w:line="600" w:lineRule="exact"/>
        <w:jc w:val="center"/>
        <w:rPr>
          <w:rFonts w:hint="default" w:ascii="Times New Roman" w:hAnsi="Times New Roman" w:eastAsia="方正小标宋简体" w:cs="Times New Roman"/>
          <w:spacing w:val="-4"/>
          <w:sz w:val="44"/>
          <w:szCs w:val="44"/>
          <w:highlight w:val="none"/>
          <w:lang w:eastAsia="zh-CN"/>
        </w:rPr>
      </w:pPr>
    </w:p>
    <w:p>
      <w:pPr>
        <w:spacing w:line="600" w:lineRule="exact"/>
        <w:jc w:val="center"/>
        <w:rPr>
          <w:rFonts w:hint="default" w:ascii="Times New Roman" w:hAnsi="Times New Roman" w:eastAsia="方正小标宋简体" w:cs="Times New Roman"/>
          <w:spacing w:val="-4"/>
          <w:sz w:val="44"/>
          <w:szCs w:val="44"/>
          <w:highlight w:val="none"/>
          <w:lang w:eastAsia="zh-CN"/>
        </w:rPr>
      </w:pPr>
      <w:r>
        <w:rPr>
          <w:rFonts w:hint="default" w:ascii="Times New Roman" w:hAnsi="Times New Roman" w:eastAsia="方正小标宋简体" w:cs="Times New Roman"/>
          <w:spacing w:val="-4"/>
          <w:sz w:val="44"/>
          <w:szCs w:val="44"/>
          <w:highlight w:val="none"/>
          <w:lang w:eastAsia="zh-CN"/>
        </w:rPr>
        <w:t>德宏州生态环境局盈江分局</w:t>
      </w:r>
      <w:r>
        <w:rPr>
          <w:rFonts w:hint="default" w:ascii="Times New Roman" w:hAnsi="Times New Roman" w:eastAsia="方正小标宋简体" w:cs="Times New Roman"/>
          <w:spacing w:val="-4"/>
          <w:sz w:val="44"/>
          <w:szCs w:val="44"/>
          <w:highlight w:val="none"/>
        </w:rPr>
        <w:t>关于</w:t>
      </w:r>
    </w:p>
    <w:p>
      <w:pPr>
        <w:spacing w:line="600" w:lineRule="exact"/>
        <w:jc w:val="center"/>
        <w:rPr>
          <w:rFonts w:hint="default" w:ascii="Times New Roman" w:hAnsi="Times New Roman" w:eastAsia="方正小标宋简体" w:cs="Times New Roman"/>
          <w:spacing w:val="-4"/>
          <w:sz w:val="44"/>
          <w:szCs w:val="44"/>
          <w:highlight w:val="none"/>
        </w:rPr>
      </w:pPr>
      <w:r>
        <w:rPr>
          <w:rFonts w:hint="default" w:ascii="Times New Roman" w:hAnsi="Times New Roman" w:eastAsia="方正小标宋简体" w:cs="Times New Roman"/>
          <w:spacing w:val="-4"/>
          <w:sz w:val="44"/>
          <w:szCs w:val="44"/>
          <w:highlight w:val="none"/>
          <w:lang w:eastAsia="zh-CN"/>
        </w:rPr>
        <w:t xml:space="preserve"> 盈江县久林木材加工厂建设项目</w:t>
      </w:r>
      <w:r>
        <w:rPr>
          <w:rFonts w:hint="default" w:ascii="Times New Roman" w:hAnsi="Times New Roman" w:eastAsia="方正小标宋简体" w:cs="Times New Roman"/>
          <w:spacing w:val="-4"/>
          <w:sz w:val="44"/>
          <w:szCs w:val="44"/>
          <w:highlight w:val="none"/>
        </w:rPr>
        <w:t>环境影响报告表的批复</w:t>
      </w:r>
    </w:p>
    <w:p>
      <w:pPr>
        <w:spacing w:line="560" w:lineRule="exact"/>
        <w:rPr>
          <w:rFonts w:hint="default" w:ascii="Times New Roman" w:hAnsi="Times New Roman" w:eastAsia="方正仿宋_GBK" w:cs="Times New Roman"/>
          <w:sz w:val="32"/>
          <w:szCs w:val="32"/>
          <w:highlight w:val="none"/>
          <w:lang w:val="en-US" w:eastAsia="zh-CN"/>
        </w:rPr>
      </w:pPr>
    </w:p>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盈江县久林木材加工厂</w:t>
      </w:r>
      <w:r>
        <w:rPr>
          <w:rFonts w:hint="default" w:ascii="Times New Roman" w:hAnsi="Times New Roman" w:eastAsia="方正仿宋_GBK" w:cs="Times New Roman"/>
          <w:sz w:val="32"/>
          <w:szCs w:val="32"/>
          <w:highlight w:val="none"/>
        </w:rPr>
        <w:t>:</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你</w:t>
      </w:r>
      <w:r>
        <w:rPr>
          <w:rFonts w:hint="default" w:ascii="Times New Roman" w:hAnsi="Times New Roman" w:eastAsia="方正仿宋_GBK" w:cs="Times New Roman"/>
          <w:sz w:val="32"/>
          <w:szCs w:val="32"/>
          <w:highlight w:val="none"/>
          <w:lang w:eastAsia="zh-CN"/>
        </w:rPr>
        <w:t>厂</w:t>
      </w:r>
      <w:r>
        <w:rPr>
          <w:rFonts w:hint="default" w:ascii="Times New Roman" w:hAnsi="Times New Roman" w:eastAsia="方正仿宋_GBK" w:cs="Times New Roman"/>
          <w:sz w:val="32"/>
          <w:szCs w:val="32"/>
          <w:highlight w:val="none"/>
        </w:rPr>
        <w:t>报批的《</w:t>
      </w:r>
      <w:r>
        <w:rPr>
          <w:rFonts w:hint="default" w:ascii="Times New Roman" w:hAnsi="Times New Roman" w:eastAsia="方正仿宋_GBK" w:cs="Times New Roman"/>
          <w:sz w:val="32"/>
          <w:szCs w:val="32"/>
          <w:highlight w:val="none"/>
          <w:lang w:eastAsia="zh-CN"/>
        </w:rPr>
        <w:t>盈江县久林木材加工厂建设项目</w:t>
      </w:r>
      <w:r>
        <w:rPr>
          <w:rFonts w:hint="default" w:ascii="Times New Roman" w:hAnsi="Times New Roman" w:eastAsia="方正仿宋_GBK" w:cs="Times New Roman"/>
          <w:sz w:val="32"/>
          <w:szCs w:val="32"/>
          <w:highlight w:val="none"/>
        </w:rPr>
        <w:t>环境影响报告表》已收悉，经研究，现批复如下：</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一、项目基本情况</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项目位于</w:t>
      </w:r>
      <w:r>
        <w:rPr>
          <w:rFonts w:hint="default" w:ascii="Times New Roman" w:hAnsi="Times New Roman" w:eastAsia="方正仿宋_GBK" w:cs="Times New Roman"/>
          <w:sz w:val="32"/>
          <w:szCs w:val="32"/>
          <w:highlight w:val="none"/>
          <w:lang w:eastAsia="zh-CN"/>
        </w:rPr>
        <w:t>盈江县平原镇仕明工业园区</w:t>
      </w:r>
      <w:r>
        <w:rPr>
          <w:rFonts w:hint="default" w:ascii="Times New Roman" w:hAnsi="Times New Roman" w:eastAsia="方正仿宋_GBK" w:cs="Times New Roman"/>
          <w:sz w:val="32"/>
          <w:szCs w:val="32"/>
          <w:highlight w:val="none"/>
          <w:lang w:val="zh-CN" w:eastAsia="zh-CN"/>
        </w:rPr>
        <w:t>林产品加工产业</w:t>
      </w:r>
      <w:r>
        <w:rPr>
          <w:rFonts w:hint="default" w:ascii="Times New Roman" w:hAnsi="Times New Roman" w:eastAsia="方正仿宋_GBK" w:cs="Times New Roman"/>
          <w:sz w:val="32"/>
          <w:szCs w:val="32"/>
          <w:highlight w:val="none"/>
          <w:lang w:val="en-US" w:eastAsia="zh-CN"/>
        </w:rPr>
        <w:t>组团</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总</w:t>
      </w:r>
      <w:r>
        <w:rPr>
          <w:rFonts w:hint="default" w:ascii="Times New Roman" w:hAnsi="Times New Roman" w:eastAsia="方正仿宋_GBK" w:cs="Times New Roman"/>
          <w:sz w:val="32"/>
          <w:szCs w:val="32"/>
          <w:highlight w:val="none"/>
          <w:lang w:eastAsia="zh-CN"/>
        </w:rPr>
        <w:t>占地面积</w:t>
      </w:r>
      <w:r>
        <w:rPr>
          <w:rFonts w:hint="default" w:ascii="Times New Roman" w:hAnsi="Times New Roman" w:eastAsia="方正仿宋_GBK" w:cs="Times New Roman"/>
          <w:sz w:val="32"/>
          <w:szCs w:val="32"/>
          <w:highlight w:val="none"/>
          <w:lang w:val="en-US" w:eastAsia="zh-CN"/>
        </w:rPr>
        <w:t>10058.5平方米</w:t>
      </w:r>
      <w:r>
        <w:rPr>
          <w:rFonts w:hint="default" w:ascii="Times New Roman" w:hAnsi="Times New Roman" w:eastAsia="方正仿宋_GBK" w:cs="Times New Roman"/>
          <w:sz w:val="32"/>
          <w:szCs w:val="32"/>
          <w:highlight w:val="none"/>
          <w:lang w:eastAsia="zh-CN"/>
        </w:rPr>
        <w:t>，总建筑面积</w:t>
      </w:r>
      <w:r>
        <w:rPr>
          <w:rFonts w:hint="default" w:ascii="Times New Roman" w:hAnsi="Times New Roman" w:eastAsia="方正仿宋_GBK" w:cs="Times New Roman"/>
          <w:sz w:val="32"/>
          <w:szCs w:val="32"/>
          <w:highlight w:val="none"/>
          <w:lang w:val="en-US" w:eastAsia="zh-CN"/>
        </w:rPr>
        <w:t>3609.55</w:t>
      </w:r>
      <w:r>
        <w:rPr>
          <w:rFonts w:hint="default" w:ascii="Times New Roman" w:hAnsi="Times New Roman" w:eastAsia="方正仿宋_GBK" w:cs="Times New Roman"/>
          <w:sz w:val="32"/>
          <w:szCs w:val="32"/>
          <w:highlight w:val="none"/>
          <w:lang w:eastAsia="zh-CN"/>
        </w:rPr>
        <w:t>平方米</w:t>
      </w:r>
      <w:r>
        <w:rPr>
          <w:rFonts w:hint="default" w:ascii="Times New Roman" w:hAnsi="Times New Roman" w:eastAsia="方正仿宋_GBK" w:cs="Times New Roman"/>
          <w:sz w:val="32"/>
          <w:szCs w:val="32"/>
          <w:highlight w:val="none"/>
          <w:lang w:val="zh-CN" w:eastAsia="zh-CN"/>
        </w:rPr>
        <w:t>，主要</w:t>
      </w:r>
      <w:r>
        <w:rPr>
          <w:rFonts w:hint="default" w:ascii="Times New Roman" w:hAnsi="Times New Roman" w:eastAsia="方正仿宋_GBK" w:cs="Times New Roman"/>
          <w:sz w:val="32"/>
          <w:szCs w:val="32"/>
          <w:highlight w:val="none"/>
          <w:lang w:eastAsia="zh-CN"/>
        </w:rPr>
        <w:t>建设木材加工车间、</w:t>
      </w:r>
      <w:r>
        <w:rPr>
          <w:rFonts w:hint="default" w:ascii="Times New Roman" w:hAnsi="Times New Roman" w:eastAsia="方正仿宋_GBK" w:cs="Times New Roman"/>
          <w:sz w:val="32"/>
          <w:szCs w:val="32"/>
          <w:highlight w:val="none"/>
          <w:lang w:val="en-US" w:eastAsia="zh-CN"/>
        </w:rPr>
        <w:t>烘烤车间、</w:t>
      </w:r>
      <w:r>
        <w:rPr>
          <w:rFonts w:hint="default" w:ascii="Times New Roman" w:hAnsi="Times New Roman" w:eastAsia="方正仿宋_GBK" w:cs="Times New Roman"/>
          <w:sz w:val="32"/>
          <w:szCs w:val="32"/>
          <w:highlight w:val="none"/>
          <w:lang w:eastAsia="zh-CN"/>
        </w:rPr>
        <w:t>成品仓库、办公生活区及原材料堆场等，配套建设供电、给排水、环保工程等，设计生产规模为</w:t>
      </w:r>
      <w:r>
        <w:rPr>
          <w:rFonts w:hint="default" w:ascii="Times New Roman" w:hAnsi="Times New Roman" w:eastAsia="方正仿宋_GBK" w:cs="Times New Roman"/>
          <w:sz w:val="32"/>
          <w:szCs w:val="32"/>
          <w:highlight w:val="none"/>
          <w:lang w:val="en-US" w:eastAsia="zh-CN"/>
        </w:rPr>
        <w:t>年产1万立方米刨光板、指接板、集成材拼板。项目总投资4500万元，其中环保投资35.2万元，占总投资的0.78%。</w:t>
      </w:r>
    </w:p>
    <w:p>
      <w:pPr>
        <w:overflowPunct w:val="0"/>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w:t>
      </w:r>
      <w:r>
        <w:rPr>
          <w:rFonts w:hint="eastAsia" w:eastAsia="方正仿宋_GBK"/>
          <w:sz w:val="32"/>
          <w:szCs w:val="32"/>
          <w:highlight w:val="none"/>
        </w:rPr>
        <w:t>符合</w:t>
      </w:r>
      <w:r>
        <w:rPr>
          <w:rFonts w:hint="eastAsia" w:eastAsia="方正仿宋_GBK"/>
          <w:sz w:val="32"/>
          <w:szCs w:val="32"/>
          <w:highlight w:val="none"/>
          <w:lang w:eastAsia="zh-CN"/>
        </w:rPr>
        <w:t>盈江县工业园区总体规划</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default" w:ascii="Times New Roman" w:hAnsi="Times New Roman" w:eastAsia="方正仿宋_GBK" w:cs="Times New Roman"/>
          <w:sz w:val="32"/>
          <w:szCs w:val="32"/>
          <w:highlight w:val="none"/>
        </w:rPr>
        <w:t>我局同意该项目按照环境影报告表中的性质、地点、采用的环境保护对策、措施</w:t>
      </w:r>
      <w:r>
        <w:rPr>
          <w:rFonts w:hint="default" w:ascii="Times New Roman" w:hAnsi="Times New Roman" w:eastAsia="方正仿宋_GBK" w:cs="Times New Roman"/>
          <w:sz w:val="32"/>
          <w:szCs w:val="32"/>
          <w:highlight w:val="none"/>
          <w:lang w:eastAsia="zh-CN"/>
        </w:rPr>
        <w:t>进行建设</w:t>
      </w:r>
      <w:r>
        <w:rPr>
          <w:rFonts w:hint="default" w:ascii="Times New Roman" w:hAnsi="Times New Roman" w:eastAsia="方正仿宋_GBK" w:cs="Times New Roman"/>
          <w:sz w:val="32"/>
          <w:szCs w:val="32"/>
          <w:highlight w:val="none"/>
        </w:rPr>
        <w:t>。</w:t>
      </w:r>
    </w:p>
    <w:p>
      <w:pPr>
        <w:topLinePunct/>
        <w:spacing w:line="560" w:lineRule="exact"/>
        <w:ind w:firstLine="632"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二、项目</w:t>
      </w:r>
      <w:r>
        <w:rPr>
          <w:rFonts w:hint="default" w:ascii="Times New Roman" w:hAnsi="Times New Roman" w:eastAsia="方正仿宋_GBK" w:cs="Times New Roman"/>
          <w:spacing w:val="-2"/>
          <w:sz w:val="32"/>
          <w:szCs w:val="32"/>
          <w:highlight w:val="none"/>
          <w:lang w:eastAsia="zh-CN"/>
        </w:rPr>
        <w:t>建设和运营</w:t>
      </w:r>
      <w:r>
        <w:rPr>
          <w:rFonts w:hint="default" w:ascii="Times New Roman" w:hAnsi="Times New Roman" w:eastAsia="方正仿宋_GBK" w:cs="Times New Roman"/>
          <w:spacing w:val="-2"/>
          <w:sz w:val="32"/>
          <w:szCs w:val="32"/>
          <w:highlight w:val="none"/>
        </w:rPr>
        <w:t>过程中应重点做好的工作</w:t>
      </w:r>
    </w:p>
    <w:p>
      <w:pPr>
        <w:topLinePunct/>
        <w:spacing w:line="560" w:lineRule="exact"/>
        <w:ind w:firstLine="640"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㈠《</w:t>
      </w:r>
      <w:r>
        <w:rPr>
          <w:rFonts w:hint="default" w:ascii="Times New Roman" w:hAnsi="Times New Roman" w:eastAsia="方正仿宋_GBK" w:cs="Times New Roman"/>
          <w:sz w:val="32"/>
          <w:szCs w:val="32"/>
          <w:highlight w:val="none"/>
          <w:lang w:eastAsia="zh-CN"/>
        </w:rPr>
        <w:t>盈江县久林木材加工厂建设项目</w:t>
      </w:r>
      <w:r>
        <w:rPr>
          <w:rFonts w:hint="default" w:ascii="Times New Roman" w:hAnsi="Times New Roman" w:eastAsia="方正仿宋_GBK" w:cs="Times New Roman"/>
          <w:sz w:val="32"/>
          <w:szCs w:val="32"/>
          <w:highlight w:val="none"/>
        </w:rPr>
        <w:t>环境影响报告表》</w:t>
      </w:r>
      <w:r>
        <w:rPr>
          <w:rFonts w:hint="default" w:ascii="Times New Roman" w:hAnsi="Times New Roman" w:eastAsia="方正仿宋_GBK" w:cs="Times New Roman"/>
          <w:spacing w:val="-2"/>
          <w:sz w:val="32"/>
          <w:szCs w:val="32"/>
          <w:highlight w:val="none"/>
        </w:rPr>
        <w:t>作为该项目</w:t>
      </w:r>
      <w:r>
        <w:rPr>
          <w:rFonts w:hint="default" w:ascii="Times New Roman" w:hAnsi="Times New Roman" w:eastAsia="方正仿宋_GBK" w:cs="Times New Roman"/>
          <w:spacing w:val="-2"/>
          <w:sz w:val="32"/>
          <w:szCs w:val="32"/>
          <w:highlight w:val="none"/>
          <w:lang w:eastAsia="zh-CN"/>
        </w:rPr>
        <w:t>建设和运营期</w:t>
      </w:r>
      <w:r>
        <w:rPr>
          <w:rFonts w:hint="default" w:ascii="Times New Roman" w:hAnsi="Times New Roman" w:eastAsia="方正仿宋_GBK" w:cs="Times New Roman"/>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㈡</w:t>
      </w:r>
      <w:r>
        <w:rPr>
          <w:rFonts w:hint="default" w:ascii="Times New Roman" w:hAnsi="Times New Roman" w:eastAsia="方正仿宋_GBK" w:cs="Times New Roman"/>
          <w:bCs/>
          <w:sz w:val="32"/>
          <w:szCs w:val="32"/>
          <w:highlight w:val="none"/>
          <w:lang w:eastAsia="zh-CN"/>
        </w:rPr>
        <w:t>施工期必须加强管理。</w:t>
      </w:r>
      <w:r>
        <w:rPr>
          <w:rFonts w:hint="eastAsia" w:eastAsia="方正仿宋_GBK" w:cs="Times New Roman"/>
          <w:bCs/>
          <w:sz w:val="32"/>
          <w:szCs w:val="32"/>
          <w:highlight w:val="none"/>
          <w:lang w:eastAsia="zh-CN"/>
        </w:rPr>
        <w:t>施工</w:t>
      </w:r>
      <w:r>
        <w:rPr>
          <w:rFonts w:hint="default" w:ascii="Times New Roman" w:hAnsi="Times New Roman" w:eastAsia="方正仿宋_GBK" w:cs="Times New Roman"/>
          <w:bCs/>
          <w:sz w:val="32"/>
          <w:szCs w:val="32"/>
          <w:highlight w:val="none"/>
          <w:lang w:eastAsia="zh-CN"/>
        </w:rPr>
        <w:t>过程中采取不定期洒水降尘减少扬尘产生；施工场地设置临时沉淀池，施工废水经沉淀池处理后回用，严禁外排；合理安排施工时间，</w:t>
      </w:r>
      <w:r>
        <w:rPr>
          <w:rFonts w:hint="default" w:ascii="Times New Roman" w:hAnsi="Times New Roman" w:eastAsia="方正仿宋_GBK" w:cs="Times New Roman"/>
          <w:bCs/>
          <w:sz w:val="32"/>
          <w:szCs w:val="32"/>
          <w:highlight w:val="none"/>
        </w:rPr>
        <w:t>施工场界噪声执行《建筑施工场界环境噪声排放标准》（GB12523-2011）</w:t>
      </w:r>
      <w:r>
        <w:rPr>
          <w:rFonts w:hint="default" w:ascii="Times New Roman" w:hAnsi="Times New Roman" w:eastAsia="方正仿宋_GBK" w:cs="Times New Roman"/>
          <w:bCs/>
          <w:sz w:val="32"/>
          <w:szCs w:val="32"/>
          <w:highlight w:val="none"/>
          <w:lang w:eastAsia="zh-CN"/>
        </w:rPr>
        <w:t>；施工产生的建筑垃圾必须妥善堆放，可回收部分回收利用，不可回收部分</w:t>
      </w:r>
      <w:r>
        <w:rPr>
          <w:rFonts w:hint="default" w:ascii="Times New Roman" w:hAnsi="Times New Roman" w:eastAsia="方正仿宋_GBK" w:cs="Times New Roman"/>
          <w:bCs/>
          <w:sz w:val="32"/>
          <w:szCs w:val="32"/>
          <w:highlight w:val="none"/>
        </w:rPr>
        <w:t>及时清运至</w:t>
      </w:r>
      <w:r>
        <w:rPr>
          <w:rFonts w:hint="eastAsia" w:eastAsia="方正仿宋_GBK" w:cs="Times New Roman"/>
          <w:bCs/>
          <w:sz w:val="32"/>
          <w:szCs w:val="32"/>
          <w:highlight w:val="none"/>
          <w:lang w:eastAsia="zh-CN"/>
        </w:rPr>
        <w:t>住建部门</w:t>
      </w:r>
      <w:r>
        <w:rPr>
          <w:rFonts w:hint="default" w:ascii="Times New Roman" w:hAnsi="Times New Roman" w:eastAsia="方正仿宋_GBK" w:cs="Times New Roman"/>
          <w:bCs/>
          <w:sz w:val="32"/>
          <w:szCs w:val="32"/>
          <w:highlight w:val="none"/>
          <w:lang w:eastAsia="zh-CN"/>
        </w:rPr>
        <w:t>指定地点堆放，严禁随意丢弃；</w:t>
      </w:r>
      <w:r>
        <w:rPr>
          <w:rFonts w:hint="default" w:ascii="Times New Roman" w:hAnsi="Times New Roman" w:eastAsia="方正仿宋_GBK" w:cs="Times New Roman"/>
          <w:bCs/>
          <w:sz w:val="32"/>
          <w:szCs w:val="32"/>
          <w:highlight w:val="none"/>
        </w:rPr>
        <w:t>加强运输车辆管理，</w:t>
      </w:r>
      <w:r>
        <w:rPr>
          <w:rFonts w:hint="default" w:ascii="Times New Roman" w:hAnsi="Times New Roman" w:eastAsia="方正仿宋_GBK" w:cs="Times New Roman"/>
          <w:bCs/>
          <w:sz w:val="32"/>
          <w:szCs w:val="32"/>
          <w:highlight w:val="none"/>
          <w:lang w:eastAsia="zh-CN"/>
        </w:rPr>
        <w:t>物料运输必须加盖篷布，防止遗撒，车辆经过敏感点时必须减速慢行</w:t>
      </w:r>
      <w:r>
        <w:rPr>
          <w:rFonts w:hint="default" w:ascii="Times New Roman" w:hAnsi="Times New Roman" w:eastAsia="方正仿宋_GBK" w:cs="Times New Roman"/>
          <w:bCs/>
          <w:sz w:val="32"/>
          <w:szCs w:val="32"/>
          <w:highlight w:val="none"/>
        </w:rPr>
        <w:t>。</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㈢</w:t>
      </w:r>
      <w:r>
        <w:rPr>
          <w:rFonts w:hint="default" w:ascii="Times New Roman" w:hAnsi="Times New Roman" w:eastAsia="方正仿宋_GBK" w:cs="Times New Roman"/>
          <w:sz w:val="32"/>
          <w:szCs w:val="32"/>
          <w:highlight w:val="none"/>
          <w:lang w:eastAsia="zh-CN"/>
        </w:rPr>
        <w:t>项目必须实施雨污分流，配套建设化粪池、</w:t>
      </w:r>
      <w:r>
        <w:rPr>
          <w:rFonts w:hint="eastAsia" w:eastAsia="方正仿宋_GBK" w:cs="Times New Roman"/>
          <w:sz w:val="32"/>
          <w:szCs w:val="32"/>
          <w:highlight w:val="none"/>
          <w:lang w:eastAsia="zh-CN"/>
        </w:rPr>
        <w:t>油水分离器</w:t>
      </w:r>
      <w:r>
        <w:rPr>
          <w:rFonts w:hint="default" w:ascii="Times New Roman" w:hAnsi="Times New Roman" w:eastAsia="方正仿宋_GBK" w:cs="Times New Roman"/>
          <w:sz w:val="32"/>
          <w:szCs w:val="32"/>
          <w:highlight w:val="none"/>
          <w:lang w:eastAsia="zh-CN"/>
        </w:rPr>
        <w:t>等</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雨水经雨水沟收集后排入</w:t>
      </w:r>
      <w:r>
        <w:rPr>
          <w:rFonts w:hint="eastAsia" w:eastAsia="方正仿宋_GBK" w:cs="Times New Roman"/>
          <w:sz w:val="32"/>
          <w:szCs w:val="32"/>
          <w:highlight w:val="none"/>
          <w:lang w:eastAsia="zh-CN"/>
        </w:rPr>
        <w:t>园区雨水管网</w:t>
      </w:r>
      <w:r>
        <w:rPr>
          <w:rFonts w:hint="default" w:ascii="Times New Roman" w:hAnsi="Times New Roman" w:eastAsia="方正仿宋_GBK" w:cs="Times New Roman"/>
          <w:sz w:val="32"/>
          <w:szCs w:val="32"/>
          <w:highlight w:val="none"/>
          <w:lang w:eastAsia="zh-CN"/>
        </w:rPr>
        <w:t>；生活废水经</w:t>
      </w:r>
      <w:r>
        <w:rPr>
          <w:rFonts w:hint="eastAsia" w:eastAsia="方正仿宋_GBK" w:cs="Times New Roman"/>
          <w:sz w:val="32"/>
          <w:szCs w:val="32"/>
          <w:highlight w:val="none"/>
          <w:lang w:eastAsia="zh-CN"/>
        </w:rPr>
        <w:t>油水分离器</w:t>
      </w:r>
      <w:r>
        <w:rPr>
          <w:rFonts w:hint="default" w:ascii="Times New Roman" w:hAnsi="Times New Roman" w:eastAsia="方正仿宋_GBK" w:cs="Times New Roman"/>
          <w:sz w:val="32"/>
          <w:szCs w:val="32"/>
          <w:highlight w:val="none"/>
          <w:lang w:eastAsia="zh-CN"/>
        </w:rPr>
        <w:t>、化粪池处理后排入</w:t>
      </w:r>
      <w:r>
        <w:rPr>
          <w:rFonts w:hint="eastAsia" w:eastAsia="方正仿宋_GBK" w:cs="Times New Roman"/>
          <w:sz w:val="32"/>
          <w:szCs w:val="32"/>
          <w:highlight w:val="none"/>
          <w:lang w:eastAsia="zh-CN"/>
        </w:rPr>
        <w:t>园区污水管网，最终进入盈江县污水处理厂处理；烤窑水膜除尘器废水必须循环使用，严禁外排；项目区必须进行场地硬化。</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㈣</w:t>
      </w:r>
      <w:r>
        <w:rPr>
          <w:rFonts w:hint="default" w:ascii="Times New Roman" w:hAnsi="Times New Roman" w:eastAsia="方正仿宋_GBK" w:cs="Times New Roman"/>
          <w:sz w:val="32"/>
          <w:szCs w:val="32"/>
          <w:highlight w:val="none"/>
          <w:lang w:eastAsia="zh-CN"/>
        </w:rPr>
        <w:t>运营期加强大气污染防治，</w:t>
      </w:r>
      <w:r>
        <w:rPr>
          <w:rFonts w:hint="eastAsia" w:eastAsia="方正仿宋_GBK" w:cs="Times New Roman"/>
          <w:sz w:val="32"/>
          <w:szCs w:val="32"/>
          <w:highlight w:val="none"/>
          <w:lang w:eastAsia="zh-CN"/>
        </w:rPr>
        <w:t>项目烤窑必须配套建设水膜除尘器，烤窑烟气经处理后经</w:t>
      </w:r>
      <w:r>
        <w:rPr>
          <w:rFonts w:hint="eastAsia" w:eastAsia="方正仿宋_GBK" w:cs="Times New Roman"/>
          <w:sz w:val="32"/>
          <w:szCs w:val="32"/>
          <w:highlight w:val="none"/>
          <w:lang w:val="en-US" w:eastAsia="zh-CN"/>
        </w:rPr>
        <w:t>15米烟囱达标排放，其中烟尘、SO2污染物执行《工业炉窑大气污染物排放标准》（GB9078-1996），NO</w:t>
      </w:r>
      <w:r>
        <w:rPr>
          <w:rFonts w:hint="eastAsia" w:eastAsia="方正仿宋_GBK" w:cs="Times New Roman"/>
          <w:sz w:val="32"/>
          <w:szCs w:val="32"/>
          <w:highlight w:val="none"/>
          <w:vertAlign w:val="subscript"/>
          <w:lang w:val="en-US" w:eastAsia="zh-CN"/>
        </w:rPr>
        <w:t>X</w:t>
      </w:r>
      <w:r>
        <w:rPr>
          <w:rFonts w:hint="eastAsia" w:eastAsia="方正仿宋_GBK" w:cs="Times New Roman"/>
          <w:sz w:val="32"/>
          <w:szCs w:val="32"/>
          <w:highlight w:val="none"/>
          <w:lang w:val="en-US" w:eastAsia="zh-CN"/>
        </w:rPr>
        <w:t>执行《大气污染物综合排放标准》（GB16297-1996）中表2二级标准；木材加工过程产生的粉尘通过集气管统一吸入刨花房除尘室，经脉冲袋式除尘器处理后，通过15m高排气筒达标排放，执行《大气污染物综合排放标准》（GB16297-96）表2中污染物排放标准；其他产尘设备粉尘经5套双桶布袋式移动吸尘器处理后无组织排放；</w:t>
      </w:r>
      <w:r>
        <w:rPr>
          <w:rFonts w:hint="default" w:ascii="Times New Roman" w:hAnsi="Times New Roman" w:eastAsia="方正仿宋_GBK" w:cs="Times New Roman"/>
          <w:sz w:val="32"/>
          <w:szCs w:val="32"/>
          <w:highlight w:val="none"/>
          <w:lang w:val="en-US" w:eastAsia="zh-CN"/>
        </w:rPr>
        <w:t>食堂必须安装油烟净化设施，食堂油烟经处理后排放。</w:t>
      </w:r>
    </w:p>
    <w:p>
      <w:pPr>
        <w:pStyle w:val="4"/>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rPr>
        <w:t>㈤</w:t>
      </w:r>
      <w:r>
        <w:rPr>
          <w:rFonts w:hint="default" w:ascii="Times New Roman" w:hAnsi="Times New Roman" w:eastAsia="方正仿宋_GBK" w:cs="Times New Roman"/>
          <w:sz w:val="32"/>
          <w:szCs w:val="32"/>
          <w:highlight w:val="none"/>
          <w:lang w:eastAsia="zh-CN"/>
        </w:rPr>
        <w:t>运营期加强噪声污染防治，优先采用低噪声设备，对高噪声设备进行基础减震，减少噪声影响</w:t>
      </w:r>
      <w:r>
        <w:rPr>
          <w:rFonts w:hint="eastAsia" w:eastAsia="方正仿宋_GBK" w:cs="Times New Roman"/>
          <w:bCs/>
          <w:sz w:val="32"/>
          <w:szCs w:val="32"/>
          <w:highlight w:val="none"/>
          <w:lang w:eastAsia="zh-CN"/>
        </w:rPr>
        <w:t>；合理布置生产时间，午间、夜间禁止生产。</w:t>
      </w:r>
      <w:r>
        <w:rPr>
          <w:rFonts w:hint="default" w:ascii="Times New Roman" w:hAnsi="Times New Roman" w:eastAsia="方正仿宋_GBK" w:cs="Times New Roman"/>
          <w:bCs/>
          <w:sz w:val="32"/>
          <w:szCs w:val="32"/>
          <w:highlight w:val="none"/>
          <w:lang w:eastAsia="zh-CN"/>
        </w:rPr>
        <w:t>项目运营期噪声执行《工业企业厂界环境噪声排放标准》（GB12348-2008）2类标准；加强对运输车辆管理，途经敏感点时必须限速禁鸣</w:t>
      </w:r>
      <w:r>
        <w:rPr>
          <w:rFonts w:hint="default" w:ascii="Times New Roman" w:hAnsi="Times New Roman" w:eastAsia="方正仿宋_GBK" w:cs="Times New Roman"/>
          <w:sz w:val="32"/>
          <w:szCs w:val="32"/>
          <w:highlight w:val="none"/>
          <w:lang w:eastAsia="zh-CN"/>
        </w:rPr>
        <w:t>。</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㈥</w:t>
      </w:r>
      <w:r>
        <w:rPr>
          <w:rFonts w:hint="default" w:ascii="Times New Roman" w:hAnsi="Times New Roman" w:eastAsia="方正仿宋_GBK" w:cs="Times New Roman"/>
          <w:sz w:val="32"/>
          <w:szCs w:val="32"/>
          <w:highlight w:val="none"/>
          <w:lang w:eastAsia="zh-CN"/>
        </w:rPr>
        <w:t>加强固废管理，</w:t>
      </w:r>
      <w:r>
        <w:rPr>
          <w:rFonts w:hint="eastAsia" w:eastAsia="方正仿宋_GBK" w:cs="Times New Roman"/>
          <w:sz w:val="32"/>
          <w:szCs w:val="32"/>
          <w:highlight w:val="none"/>
          <w:lang w:eastAsia="zh-CN"/>
        </w:rPr>
        <w:t>边角废料及刨花、锯末、粉尘等生产废料严禁露天堆放，必须妥善安置，定期外售；定期清掏循环水池、化粪池，沉淀渣、化粪池污泥、烤窑灰渣等委托农户清运用于农田施肥；食堂泔水收集后，按照住建部门管理要求进行处置；生活垃圾集中收集后交环卫部门清运至盈江县垃圾填埋场处置。项目固废严禁乱堆、乱放。</w:t>
      </w:r>
    </w:p>
    <w:p>
      <w:pPr>
        <w:pStyle w:val="4"/>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lang w:eastAsia="zh-CN"/>
        </w:rPr>
        <w:t>㈦</w:t>
      </w:r>
      <w:r>
        <w:rPr>
          <w:rFonts w:hint="default" w:ascii="Times New Roman" w:hAnsi="Times New Roman" w:eastAsia="方正仿宋_GBK" w:cs="Times New Roman"/>
          <w:bCs/>
          <w:sz w:val="32"/>
          <w:szCs w:val="32"/>
          <w:highlight w:val="none"/>
          <w:lang w:val="en-US" w:eastAsia="zh-CN"/>
        </w:rPr>
        <w:t>项目运营期必须加强环境风险防范，严格按照GB18597-2001《危险废物贮存污染控制标准》要求，建设规范的危险废物暂存间暂存产生的废胶水桶</w:t>
      </w:r>
      <w:r>
        <w:rPr>
          <w:rFonts w:hint="eastAsia" w:eastAsia="方正仿宋_GBK" w:cs="Times New Roman"/>
          <w:bCs/>
          <w:sz w:val="32"/>
          <w:szCs w:val="32"/>
          <w:highlight w:val="none"/>
          <w:lang w:val="en-US" w:eastAsia="zh-CN"/>
        </w:rPr>
        <w:t>等危险废物</w:t>
      </w:r>
      <w:r>
        <w:rPr>
          <w:rFonts w:hint="default" w:ascii="Times New Roman" w:hAnsi="Times New Roman" w:eastAsia="方正仿宋_GBK" w:cs="Times New Roman"/>
          <w:bCs/>
          <w:sz w:val="32"/>
          <w:szCs w:val="32"/>
          <w:highlight w:val="none"/>
          <w:lang w:val="en-US" w:eastAsia="zh-CN"/>
        </w:rPr>
        <w:t>，并委托有资质的单位清运处置，建立危险废物转移台账，执行转移联单制度；建设单位必须按照《突发环境事件应急预案管理办法》（部令第34号），编制突发环境应急预案，报生态环境主管部门备案。</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㈧本项目污染物排放总量控制指标</w:t>
      </w:r>
      <w:r>
        <w:rPr>
          <w:rFonts w:hint="eastAsia" w:eastAsia="方正仿宋_GBK" w:cs="Times New Roman"/>
          <w:sz w:val="32"/>
          <w:szCs w:val="32"/>
          <w:highlight w:val="none"/>
          <w:lang w:eastAsia="zh-CN"/>
        </w:rPr>
        <w:t>为：</w:t>
      </w:r>
      <w:r>
        <w:rPr>
          <w:rFonts w:hint="eastAsia" w:eastAsia="方正仿宋_GBK" w:cs="Times New Roman"/>
          <w:sz w:val="32"/>
          <w:szCs w:val="32"/>
          <w:highlight w:val="none"/>
          <w:lang w:val="en-US" w:eastAsia="zh-CN"/>
        </w:rPr>
        <w:t>二氧化硫0.408吨每年，</w:t>
      </w:r>
      <w:r>
        <w:rPr>
          <w:rFonts w:hint="eastAsia" w:eastAsia="方正仿宋_GBK" w:cs="Times New Roman"/>
          <w:sz w:val="32"/>
          <w:szCs w:val="32"/>
          <w:highlight w:val="none"/>
          <w:lang w:eastAsia="zh-CN"/>
        </w:rPr>
        <w:t>氮氧化物</w:t>
      </w:r>
      <w:r>
        <w:rPr>
          <w:rFonts w:hint="eastAsia" w:eastAsia="方正仿宋_GBK" w:cs="Times New Roman"/>
          <w:sz w:val="32"/>
          <w:szCs w:val="32"/>
          <w:highlight w:val="none"/>
          <w:lang w:val="en-US" w:eastAsia="zh-CN"/>
        </w:rPr>
        <w:t>1.224</w:t>
      </w:r>
      <w:r>
        <w:rPr>
          <w:rFonts w:hint="eastAsia" w:eastAsia="方正仿宋_GBK" w:cs="Times New Roman"/>
          <w:sz w:val="32"/>
          <w:szCs w:val="32"/>
          <w:highlight w:val="none"/>
          <w:lang w:eastAsia="zh-CN"/>
        </w:rPr>
        <w:t>吨每年</w:t>
      </w:r>
      <w:r>
        <w:rPr>
          <w:rFonts w:hint="default" w:ascii="Times New Roman" w:hAnsi="Times New Roman" w:eastAsia="方正仿宋_GBK" w:cs="Times New Roman"/>
          <w:sz w:val="32"/>
          <w:szCs w:val="32"/>
          <w:highlight w:val="none"/>
          <w:lang w:eastAsia="zh-CN"/>
        </w:rPr>
        <w:t>。</w:t>
      </w:r>
    </w:p>
    <w:p>
      <w:pPr>
        <w:numPr>
          <w:ilvl w:val="0"/>
          <w:numId w:val="1"/>
        </w:num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加强管理，健全机构，严格执行环保“三同时”制度，积极配合环境保护行政主管部门的环境监察工作。项目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后，及时报告我局，并按规定自主开展竣工环保验收，验收合格后方可正式投入运行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德宏州生态环境局盈江分局</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201</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p>
    <w:p>
      <w:pPr>
        <w:spacing w:line="540" w:lineRule="exact"/>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Bdr>
          <w:top w:val="single" w:color="auto" w:sz="4" w:space="1"/>
          <w:bottom w:val="single" w:color="auto" w:sz="4" w:space="1"/>
        </w:pBdr>
        <w:rPr>
          <w:rFonts w:hint="default" w:ascii="Times New Roman" w:hAnsi="Times New Roman" w:eastAsia="方正仿宋_GBK" w:cs="Times New Roman"/>
          <w:spacing w:val="-4"/>
          <w:sz w:val="32"/>
          <w:szCs w:val="32"/>
          <w:u w:val="single"/>
        </w:rPr>
      </w:pPr>
      <w:r>
        <w:rPr>
          <w:rFonts w:hint="default" w:ascii="Times New Roman" w:hAnsi="Times New Roman" w:eastAsia="方正仿宋_GBK" w:cs="Times New Roman"/>
          <w:sz w:val="28"/>
          <w:szCs w:val="28"/>
          <w:lang w:eastAsia="zh-CN"/>
        </w:rPr>
        <w:t>德宏州生态环境局</w:t>
      </w:r>
      <w:r>
        <w:rPr>
          <w:rFonts w:hint="default" w:ascii="Times New Roman" w:hAnsi="Times New Roman" w:eastAsia="方正仿宋_GBK" w:cs="Times New Roman"/>
          <w:sz w:val="28"/>
          <w:szCs w:val="28"/>
        </w:rPr>
        <w:t>盈江</w:t>
      </w:r>
      <w:r>
        <w:rPr>
          <w:rFonts w:hint="default"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 xml:space="preserve">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201</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C9E10F5"/>
    <w:rsid w:val="0F212AFA"/>
    <w:rsid w:val="13976BBF"/>
    <w:rsid w:val="14A73517"/>
    <w:rsid w:val="1ABC497B"/>
    <w:rsid w:val="222A1595"/>
    <w:rsid w:val="24066D77"/>
    <w:rsid w:val="2607286A"/>
    <w:rsid w:val="26C82928"/>
    <w:rsid w:val="28546A26"/>
    <w:rsid w:val="29A95A02"/>
    <w:rsid w:val="2A19064E"/>
    <w:rsid w:val="2BE72BFB"/>
    <w:rsid w:val="2F545078"/>
    <w:rsid w:val="30C66626"/>
    <w:rsid w:val="33363FD7"/>
    <w:rsid w:val="39212F0D"/>
    <w:rsid w:val="3DBB54A0"/>
    <w:rsid w:val="454324CA"/>
    <w:rsid w:val="45440E54"/>
    <w:rsid w:val="486552BA"/>
    <w:rsid w:val="4A760509"/>
    <w:rsid w:val="4AAF227A"/>
    <w:rsid w:val="4C666170"/>
    <w:rsid w:val="4C7B786F"/>
    <w:rsid w:val="4E1A3BA0"/>
    <w:rsid w:val="51E53FAB"/>
    <w:rsid w:val="53C42D61"/>
    <w:rsid w:val="55295CFC"/>
    <w:rsid w:val="599F1913"/>
    <w:rsid w:val="5A247C92"/>
    <w:rsid w:val="64C24B14"/>
    <w:rsid w:val="72F27725"/>
    <w:rsid w:val="73B303ED"/>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2019-05-20T09:05:00Z</cp:lastPrinted>
  <dcterms:modified xsi:type="dcterms:W3CDTF">2020-11-13T02:25:50Z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