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highlight w:val="none"/>
        </w:rPr>
      </w:pPr>
    </w:p>
    <w:p>
      <w:pPr>
        <w:rPr>
          <w:color w:val="FF0000"/>
          <w:sz w:val="32"/>
          <w:szCs w:val="32"/>
          <w:highlight w:val="none"/>
        </w:rPr>
      </w:pPr>
    </w:p>
    <w:p>
      <w:pPr>
        <w:spacing w:line="600" w:lineRule="exact"/>
        <w:ind w:firstLine="105" w:firstLineChars="50"/>
        <w:rPr>
          <w:highlight w:val="none"/>
        </w:rPr>
      </w:pPr>
    </w:p>
    <w:p>
      <w:pPr>
        <w:jc w:val="center"/>
        <w:rPr>
          <w:rFonts w:eastAsia="方正仿宋_GBK"/>
          <w:sz w:val="32"/>
          <w:szCs w:val="32"/>
          <w:highlight w:val="none"/>
        </w:rPr>
      </w:pPr>
      <w:r>
        <w:rPr>
          <w:rFonts w:hint="eastAsia" w:eastAsia="方正仿宋_GBK"/>
          <w:sz w:val="32"/>
          <w:szCs w:val="32"/>
          <w:highlight w:val="none"/>
          <w:lang w:eastAsia="zh-CN"/>
        </w:rPr>
        <w:t>德环盈复</w:t>
      </w:r>
      <w:r>
        <w:rPr>
          <w:rFonts w:hint="eastAsia" w:eastAsia="方正仿宋_GBK"/>
          <w:sz w:val="32"/>
          <w:szCs w:val="32"/>
          <w:highlight w:val="none"/>
        </w:rPr>
        <w:t>〔</w:t>
      </w:r>
      <w:r>
        <w:rPr>
          <w:rFonts w:eastAsia="方正仿宋_GBK"/>
          <w:sz w:val="32"/>
          <w:szCs w:val="32"/>
          <w:highlight w:val="none"/>
        </w:rPr>
        <w:t>201</w:t>
      </w:r>
      <w:r>
        <w:rPr>
          <w:rFonts w:hint="eastAsia" w:eastAsia="方正仿宋_GBK"/>
          <w:sz w:val="32"/>
          <w:szCs w:val="32"/>
          <w:highlight w:val="none"/>
          <w:lang w:val="en-US" w:eastAsia="zh-CN"/>
        </w:rPr>
        <w:t>9</w:t>
      </w:r>
      <w:r>
        <w:rPr>
          <w:rFonts w:hint="eastAsia" w:eastAsia="方正仿宋_GBK"/>
          <w:sz w:val="32"/>
          <w:szCs w:val="32"/>
          <w:highlight w:val="none"/>
        </w:rPr>
        <w:t>〕</w:t>
      </w:r>
      <w:r>
        <w:rPr>
          <w:rFonts w:hint="eastAsia" w:eastAsia="方正仿宋_GBK"/>
          <w:sz w:val="32"/>
          <w:szCs w:val="32"/>
          <w:highlight w:val="none"/>
          <w:lang w:val="en-US" w:eastAsia="zh-CN"/>
        </w:rPr>
        <w:t>37</w:t>
      </w:r>
      <w:r>
        <w:rPr>
          <w:rFonts w:hint="eastAsia" w:eastAsia="方正仿宋_GBK"/>
          <w:sz w:val="32"/>
          <w:szCs w:val="32"/>
          <w:highlight w:val="none"/>
        </w:rPr>
        <w:t>号</w:t>
      </w:r>
    </w:p>
    <w:p>
      <w:pPr>
        <w:tabs>
          <w:tab w:val="left" w:pos="5435"/>
        </w:tabs>
        <w:spacing w:line="460" w:lineRule="exact"/>
        <w:rPr>
          <w:rFonts w:eastAsia="仿宋_GB2312"/>
          <w:sz w:val="32"/>
          <w:szCs w:val="32"/>
          <w:highlight w:val="none"/>
        </w:rPr>
      </w:pPr>
      <w:r>
        <w:rPr>
          <w:highlight w:val="none"/>
        </w:rPr>
        <w:pict>
          <v:line id="直线 16" o:spid="_x0000_s1027" o:spt="20" style="position:absolute;left:0pt;flip:y;margin-left:0.75pt;margin-top:4.5pt;height:1.4pt;width:428.75pt;z-index:251657216;mso-width-relative:page;mso-height-relative:page;" filled="t" stroked="t" coordsize="21600,21600">
            <v:path arrowok="t"/>
            <v:fill on="t" focussize="0,0"/>
            <v:stroke color="#FF0000"/>
            <v:imagedata o:title=""/>
            <o:lock v:ext="edit"/>
          </v:line>
        </w:pic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r>
        <w:rPr>
          <w:rFonts w:hint="eastAsia" w:ascii="方正小标宋简体" w:eastAsia="方正小标宋简体"/>
          <w:spacing w:val="-4"/>
          <w:sz w:val="44"/>
          <w:szCs w:val="44"/>
          <w:highlight w:val="none"/>
          <w:lang w:eastAsia="zh-CN"/>
        </w:rPr>
        <w:t>盈江县“芙蓉花苑”建设项目建设项目</w:t>
      </w:r>
      <w:r>
        <w:rPr>
          <w:rFonts w:hint="eastAsia" w:ascii="方正小标宋简体" w:eastAsia="方正小标宋简体"/>
          <w:spacing w:val="-4"/>
          <w:sz w:val="44"/>
          <w:szCs w:val="44"/>
          <w:highlight w:val="none"/>
        </w:rPr>
        <w:t>环境影响报告表的批复</w:t>
      </w:r>
    </w:p>
    <w:p>
      <w:pPr>
        <w:rPr>
          <w:sz w:val="32"/>
          <w:szCs w:val="32"/>
          <w:highlight w:val="none"/>
        </w:rPr>
      </w:pPr>
    </w:p>
    <w:p>
      <w:pPr>
        <w:spacing w:line="560" w:lineRule="exact"/>
        <w:rPr>
          <w:rFonts w:eastAsia="方正仿宋_GBK"/>
          <w:sz w:val="32"/>
          <w:szCs w:val="32"/>
          <w:highlight w:val="none"/>
        </w:rPr>
      </w:pPr>
      <w:r>
        <w:rPr>
          <w:rFonts w:hint="eastAsia" w:eastAsia="方正仿宋_GBK"/>
          <w:sz w:val="32"/>
          <w:szCs w:val="32"/>
          <w:highlight w:val="none"/>
        </w:rPr>
        <w:t>云南裕华建设投资有限公司</w:t>
      </w:r>
      <w:r>
        <w:rPr>
          <w:rFonts w:eastAsia="方正仿宋_GBK"/>
          <w:sz w:val="32"/>
          <w:szCs w:val="32"/>
          <w:highlight w:val="none"/>
        </w:rPr>
        <w:t>:</w:t>
      </w:r>
    </w:p>
    <w:p>
      <w:pPr>
        <w:spacing w:line="560" w:lineRule="exact"/>
        <w:ind w:firstLine="640" w:firstLineChars="200"/>
        <w:rPr>
          <w:rFonts w:eastAsia="方正仿宋_GBK"/>
          <w:sz w:val="32"/>
          <w:szCs w:val="32"/>
          <w:highlight w:val="none"/>
        </w:rPr>
      </w:pPr>
      <w:r>
        <w:rPr>
          <w:rFonts w:eastAsia="方正仿宋_GBK"/>
          <w:sz w:val="32"/>
          <w:szCs w:val="32"/>
          <w:highlight w:val="none"/>
        </w:rPr>
        <w:t>你公司报批的《</w:t>
      </w:r>
      <w:r>
        <w:rPr>
          <w:rFonts w:hint="eastAsia" w:eastAsia="方正仿宋_GBK"/>
          <w:sz w:val="32"/>
          <w:szCs w:val="32"/>
          <w:highlight w:val="none"/>
          <w:lang w:eastAsia="zh-CN"/>
        </w:rPr>
        <w:t>盈江县“芙蓉花苑”建设项目建设项目</w:t>
      </w:r>
      <w:r>
        <w:rPr>
          <w:rFonts w:eastAsia="方正仿宋_GBK"/>
          <w:sz w:val="32"/>
          <w:szCs w:val="32"/>
          <w:highlight w:val="none"/>
        </w:rPr>
        <w:t>环境影响报告表》</w:t>
      </w:r>
      <w:r>
        <w:rPr>
          <w:rFonts w:hint="eastAsia" w:eastAsia="方正仿宋_GBK"/>
          <w:sz w:val="32"/>
          <w:szCs w:val="32"/>
          <w:highlight w:val="none"/>
        </w:rPr>
        <w:t>已收悉</w:t>
      </w:r>
      <w:r>
        <w:rPr>
          <w:rFonts w:eastAsia="方正仿宋_GBK"/>
          <w:sz w:val="32"/>
          <w:szCs w:val="32"/>
          <w:highlight w:val="none"/>
        </w:rPr>
        <w:t>，经研究，现批复如下：</w:t>
      </w:r>
    </w:p>
    <w:p>
      <w:pPr>
        <w:spacing w:line="560" w:lineRule="exact"/>
        <w:ind w:firstLine="640" w:firstLineChars="200"/>
        <w:rPr>
          <w:rFonts w:eastAsia="方正仿宋_GBK"/>
          <w:sz w:val="32"/>
          <w:szCs w:val="32"/>
          <w:highlight w:val="none"/>
        </w:rPr>
      </w:pPr>
      <w:r>
        <w:rPr>
          <w:rFonts w:eastAsia="方正仿宋_GBK"/>
          <w:sz w:val="32"/>
          <w:szCs w:val="32"/>
          <w:highlight w:val="none"/>
        </w:rPr>
        <w:t>一、项目基本情况</w:t>
      </w:r>
    </w:p>
    <w:p>
      <w:pPr>
        <w:spacing w:line="560" w:lineRule="exact"/>
        <w:ind w:firstLine="640" w:firstLineChars="200"/>
        <w:rPr>
          <w:rFonts w:hint="eastAsia" w:eastAsia="方正仿宋_GBK"/>
          <w:sz w:val="32"/>
          <w:szCs w:val="32"/>
          <w:highlight w:val="none"/>
          <w:lang w:eastAsia="zh-CN"/>
        </w:rPr>
      </w:pPr>
      <w:r>
        <w:rPr>
          <w:rFonts w:eastAsia="方正仿宋_GBK"/>
          <w:sz w:val="32"/>
          <w:szCs w:val="32"/>
          <w:highlight w:val="none"/>
        </w:rPr>
        <w:t>项目</w:t>
      </w:r>
      <w:r>
        <w:rPr>
          <w:rFonts w:hint="eastAsia" w:eastAsia="方正仿宋_GBK"/>
          <w:sz w:val="32"/>
          <w:szCs w:val="32"/>
          <w:highlight w:val="none"/>
        </w:rPr>
        <w:t>位于</w:t>
      </w:r>
      <w:r>
        <w:rPr>
          <w:rFonts w:hint="eastAsia" w:eastAsia="方正仿宋_GBK"/>
          <w:sz w:val="32"/>
          <w:szCs w:val="32"/>
          <w:highlight w:val="none"/>
          <w:lang w:val="en-US" w:eastAsia="zh-CN"/>
        </w:rPr>
        <w:t>盈江县平原镇</w:t>
      </w:r>
      <w:r>
        <w:rPr>
          <w:rFonts w:hint="eastAsia" w:eastAsia="方正仿宋_GBK"/>
          <w:sz w:val="32"/>
          <w:szCs w:val="32"/>
          <w:highlight w:val="none"/>
          <w:lang w:eastAsia="zh-CN"/>
        </w:rPr>
        <w:t>允燕大道北边，3号市政道路南侧，总占地面积:34309平方米，总建筑面积: 38259.89平方米，分二期开发，其中：一期工程(A区、C区、D区)用地面积27049平方米，建筑面积33125.93平方米；二期工程(B区)用地面积7260平方米，建筑面积5133.96平方米。</w:t>
      </w:r>
      <w:r>
        <w:rPr>
          <w:rFonts w:hint="default" w:eastAsia="方正仿宋_GBK"/>
          <w:sz w:val="32"/>
          <w:szCs w:val="32"/>
          <w:highlight w:val="none"/>
        </w:rPr>
        <w:t>项目</w:t>
      </w:r>
      <w:r>
        <w:rPr>
          <w:rFonts w:hint="eastAsia" w:eastAsia="方正仿宋_GBK"/>
          <w:sz w:val="32"/>
          <w:szCs w:val="32"/>
          <w:highlight w:val="none"/>
          <w:lang w:eastAsia="zh-CN"/>
        </w:rPr>
        <w:t>共建设商住综合楼8栋、住宅楼6栋、综合楼9栋和门卫室1栋，配套建设其他辅助设施</w:t>
      </w:r>
      <w:r>
        <w:rPr>
          <w:rFonts w:hint="eastAsia" w:eastAsia="方正仿宋_GBK"/>
          <w:sz w:val="32"/>
          <w:szCs w:val="32"/>
          <w:highlight w:val="none"/>
          <w:lang w:val="en-US" w:eastAsia="zh-CN"/>
        </w:rPr>
        <w:t>。项目总投资13520万元，其中环保投200.5万元，占总投资的1.48%。项目于2019年3月已经开工建设，目前一期工程A区、C区主体已经完工，正在进行外墙粉刷；一期工程D区、二期工程B区尚未动工。</w:t>
      </w:r>
    </w:p>
    <w:p>
      <w:pPr>
        <w:overflowPunct w:val="0"/>
        <w:topLinePunct/>
        <w:spacing w:line="560" w:lineRule="exact"/>
        <w:ind w:firstLine="640" w:firstLineChars="200"/>
        <w:rPr>
          <w:rFonts w:hint="eastAsia" w:eastAsia="方正仿宋_GBK"/>
          <w:color w:val="0000FF"/>
          <w:sz w:val="32"/>
          <w:lang w:val="en-US" w:eastAsia="zh-CN"/>
        </w:rPr>
      </w:pPr>
      <w:r>
        <w:rPr>
          <w:rFonts w:hint="default" w:ascii="Times New Roman" w:hAnsi="Times New Roman" w:eastAsia="方正仿宋_GBK" w:cs="Times New Roman"/>
          <w:sz w:val="32"/>
          <w:szCs w:val="32"/>
          <w:highlight w:val="none"/>
          <w:lang w:eastAsia="zh-CN"/>
        </w:rPr>
        <w:t>本</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bCs/>
          <w:sz w:val="30"/>
          <w:szCs w:val="30"/>
          <w:lang w:val="en-US" w:eastAsia="zh-CN"/>
        </w:rPr>
        <w:t>符合盈江县县城总体规划，符合德宏州盈江县地震灾后恢复重建土地利用专项规划（2011-2015年），已取得建设工程规划许可证、建设用地规划许可证，不涉及云南省生态保护红线。根盈江县林业和草原局关于“芙蓉花苑”、盈江县芙蓉雅居、盈江阳光怡园、裕华·芙蓉铭居商业地产项目建设位置的意见</w:t>
      </w:r>
      <w:r>
        <w:rPr>
          <w:rFonts w:hint="eastAsia" w:ascii="Times New Roman" w:hAnsi="Times New Roman" w:eastAsia="方正仿宋_GBK" w:cs="Times New Roman"/>
          <w:bCs/>
          <w:sz w:val="30"/>
          <w:szCs w:val="30"/>
          <w:lang w:val="en-US" w:eastAsia="zh-CN"/>
        </w:rPr>
        <w:t>:</w:t>
      </w:r>
      <w:r>
        <w:rPr>
          <w:rFonts w:hint="default" w:ascii="Times New Roman" w:hAnsi="Times New Roman" w:eastAsia="方正仿宋_GBK" w:cs="Times New Roman"/>
          <w:bCs/>
          <w:sz w:val="30"/>
          <w:szCs w:val="30"/>
          <w:lang w:val="en-US" w:eastAsia="zh-CN"/>
        </w:rPr>
        <w:t>项目建设范围不在瑞丽江—大盈江国家级风景名胜区一级核心区禁止建设范围内，属于瑞丽江—大盈江国家级风景名胜区</w:t>
      </w:r>
      <w:r>
        <w:rPr>
          <w:rStyle w:val="17"/>
          <w:rFonts w:hint="eastAsia" w:ascii="Wingdings" w:hAnsi="Wingdings" w:eastAsia="方正仿宋_GBK"/>
          <w:sz w:val="32"/>
        </w:rPr>
        <w:t>（以下简称</w:t>
      </w:r>
      <w:r>
        <w:rPr>
          <w:rStyle w:val="17"/>
          <w:rFonts w:hint="default" w:ascii="Wingdings" w:hAnsi="Wingdings" w:eastAsia="方正仿宋_GBK"/>
          <w:sz w:val="32"/>
        </w:rPr>
        <w:t>“</w:t>
      </w:r>
      <w:r>
        <w:rPr>
          <w:rStyle w:val="17"/>
          <w:rFonts w:hint="eastAsia" w:ascii="Wingdings" w:hAnsi="Wingdings" w:eastAsia="方正仿宋_GBK"/>
          <w:sz w:val="32"/>
        </w:rPr>
        <w:t>两江风景区</w:t>
      </w:r>
      <w:r>
        <w:rPr>
          <w:rStyle w:val="17"/>
          <w:rFonts w:hint="default" w:ascii="Wingdings" w:hAnsi="Wingdings" w:eastAsia="方正仿宋_GBK"/>
          <w:sz w:val="32"/>
        </w:rPr>
        <w:t>”</w:t>
      </w:r>
      <w:r>
        <w:rPr>
          <w:rStyle w:val="17"/>
          <w:rFonts w:hint="eastAsia" w:ascii="Wingdings" w:hAnsi="Wingdings" w:eastAsia="方正仿宋_GBK"/>
          <w:sz w:val="32"/>
        </w:rPr>
        <w:t>）</w:t>
      </w:r>
      <w:r>
        <w:rPr>
          <w:rFonts w:hint="default" w:ascii="Times New Roman" w:hAnsi="Times New Roman" w:eastAsia="方正仿宋_GBK" w:cs="Times New Roman"/>
          <w:bCs/>
          <w:sz w:val="30"/>
          <w:szCs w:val="30"/>
          <w:lang w:val="en-US" w:eastAsia="zh-CN"/>
        </w:rPr>
        <w:t>二级区</w:t>
      </w:r>
      <w:r>
        <w:rPr>
          <w:rFonts w:hint="eastAsia" w:eastAsia="方正仿宋_GBK" w:cs="Times New Roman"/>
          <w:bCs/>
          <w:sz w:val="30"/>
          <w:szCs w:val="30"/>
          <w:lang w:val="en-US" w:eastAsia="zh-CN"/>
        </w:rPr>
        <w:t>。依</w:t>
      </w:r>
      <w:r>
        <w:rPr>
          <w:rFonts w:hint="default" w:ascii="Times New Roman" w:hAnsi="Times New Roman" w:eastAsia="方正仿宋_GBK" w:cs="Times New Roman"/>
          <w:bCs/>
          <w:sz w:val="30"/>
          <w:szCs w:val="30"/>
          <w:lang w:val="en-US" w:eastAsia="zh-CN"/>
        </w:rPr>
        <w:t>据《盈江县“芙蓉花苑”、盈江县芙蓉雅居、盈江阳光怡园、裕华·芙蓉铭居生态影响评估报告》评估结论</w:t>
      </w:r>
      <w:r>
        <w:rPr>
          <w:rFonts w:hint="eastAsia" w:eastAsia="方正仿宋_GBK" w:cs="Times New Roman"/>
          <w:bCs/>
          <w:sz w:val="30"/>
          <w:szCs w:val="30"/>
          <w:lang w:val="en-US" w:eastAsia="zh-CN"/>
        </w:rPr>
        <w:t>及专家评审意见：</w:t>
      </w:r>
      <w:r>
        <w:rPr>
          <w:rFonts w:hint="eastAsia" w:eastAsia="方正仿宋_GBK"/>
          <w:sz w:val="32"/>
        </w:rPr>
        <w:t>从物种数量、植被类型、土地利用类型、景观协调性和景区功能完整性等方面分析，与</w:t>
      </w:r>
      <w:r>
        <w:rPr>
          <w:rStyle w:val="17"/>
          <w:rFonts w:hint="eastAsia" w:ascii="Wingdings" w:hAnsi="Wingdings" w:eastAsia="方正仿宋_GBK"/>
          <w:sz w:val="32"/>
        </w:rPr>
        <w:t>会专家一致认为，项目建设对</w:t>
      </w:r>
      <w:r>
        <w:rPr>
          <w:rStyle w:val="17"/>
          <w:rFonts w:hint="eastAsia" w:ascii="Wingdings" w:hAnsi="Wingdings" w:eastAsia="方正仿宋_GBK"/>
          <w:sz w:val="32"/>
          <w:lang w:eastAsia="zh-CN"/>
        </w:rPr>
        <w:t>“</w:t>
      </w:r>
      <w:r>
        <w:rPr>
          <w:rStyle w:val="17"/>
          <w:rFonts w:hint="eastAsia" w:ascii="Wingdings" w:hAnsi="Wingdings" w:eastAsia="方正仿宋_GBK"/>
          <w:sz w:val="32"/>
        </w:rPr>
        <w:t>两江风景区</w:t>
      </w:r>
      <w:r>
        <w:rPr>
          <w:rStyle w:val="17"/>
          <w:rFonts w:hint="eastAsia" w:ascii="Wingdings" w:hAnsi="Wingdings" w:eastAsia="方正仿宋_GBK"/>
          <w:sz w:val="32"/>
          <w:lang w:eastAsia="zh-CN"/>
        </w:rPr>
        <w:t>”</w:t>
      </w:r>
      <w:r>
        <w:rPr>
          <w:rStyle w:val="17"/>
          <w:rFonts w:hint="eastAsia" w:ascii="Wingdings" w:hAnsi="Wingdings" w:eastAsia="方正仿宋_GBK"/>
          <w:sz w:val="32"/>
        </w:rPr>
        <w:t>生态环境及生物多样性造成的破坏程度轻微。</w:t>
      </w:r>
      <w:r>
        <w:rPr>
          <w:rFonts w:hint="eastAsia" w:eastAsia="方正仿宋_GBK"/>
          <w:sz w:val="32"/>
          <w:lang w:val="en-US" w:eastAsia="zh-CN"/>
        </w:rPr>
        <w:t>2019年12月2日，</w:t>
      </w:r>
      <w:r>
        <w:rPr>
          <w:rStyle w:val="17"/>
          <w:rFonts w:hint="eastAsia" w:ascii="Wingdings" w:hAnsi="Wingdings" w:eastAsia="方正仿宋_GBK"/>
          <w:sz w:val="32"/>
          <w:lang w:eastAsia="zh-CN"/>
        </w:rPr>
        <w:t>县人民政府组织</w:t>
      </w:r>
      <w:r>
        <w:rPr>
          <w:rFonts w:hint="eastAsia" w:eastAsia="方正仿宋_GBK"/>
          <w:sz w:val="32"/>
        </w:rPr>
        <w:t>县发展和改革局、</w:t>
      </w:r>
      <w:r>
        <w:rPr>
          <w:rFonts w:hint="eastAsia" w:eastAsia="方正仿宋_GBK"/>
          <w:sz w:val="32"/>
          <w:lang w:eastAsia="zh-CN"/>
        </w:rPr>
        <w:t>县</w:t>
      </w:r>
      <w:r>
        <w:rPr>
          <w:rFonts w:hint="eastAsia" w:eastAsia="方正仿宋_GBK"/>
          <w:sz w:val="32"/>
        </w:rPr>
        <w:t>自然资源局、</w:t>
      </w:r>
      <w:r>
        <w:rPr>
          <w:rFonts w:hint="eastAsia" w:eastAsia="方正仿宋_GBK"/>
          <w:sz w:val="32"/>
          <w:lang w:eastAsia="zh-CN"/>
        </w:rPr>
        <w:t>县</w:t>
      </w:r>
      <w:r>
        <w:rPr>
          <w:rFonts w:hint="eastAsia" w:eastAsia="方正仿宋_GBK"/>
          <w:sz w:val="32"/>
        </w:rPr>
        <w:t>住房和城乡建设局、</w:t>
      </w:r>
      <w:r>
        <w:rPr>
          <w:rFonts w:hint="eastAsia" w:eastAsia="方正仿宋_GBK"/>
          <w:sz w:val="32"/>
          <w:lang w:eastAsia="zh-CN"/>
        </w:rPr>
        <w:t>县</w:t>
      </w:r>
      <w:r>
        <w:rPr>
          <w:rFonts w:hint="eastAsia" w:eastAsia="方正仿宋_GBK"/>
          <w:sz w:val="32"/>
        </w:rPr>
        <w:t>林业和草原局、</w:t>
      </w:r>
      <w:r>
        <w:rPr>
          <w:rFonts w:hint="eastAsia" w:eastAsia="方正仿宋_GBK"/>
          <w:sz w:val="32"/>
          <w:lang w:eastAsia="zh-CN"/>
        </w:rPr>
        <w:t>县</w:t>
      </w:r>
      <w:r>
        <w:rPr>
          <w:rFonts w:hint="eastAsia" w:eastAsia="方正仿宋_GBK"/>
          <w:sz w:val="32"/>
        </w:rPr>
        <w:t>水利局</w:t>
      </w:r>
      <w:r>
        <w:rPr>
          <w:rFonts w:hint="eastAsia" w:eastAsia="方正仿宋_GBK"/>
          <w:sz w:val="32"/>
          <w:lang w:eastAsia="zh-CN"/>
        </w:rPr>
        <w:t>等相关部门</w:t>
      </w:r>
      <w:r>
        <w:rPr>
          <w:rStyle w:val="17"/>
          <w:rFonts w:hint="eastAsia" w:ascii="Wingdings" w:hAnsi="Wingdings" w:eastAsia="方正仿宋_GBK"/>
          <w:sz w:val="32"/>
          <w:lang w:eastAsia="zh-CN"/>
        </w:rPr>
        <w:t>，</w:t>
      </w:r>
      <w:r>
        <w:rPr>
          <w:rFonts w:hint="eastAsia" w:eastAsia="方正仿宋_GBK"/>
          <w:sz w:val="32"/>
          <w:lang w:eastAsia="zh-CN"/>
        </w:rPr>
        <w:t>对以上</w:t>
      </w:r>
      <w:r>
        <w:rPr>
          <w:rFonts w:hint="eastAsia" w:eastAsia="方正仿宋_GBK"/>
          <w:sz w:val="32"/>
          <w:lang w:val="en-US" w:eastAsia="zh-CN"/>
        </w:rPr>
        <w:t>4个项目建设对“</w:t>
      </w:r>
      <w:r>
        <w:rPr>
          <w:rStyle w:val="17"/>
          <w:rFonts w:hint="eastAsia" w:ascii="Wingdings" w:hAnsi="Wingdings" w:eastAsia="方正仿宋_GBK"/>
          <w:sz w:val="32"/>
        </w:rPr>
        <w:t>两江风景区</w:t>
      </w:r>
      <w:r>
        <w:rPr>
          <w:rStyle w:val="17"/>
          <w:rFonts w:hint="eastAsia" w:ascii="Wingdings" w:hAnsi="Wingdings" w:eastAsia="方正仿宋_GBK"/>
          <w:sz w:val="32"/>
          <w:lang w:eastAsia="zh-CN"/>
        </w:rPr>
        <w:t>”</w:t>
      </w:r>
      <w:r>
        <w:rPr>
          <w:rFonts w:hint="eastAsia" w:eastAsia="方正仿宋_GBK"/>
          <w:sz w:val="32"/>
          <w:lang w:val="en-US" w:eastAsia="zh-CN"/>
        </w:rPr>
        <w:t>生态影响程度破坏</w:t>
      </w:r>
      <w:r>
        <w:rPr>
          <w:rStyle w:val="17"/>
          <w:rFonts w:hint="eastAsia" w:ascii="Wingdings" w:hAnsi="Wingdings" w:eastAsia="方正仿宋_GBK"/>
          <w:sz w:val="32"/>
        </w:rPr>
        <w:t>轻微</w:t>
      </w:r>
      <w:r>
        <w:rPr>
          <w:rFonts w:hint="eastAsia" w:eastAsia="方正仿宋_GBK"/>
          <w:sz w:val="32"/>
          <w:lang w:val="en-US" w:eastAsia="zh-CN"/>
        </w:rPr>
        <w:t>进行了认定。</w:t>
      </w:r>
      <w:r>
        <w:rPr>
          <w:rFonts w:hint="eastAsia" w:eastAsia="方正仿宋_GBK"/>
          <w:color w:val="0000FF"/>
          <w:sz w:val="32"/>
          <w:lang w:val="en-US" w:eastAsia="zh-CN"/>
        </w:rPr>
        <w:t>且项目“未批先建”的环境违法行为，已立案查处。</w:t>
      </w:r>
    </w:p>
    <w:p>
      <w:pPr>
        <w:topLinePunct/>
        <w:spacing w:line="560" w:lineRule="exact"/>
        <w:ind w:firstLine="632" w:firstLineChars="200"/>
        <w:rPr>
          <w:rStyle w:val="17"/>
          <w:rFonts w:hint="default" w:ascii="Wingdings" w:hAnsi="Wingdings" w:eastAsia="方正仿宋_GBK"/>
          <w:sz w:val="32"/>
        </w:rPr>
      </w:pPr>
      <w:r>
        <w:rPr>
          <w:rFonts w:hint="eastAsia" w:eastAsia="方正仿宋_GBK"/>
          <w:sz w:val="32"/>
          <w:lang w:eastAsia="zh-CN"/>
        </w:rPr>
        <w:t>综上，</w:t>
      </w:r>
      <w:r>
        <w:rPr>
          <w:rFonts w:hint="eastAsia" w:eastAsia="方正仿宋_GBK"/>
          <w:sz w:val="32"/>
        </w:rPr>
        <w:t>依据州人民政府相关会议精神及省人民政府相关处置意见</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本项目在全面落实</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环境影响报告表</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提出的各项污染防治和生态</w:t>
      </w:r>
      <w:r>
        <w:rPr>
          <w:rStyle w:val="17"/>
          <w:rFonts w:hint="default" w:ascii="Wingdings" w:hAnsi="Wingdings" w:eastAsia="方正仿宋_GBK"/>
          <w:sz w:val="32"/>
          <w:lang w:eastAsia="zh-CN"/>
        </w:rPr>
        <w:t>保护措施后，项目污染物可达标排放，项目建设和运营的不良环境影响可以得到减缓和控制，</w:t>
      </w:r>
      <w:r>
        <w:rPr>
          <w:rStyle w:val="17"/>
          <w:rFonts w:hint="default" w:ascii="Wingdings" w:hAnsi="Wingdings" w:eastAsia="方正仿宋_GBK"/>
          <w:sz w:val="32"/>
        </w:rPr>
        <w:t>我局同意该项目</w:t>
      </w:r>
      <w:r>
        <w:rPr>
          <w:rStyle w:val="17"/>
          <w:rFonts w:hint="eastAsia" w:ascii="Wingdings" w:hAnsi="Wingdings" w:eastAsia="方正仿宋_GBK"/>
          <w:sz w:val="32"/>
          <w:lang w:eastAsia="zh-CN"/>
        </w:rPr>
        <w:t>补办项目环评手续</w:t>
      </w:r>
      <w:r>
        <w:rPr>
          <w:rStyle w:val="17"/>
          <w:rFonts w:hint="default" w:ascii="Wingdings" w:hAnsi="Wingdings" w:eastAsia="方正仿宋_GBK"/>
          <w:sz w:val="32"/>
        </w:rPr>
        <w:t>。</w:t>
      </w:r>
    </w:p>
    <w:p>
      <w:pPr>
        <w:topLinePunct/>
        <w:spacing w:line="560" w:lineRule="exact"/>
        <w:ind w:firstLine="632" w:firstLineChars="200"/>
        <w:rPr>
          <w:rFonts w:eastAsia="方正仿宋_GBK"/>
          <w:spacing w:val="-2"/>
          <w:sz w:val="32"/>
          <w:szCs w:val="32"/>
          <w:highlight w:val="none"/>
        </w:rPr>
      </w:pPr>
      <w:r>
        <w:rPr>
          <w:rFonts w:eastAsia="方正仿宋_GBK"/>
          <w:spacing w:val="-2"/>
          <w:sz w:val="32"/>
          <w:szCs w:val="32"/>
          <w:highlight w:val="none"/>
        </w:rPr>
        <w:t>二、项目</w:t>
      </w:r>
      <w:r>
        <w:rPr>
          <w:rFonts w:hint="eastAsia" w:eastAsia="方正仿宋_GBK"/>
          <w:spacing w:val="-2"/>
          <w:sz w:val="32"/>
          <w:szCs w:val="32"/>
          <w:highlight w:val="none"/>
          <w:lang w:eastAsia="zh-CN"/>
        </w:rPr>
        <w:t>建设和运营</w:t>
      </w:r>
      <w:r>
        <w:rPr>
          <w:rFonts w:eastAsia="方正仿宋_GBK"/>
          <w:spacing w:val="-2"/>
          <w:sz w:val="32"/>
          <w:szCs w:val="32"/>
          <w:highlight w:val="none"/>
        </w:rPr>
        <w:t>过程中应重点做好的工作</w:t>
      </w:r>
    </w:p>
    <w:p>
      <w:pPr>
        <w:topLinePunct/>
        <w:spacing w:line="560" w:lineRule="exact"/>
        <w:ind w:firstLine="640" w:firstLineChars="200"/>
        <w:rPr>
          <w:rFonts w:eastAsia="方正仿宋_GBK"/>
          <w:spacing w:val="-2"/>
          <w:sz w:val="32"/>
          <w:szCs w:val="32"/>
          <w:highlight w:val="none"/>
        </w:rPr>
      </w:pPr>
      <w:r>
        <w:rPr>
          <w:rFonts w:eastAsia="方正仿宋_GBK"/>
          <w:sz w:val="32"/>
          <w:szCs w:val="32"/>
          <w:highlight w:val="none"/>
        </w:rPr>
        <w:t>㈠《</w:t>
      </w:r>
      <w:r>
        <w:rPr>
          <w:rFonts w:hint="eastAsia" w:eastAsia="方正仿宋_GBK"/>
          <w:sz w:val="32"/>
          <w:szCs w:val="32"/>
          <w:highlight w:val="none"/>
          <w:lang w:eastAsia="zh-CN"/>
        </w:rPr>
        <w:t>盈江县“芙蓉花苑”建设项目建设项目</w:t>
      </w:r>
      <w:r>
        <w:rPr>
          <w:rFonts w:eastAsia="方正仿宋_GBK"/>
          <w:sz w:val="32"/>
          <w:szCs w:val="32"/>
          <w:highlight w:val="none"/>
        </w:rPr>
        <w:t>环境影响报告表》</w:t>
      </w:r>
      <w:r>
        <w:rPr>
          <w:rFonts w:eastAsia="方正仿宋_GBK"/>
          <w:spacing w:val="-2"/>
          <w:sz w:val="32"/>
          <w:szCs w:val="32"/>
          <w:highlight w:val="none"/>
        </w:rPr>
        <w:t>作为该项目</w:t>
      </w:r>
      <w:r>
        <w:rPr>
          <w:rFonts w:hint="eastAsia" w:eastAsia="方正仿宋_GBK"/>
          <w:spacing w:val="-2"/>
          <w:sz w:val="32"/>
          <w:szCs w:val="32"/>
          <w:highlight w:val="none"/>
          <w:lang w:eastAsia="zh-CN"/>
        </w:rPr>
        <w:t>建设和运营期</w:t>
      </w:r>
      <w:r>
        <w:rPr>
          <w:rFonts w:eastAsia="方正仿宋_GBK"/>
          <w:spacing w:val="-2"/>
          <w:sz w:val="32"/>
          <w:szCs w:val="32"/>
          <w:highlight w:val="none"/>
        </w:rPr>
        <w:t>环境管理的依据，必须认真落实</w:t>
      </w:r>
      <w:r>
        <w:rPr>
          <w:rFonts w:hint="eastAsia" w:eastAsia="方正仿宋_GBK"/>
          <w:spacing w:val="-2"/>
          <w:sz w:val="32"/>
          <w:szCs w:val="32"/>
          <w:highlight w:val="none"/>
        </w:rPr>
        <w:t>《报告表》</w:t>
      </w:r>
      <w:r>
        <w:rPr>
          <w:rFonts w:eastAsia="方正仿宋_GBK"/>
          <w:spacing w:val="-2"/>
          <w:sz w:val="32"/>
          <w:szCs w:val="32"/>
          <w:highlight w:val="none"/>
        </w:rPr>
        <w:t>提出的各项环保对策措施</w:t>
      </w:r>
      <w:r>
        <w:rPr>
          <w:rFonts w:hint="eastAsia" w:eastAsia="方正仿宋_GBK"/>
          <w:spacing w:val="-2"/>
          <w:sz w:val="32"/>
          <w:szCs w:val="32"/>
          <w:highlight w:val="none"/>
        </w:rPr>
        <w:t>，严格按提出的环保投资概算执行。</w:t>
      </w:r>
    </w:p>
    <w:p>
      <w:pPr>
        <w:topLinePunct/>
        <w:spacing w:line="560" w:lineRule="exact"/>
        <w:ind w:firstLine="640" w:firstLineChars="200"/>
        <w:rPr>
          <w:rFonts w:eastAsia="方正仿宋_GBK"/>
          <w:bCs/>
          <w:sz w:val="32"/>
          <w:szCs w:val="32"/>
          <w:highlight w:val="none"/>
        </w:rPr>
      </w:pPr>
      <w:r>
        <w:rPr>
          <w:rFonts w:eastAsia="方正仿宋_GBK"/>
          <w:bCs/>
          <w:sz w:val="32"/>
          <w:szCs w:val="32"/>
          <w:highlight w:val="none"/>
        </w:rPr>
        <w:t>㈡</w:t>
      </w:r>
      <w:r>
        <w:rPr>
          <w:rFonts w:hint="eastAsia" w:eastAsia="方正仿宋_GBK"/>
          <w:bCs/>
          <w:sz w:val="32"/>
          <w:szCs w:val="32"/>
          <w:highlight w:val="none"/>
          <w:lang w:eastAsia="zh-CN"/>
        </w:rPr>
        <w:t>加强施工期管理，施工场地必须严格按照《盈江县工程建设工地扬尘管理办法》执行扬尘防治措施</w:t>
      </w:r>
      <w:bookmarkStart w:id="0" w:name="_GoBack"/>
      <w:bookmarkEnd w:id="0"/>
      <w:r>
        <w:rPr>
          <w:rFonts w:hint="eastAsia" w:eastAsia="方正仿宋_GBK"/>
          <w:bCs/>
          <w:sz w:val="32"/>
          <w:szCs w:val="32"/>
          <w:highlight w:val="none"/>
          <w:lang w:eastAsia="zh-CN"/>
        </w:rPr>
        <w:t>；施工场地设置临时沉淀池，施工废水经沉淀后回用或用于洒水降尘，严禁外排；施工期尽量选用低噪声设备，对产噪较大的机械进行隔声及减振处理，合理安排施工时间，午间12时至14时、夜间22时至次日6时禁止施工，如确需在夜间施工的，必须经主管部门同意后方可施工，并向周围群众贴出公告，施工场界噪声执行《建筑施工场界环境噪声排放标准》（GB12523-2011）；施工过程中产生的建筑垃圾必须分类收集，能回收利用的回收利用，不能回收利用的，清运至住建部门指定地方集中堆存，严禁随意丢弃。</w:t>
      </w:r>
    </w:p>
    <w:p>
      <w:pPr>
        <w:pStyle w:val="4"/>
        <w:spacing w:line="560" w:lineRule="exact"/>
        <w:ind w:firstLine="640" w:firstLineChars="200"/>
        <w:rPr>
          <w:rFonts w:hint="eastAsia" w:eastAsia="方正仿宋_GBK"/>
          <w:sz w:val="32"/>
          <w:szCs w:val="32"/>
          <w:highlight w:val="none"/>
        </w:rPr>
      </w:pPr>
      <w:r>
        <w:rPr>
          <w:rFonts w:hint="eastAsia" w:eastAsia="方正仿宋_GBK"/>
          <w:sz w:val="32"/>
          <w:szCs w:val="32"/>
          <w:highlight w:val="none"/>
        </w:rPr>
        <w:t>㈢</w:t>
      </w:r>
      <w:r>
        <w:rPr>
          <w:rFonts w:hint="eastAsia" w:eastAsia="方正仿宋_GBK"/>
          <w:sz w:val="32"/>
          <w:szCs w:val="32"/>
          <w:highlight w:val="none"/>
          <w:lang w:eastAsia="zh-CN"/>
        </w:rPr>
        <w:t>项目必须实施雨污分流，配套建设</w:t>
      </w:r>
      <w:r>
        <w:rPr>
          <w:rFonts w:hint="eastAsia" w:eastAsia="方正仿宋_GBK"/>
          <w:sz w:val="32"/>
          <w:szCs w:val="32"/>
          <w:highlight w:val="none"/>
          <w:lang w:val="en-US" w:eastAsia="zh-CN"/>
        </w:rPr>
        <w:t>三级化粪池，项目区生活污水经化粪池处理达到《污水综合排放标准》（GB8978-1996）表4三级标准和《污水排入城镇下水道水质标准》（GB/T 31962-2015）表1B级排放限值后排入盈江县城市污水处理厂处理</w:t>
      </w:r>
      <w:r>
        <w:rPr>
          <w:rFonts w:hint="eastAsia" w:eastAsia="方正仿宋_GBK"/>
          <w:sz w:val="32"/>
          <w:szCs w:val="32"/>
          <w:highlight w:val="none"/>
          <w:lang w:eastAsia="zh-CN"/>
        </w:rPr>
        <w:t>。</w:t>
      </w:r>
    </w:p>
    <w:p>
      <w:pPr>
        <w:pStyle w:val="4"/>
        <w:spacing w:line="56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rPr>
        <w:t>㈣</w:t>
      </w:r>
      <w:r>
        <w:rPr>
          <w:rFonts w:hint="eastAsia" w:eastAsia="方正仿宋_GBK"/>
          <w:sz w:val="32"/>
          <w:szCs w:val="32"/>
          <w:highlight w:val="none"/>
          <w:lang w:val="en-US" w:eastAsia="zh-CN"/>
        </w:rPr>
        <w:t>运营期加强大气污染防治，合理安排入驻餐饮行业，若未设置内置烟道，严禁用于餐饮行业。项目区环境空气执行《环境空气质量标准》（GB3095-2012）一级标准。</w:t>
      </w:r>
    </w:p>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㈤</w:t>
      </w:r>
      <w:r>
        <w:rPr>
          <w:rFonts w:hint="eastAsia" w:eastAsia="方正仿宋_GBK"/>
          <w:sz w:val="32"/>
          <w:szCs w:val="32"/>
          <w:highlight w:val="none"/>
          <w:lang w:eastAsia="zh-CN"/>
        </w:rPr>
        <w:t>运营期加强噪声污染防治，水泵供水系统、通风设备、备用发电机等必须采取减震、隔声措施，减少噪声影响，项目运营期执行《社会生活环境噪声排放标准》（GB22337-2008）</w:t>
      </w:r>
      <w:r>
        <w:rPr>
          <w:rFonts w:hint="eastAsia" w:eastAsia="方正仿宋_GBK"/>
          <w:sz w:val="32"/>
          <w:szCs w:val="32"/>
          <w:highlight w:val="none"/>
          <w:lang w:val="en-US" w:eastAsia="zh-CN"/>
        </w:rPr>
        <w:t>1</w:t>
      </w:r>
      <w:r>
        <w:rPr>
          <w:rFonts w:hint="eastAsia" w:eastAsia="方正仿宋_GBK"/>
          <w:sz w:val="32"/>
          <w:szCs w:val="32"/>
          <w:highlight w:val="none"/>
          <w:lang w:eastAsia="zh-CN"/>
        </w:rPr>
        <w:t>类标准。</w:t>
      </w:r>
    </w:p>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㈥</w:t>
      </w:r>
      <w:r>
        <w:rPr>
          <w:rFonts w:hint="eastAsia" w:eastAsia="方正仿宋_GBK"/>
          <w:sz w:val="32"/>
          <w:szCs w:val="32"/>
          <w:highlight w:val="none"/>
          <w:lang w:eastAsia="zh-CN"/>
        </w:rPr>
        <w:t>运营期加强固废污染防治，项目区内设置垃圾收集点，采用环保型分类垃圾桶，生活垃圾经收集后委托环卫部门清运处置；化粪池污泥委托环卫部门定期清掏。</w:t>
      </w:r>
    </w:p>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㈦根据《云南省风景名胜区条例》，建设单位必须取得风景名胜区主管部门《风景名胜区建设许可证》后，方可恢复建设。</w:t>
      </w:r>
    </w:p>
    <w:p>
      <w:pPr>
        <w:numPr>
          <w:ilvl w:val="0"/>
          <w:numId w:val="1"/>
        </w:num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加强管理，健全机构，严格执行环保</w:t>
      </w:r>
      <w:r>
        <w:rPr>
          <w:rFonts w:eastAsia="方正仿宋_GBK"/>
          <w:sz w:val="32"/>
          <w:szCs w:val="32"/>
          <w:highlight w:val="none"/>
        </w:rPr>
        <w:t>“</w:t>
      </w:r>
      <w:r>
        <w:rPr>
          <w:rFonts w:hint="eastAsia" w:eastAsia="方正仿宋_GBK"/>
          <w:sz w:val="32"/>
          <w:szCs w:val="32"/>
          <w:highlight w:val="none"/>
        </w:rPr>
        <w:t>三同时</w:t>
      </w:r>
      <w:r>
        <w:rPr>
          <w:rFonts w:eastAsia="方正仿宋_GBK"/>
          <w:sz w:val="32"/>
          <w:szCs w:val="32"/>
          <w:highlight w:val="none"/>
        </w:rPr>
        <w:t>”</w:t>
      </w:r>
      <w:r>
        <w:rPr>
          <w:rFonts w:hint="eastAsia" w:eastAsia="方正仿宋_GBK"/>
          <w:sz w:val="32"/>
          <w:szCs w:val="32"/>
          <w:highlight w:val="none"/>
        </w:rPr>
        <w:t>制度，积极配合环境保护行政主管部门的环境监察工作。项目</w:t>
      </w:r>
      <w:r>
        <w:rPr>
          <w:rFonts w:hint="eastAsia" w:eastAsia="方正仿宋_GBK"/>
          <w:sz w:val="32"/>
          <w:szCs w:val="32"/>
          <w:highlight w:val="none"/>
          <w:lang w:eastAsia="zh-CN"/>
        </w:rPr>
        <w:t>建设</w:t>
      </w:r>
      <w:r>
        <w:rPr>
          <w:rFonts w:hint="eastAsia" w:eastAsia="方正仿宋_GBK"/>
          <w:sz w:val="32"/>
          <w:szCs w:val="32"/>
          <w:highlight w:val="none"/>
        </w:rPr>
        <w:t>完成</w:t>
      </w:r>
      <w:r>
        <w:rPr>
          <w:rFonts w:hint="eastAsia" w:eastAsia="方正仿宋_GBK"/>
          <w:sz w:val="32"/>
          <w:szCs w:val="32"/>
          <w:highlight w:val="none"/>
          <w:lang w:eastAsia="zh-CN"/>
        </w:rPr>
        <w:t>后，及时报告我局，并按规定自主开展竣工环保验收，经验收合格后方可正式投入使用</w:t>
      </w:r>
      <w:r>
        <w:rPr>
          <w:rFonts w:hint="eastAsia" w:eastAsia="方正仿宋_GBK"/>
          <w:sz w:val="32"/>
          <w:szCs w:val="32"/>
          <w:highlight w:val="none"/>
        </w:rPr>
        <w:t>。</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eastAsia="zh-CN"/>
        </w:rPr>
        <w:t>德宏州生态环境局盈江分局</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201</w:t>
      </w:r>
      <w:r>
        <w:rPr>
          <w:rFonts w:hint="eastAsia" w:eastAsia="方正仿宋_GBK"/>
          <w:sz w:val="32"/>
          <w:szCs w:val="32"/>
          <w:highlight w:val="none"/>
          <w:lang w:val="en-US" w:eastAsia="zh-CN"/>
        </w:rPr>
        <w:t>9</w:t>
      </w:r>
      <w:r>
        <w:rPr>
          <w:rFonts w:eastAsia="方正仿宋_GBK"/>
          <w:sz w:val="32"/>
          <w:szCs w:val="32"/>
          <w:highlight w:val="none"/>
        </w:rPr>
        <w:t>年</w:t>
      </w:r>
      <w:r>
        <w:rPr>
          <w:rFonts w:hint="eastAsia" w:eastAsia="方正仿宋_GBK"/>
          <w:sz w:val="32"/>
          <w:szCs w:val="32"/>
          <w:highlight w:val="none"/>
          <w:lang w:val="en-US" w:eastAsia="zh-CN"/>
        </w:rPr>
        <w:t>12</w:t>
      </w:r>
      <w:r>
        <w:rPr>
          <w:rFonts w:eastAsia="方正仿宋_GBK"/>
          <w:sz w:val="32"/>
          <w:szCs w:val="32"/>
          <w:highlight w:val="none"/>
        </w:rPr>
        <w:t>月</w:t>
      </w:r>
      <w:r>
        <w:rPr>
          <w:rFonts w:hint="eastAsia" w:eastAsia="方正仿宋_GBK"/>
          <w:sz w:val="32"/>
          <w:szCs w:val="32"/>
          <w:highlight w:val="none"/>
          <w:lang w:val="en-US" w:eastAsia="zh-CN"/>
        </w:rPr>
        <w:t>13</w:t>
      </w:r>
      <w:r>
        <w:rPr>
          <w:rFonts w:eastAsia="方正仿宋_GBK"/>
          <w:sz w:val="32"/>
          <w:szCs w:val="32"/>
          <w:highlight w:val="none"/>
        </w:rPr>
        <w:t>日</w:t>
      </w:r>
    </w:p>
    <w:p>
      <w:pPr>
        <w:spacing w:line="540" w:lineRule="exact"/>
        <w:rPr>
          <w:rFonts w:eastAsia="仿宋_GB2312"/>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cript">
    <w:altName w:val="Courier New"/>
    <w:panose1 w:val="00000000000000000000"/>
    <w:charset w:val="00"/>
    <w:family w:val="script"/>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夹发砰">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新宋体">
    <w:panose1 w:val="02010609030101010101"/>
    <w:charset w:val="86"/>
    <w:family w:val="modern"/>
    <w:pitch w:val="default"/>
    <w:sig w:usb0="00000003" w:usb1="080E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仿宋">
    <w:altName w:val="仿宋_GB2312"/>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roman"/>
    <w:pitch w:val="default"/>
    <w:sig w:usb0="00000003" w:usb1="082E0000" w:usb2="00000016" w:usb3="00000000" w:csb0="00100001" w:csb1="00000000"/>
  </w:font>
  <w:font w:name="TimesNewRomanPSMT">
    <w:altName w:val="方正舒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简体">
    <w:altName w:val="方正舒体"/>
    <w:panose1 w:val="00000000000000000000"/>
    <w:charset w:val="86"/>
    <w:family w:val="auto"/>
    <w:pitch w:val="default"/>
    <w:sig w:usb0="00000000" w:usb1="00000000" w:usb2="0000000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ו">
    <w:altName w:val="Arial"/>
    <w:panose1 w:val="00000000000000000000"/>
    <w:charset w:val="B1"/>
    <w:family w:val="swiss"/>
    <w:pitch w:val="default"/>
    <w:sig w:usb0="00000000" w:usb1="00000000" w:usb2="00000000" w:usb3="00000000" w:csb0="00000020" w:csb1="00000000"/>
  </w:font>
  <w:font w:name="Arial">
    <w:panose1 w:val="020B0604020202020204"/>
    <w:charset w:val="B1"/>
    <w:family w:val="swiss"/>
    <w:pitch w:val="default"/>
    <w:sig w:usb0="00007A87" w:usb1="80000000" w:usb2="00000008"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至美报宋简">
    <w:altName w:val="宋体"/>
    <w:panose1 w:val="0201060901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Wingdings 2">
    <w:panose1 w:val="05020102010507070707"/>
    <w:charset w:val="02"/>
    <w:family w:val="auto"/>
    <w:pitch w:val="default"/>
    <w:sig w:usb0="00000000" w:usb1="00000000" w:usb2="00000000" w:usb3="00000000" w:csb0="8000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8EA7D8A"/>
    <w:rsid w:val="0A63177A"/>
    <w:rsid w:val="0C9E10F5"/>
    <w:rsid w:val="13CF52CC"/>
    <w:rsid w:val="1C702056"/>
    <w:rsid w:val="2607286A"/>
    <w:rsid w:val="26C82928"/>
    <w:rsid w:val="28546A26"/>
    <w:rsid w:val="2898576E"/>
    <w:rsid w:val="2A19064E"/>
    <w:rsid w:val="2C367612"/>
    <w:rsid w:val="2C6917D9"/>
    <w:rsid w:val="2F545078"/>
    <w:rsid w:val="381D40DF"/>
    <w:rsid w:val="418F0AAB"/>
    <w:rsid w:val="454324CA"/>
    <w:rsid w:val="4D656704"/>
    <w:rsid w:val="4E1A3BA0"/>
    <w:rsid w:val="51E53FAB"/>
    <w:rsid w:val="53A50DE4"/>
    <w:rsid w:val="53C42D61"/>
    <w:rsid w:val="583427A9"/>
    <w:rsid w:val="6779624B"/>
    <w:rsid w:val="6CB51C9D"/>
    <w:rsid w:val="6D3B16AB"/>
    <w:rsid w:val="6FA97721"/>
    <w:rsid w:val="72F27725"/>
    <w:rsid w:val="73007476"/>
    <w:rsid w:val="75612B9A"/>
    <w:rsid w:val="7DE22A0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3"/>
    <w:qFormat/>
    <w:locked/>
    <w:uiPriority w:val="0"/>
    <w:pPr>
      <w:tabs>
        <w:tab w:val="center" w:pos="4153"/>
        <w:tab w:val="right" w:pos="8306"/>
      </w:tabs>
      <w:snapToGrid w:val="0"/>
      <w:jc w:val="left"/>
    </w:pPr>
    <w:rPr>
      <w:sz w:val="18"/>
      <w:szCs w:val="18"/>
    </w:rPr>
  </w:style>
  <w:style w:type="paragraph" w:styleId="6">
    <w:name w:val="Body Text First Indent 2"/>
    <w:basedOn w:val="1"/>
    <w:next w:val="1"/>
    <w:unhideWhenUsed/>
    <w:qFormat/>
    <w:uiPriority w:val="99"/>
    <w:pPr>
      <w:spacing w:after="120"/>
      <w:ind w:left="420" w:leftChars="200" w:firstLine="420" w:firstLineChars="200"/>
    </w:pPr>
    <w:rPr>
      <w:sz w:val="21"/>
      <w:szCs w:val="24"/>
    </w:rPr>
  </w:style>
  <w:style w:type="paragraph" w:styleId="7">
    <w:name w:val="header"/>
    <w:basedOn w:val="1"/>
    <w:link w:val="14"/>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2">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3">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4">
    <w:name w:val="页眉 Char"/>
    <w:basedOn w:val="8"/>
    <w:link w:val="7"/>
    <w:qFormat/>
    <w:locked/>
    <w:uiPriority w:val="99"/>
    <w:rPr>
      <w:rFonts w:ascii="Calibri" w:hAnsi="Calibri" w:eastAsia="宋体" w:cs="Times New Roman"/>
      <w:kern w:val="2"/>
      <w:sz w:val="18"/>
      <w:szCs w:val="18"/>
      <w:lang w:val="en-US" w:eastAsia="zh-CN" w:bidi="ar-SA"/>
    </w:rPr>
  </w:style>
  <w:style w:type="character" w:customStyle="1" w:styleId="15">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6">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 w:type="character" w:customStyle="1" w:styleId="17">
    <w:name w:val="NormalCharacter"/>
    <w:unhideWhenUsed/>
    <w:qFormat/>
    <w:uiPriority w:val="99"/>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ScaleCrop>false</ScaleCrop>
  <LinksUpToDate>false</LinksUpToDate>
  <CharactersWithSpaces>1490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彭林邦</cp:lastModifiedBy>
  <dcterms:modified xsi:type="dcterms:W3CDTF">2019-12-20T03:45:38Z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