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p>
    <w:p>
      <w:pPr>
        <w:rPr>
          <w:color w:val="FF0000"/>
          <w:sz w:val="32"/>
          <w:szCs w:val="32"/>
        </w:rPr>
      </w:pPr>
    </w:p>
    <w:p>
      <w:pPr>
        <w:spacing w:line="600" w:lineRule="exact"/>
        <w:ind w:firstLine="105" w:firstLineChars="50"/>
      </w:pPr>
      <w:bookmarkStart w:id="0" w:name="_GoBack"/>
      <w:bookmarkEnd w:id="0"/>
    </w:p>
    <w:p>
      <w:pPr>
        <w:jc w:val="center"/>
        <w:rPr>
          <w:rFonts w:eastAsia="方正仿宋_GBK"/>
          <w:sz w:val="32"/>
          <w:szCs w:val="32"/>
        </w:rPr>
      </w:pPr>
      <w:r>
        <w:rPr>
          <w:sz w:val="32"/>
          <w:szCs w:val="32"/>
        </w:rPr>
        <w:t xml:space="preserve">  </w:t>
      </w:r>
      <w:r>
        <w:rPr>
          <w:rFonts w:hint="eastAsia" w:eastAsia="方正仿宋_GBK"/>
          <w:sz w:val="32"/>
          <w:szCs w:val="32"/>
        </w:rPr>
        <w:t>德环盈复〔</w:t>
      </w:r>
      <w:r>
        <w:rPr>
          <w:rFonts w:eastAsia="方正仿宋_GBK"/>
          <w:sz w:val="32"/>
          <w:szCs w:val="32"/>
        </w:rPr>
        <w:t>2019</w:t>
      </w:r>
      <w:r>
        <w:rPr>
          <w:rFonts w:hint="eastAsia" w:eastAsia="方正仿宋_GBK"/>
          <w:sz w:val="32"/>
          <w:szCs w:val="32"/>
        </w:rPr>
        <w:t>〕</w:t>
      </w:r>
      <w:r>
        <w:rPr>
          <w:rFonts w:eastAsia="方正仿宋_GBK"/>
          <w:sz w:val="32"/>
          <w:szCs w:val="32"/>
        </w:rPr>
        <w:t>35</w:t>
      </w:r>
      <w:r>
        <w:rPr>
          <w:rFonts w:hint="eastAsia" w:eastAsia="方正仿宋_GBK"/>
          <w:sz w:val="32"/>
          <w:szCs w:val="32"/>
        </w:rPr>
        <w:t>号</w:t>
      </w:r>
    </w:p>
    <w:p>
      <w:pPr>
        <w:tabs>
          <w:tab w:val="left" w:pos="5435"/>
        </w:tabs>
        <w:spacing w:line="460" w:lineRule="exact"/>
        <w:rPr>
          <w:sz w:val="32"/>
          <w:szCs w:val="32"/>
        </w:rPr>
      </w:pPr>
      <w:r>
        <w:pict>
          <v:line id="直线 16" o:spid="_x0000_s1027" o:spt="20" style="position:absolute;left:0pt;flip:y;margin-left:0.75pt;margin-top:4.5pt;height:1.4pt;width:428.75pt;z-index:251659264;mso-width-relative:page;mso-height-relative:page;" stroked="t" coordsize="21600,21600">
            <v:path arrowok="t"/>
            <v:fill focussize="0,0"/>
            <v:stroke color="#FF0000"/>
            <v:imagedata o:title=""/>
            <o:lock v:ext="edit"/>
          </v:line>
        </w:pict>
      </w:r>
    </w:p>
    <w:p>
      <w:pPr>
        <w:spacing w:line="600" w:lineRule="exact"/>
        <w:jc w:val="center"/>
        <w:rPr>
          <w:rFonts w:ascii="方正小标宋简体" w:eastAsia="方正小标宋简体"/>
          <w:spacing w:val="-4"/>
          <w:sz w:val="44"/>
          <w:szCs w:val="44"/>
        </w:rPr>
      </w:pPr>
      <w:r>
        <w:rPr>
          <w:rFonts w:hint="eastAsia" w:ascii="方正小标宋简体" w:eastAsia="方正小标宋简体"/>
          <w:spacing w:val="-4"/>
          <w:sz w:val="44"/>
          <w:szCs w:val="44"/>
        </w:rPr>
        <w:t>德宏州生态环境局盈江分局关于盈江县生物质颗粒生产建设项目环境影响报告表的批复</w:t>
      </w:r>
    </w:p>
    <w:p>
      <w:pPr>
        <w:spacing w:line="560" w:lineRule="exact"/>
        <w:rPr>
          <w:rFonts w:eastAsia="方正仿宋_GBK"/>
          <w:sz w:val="32"/>
          <w:szCs w:val="32"/>
        </w:rPr>
      </w:pPr>
    </w:p>
    <w:p>
      <w:pPr>
        <w:spacing w:line="560" w:lineRule="exact"/>
        <w:rPr>
          <w:rFonts w:eastAsia="方正仿宋_GBK"/>
          <w:sz w:val="32"/>
          <w:szCs w:val="32"/>
        </w:rPr>
      </w:pPr>
      <w:r>
        <w:rPr>
          <w:rFonts w:hint="eastAsia" w:eastAsia="方正仿宋_GBK"/>
          <w:sz w:val="32"/>
          <w:szCs w:val="32"/>
        </w:rPr>
        <w:t>盈江碧蓝生物科技有限公司</w:t>
      </w:r>
      <w:r>
        <w:rPr>
          <w:rFonts w:eastAsia="方正仿宋_GBK"/>
          <w:sz w:val="32"/>
          <w:szCs w:val="32"/>
        </w:rPr>
        <w:t>:</w:t>
      </w:r>
    </w:p>
    <w:p>
      <w:pPr>
        <w:spacing w:line="560" w:lineRule="exact"/>
        <w:ind w:firstLine="640" w:firstLineChars="200"/>
        <w:rPr>
          <w:rFonts w:eastAsia="方正仿宋_GBK"/>
          <w:sz w:val="32"/>
          <w:szCs w:val="32"/>
        </w:rPr>
      </w:pPr>
      <w:r>
        <w:rPr>
          <w:rFonts w:hint="eastAsia" w:eastAsia="方正仿宋_GBK"/>
          <w:sz w:val="32"/>
          <w:szCs w:val="32"/>
        </w:rPr>
        <w:t>你公司报批的《盈江县生物质颗粒生产建设项目环境影响报告表》已收悉，经研究，现批复如下：</w:t>
      </w:r>
    </w:p>
    <w:p>
      <w:pPr>
        <w:spacing w:line="560" w:lineRule="exact"/>
        <w:ind w:firstLine="640" w:firstLineChars="200"/>
        <w:rPr>
          <w:rFonts w:eastAsia="方正仿宋_GBK"/>
          <w:sz w:val="32"/>
          <w:szCs w:val="32"/>
        </w:rPr>
      </w:pPr>
      <w:r>
        <w:rPr>
          <w:rFonts w:hint="eastAsia" w:eastAsia="方正仿宋_GBK"/>
          <w:sz w:val="32"/>
          <w:szCs w:val="32"/>
        </w:rPr>
        <w:t>一、项目基本情况</w:t>
      </w:r>
    </w:p>
    <w:p>
      <w:pPr>
        <w:spacing w:line="560" w:lineRule="exact"/>
        <w:ind w:firstLine="640" w:firstLineChars="200"/>
        <w:rPr>
          <w:rFonts w:eastAsia="方正仿宋_GBK"/>
          <w:sz w:val="32"/>
          <w:szCs w:val="32"/>
        </w:rPr>
      </w:pPr>
      <w:r>
        <w:rPr>
          <w:rFonts w:hint="eastAsia" w:eastAsia="方正仿宋_GBK"/>
          <w:sz w:val="32"/>
          <w:szCs w:val="32"/>
        </w:rPr>
        <w:t>项目位于盈江县太平镇弄盏村弄秀小组，总占地面积</w:t>
      </w:r>
      <w:r>
        <w:rPr>
          <w:rFonts w:eastAsia="方正仿宋_GBK"/>
          <w:sz w:val="32"/>
          <w:szCs w:val="32"/>
        </w:rPr>
        <w:t>6786.2</w:t>
      </w:r>
      <w:r>
        <w:rPr>
          <w:rFonts w:hint="eastAsia" w:eastAsia="方正仿宋_GBK"/>
          <w:sz w:val="32"/>
          <w:szCs w:val="32"/>
        </w:rPr>
        <w:t>平方米，总建筑面积</w:t>
      </w:r>
      <w:r>
        <w:rPr>
          <w:rFonts w:eastAsia="方正仿宋_GBK"/>
          <w:sz w:val="32"/>
          <w:szCs w:val="32"/>
        </w:rPr>
        <w:t>5480</w:t>
      </w:r>
      <w:r>
        <w:rPr>
          <w:rFonts w:hint="eastAsia" w:eastAsia="方正仿宋_GBK"/>
          <w:sz w:val="32"/>
          <w:szCs w:val="32"/>
        </w:rPr>
        <w:t>平方米，建设年产</w:t>
      </w:r>
      <w:r>
        <w:rPr>
          <w:rFonts w:eastAsia="方正仿宋_GBK"/>
          <w:sz w:val="32"/>
          <w:szCs w:val="32"/>
        </w:rPr>
        <w:t>1</w:t>
      </w:r>
      <w:r>
        <w:rPr>
          <w:rFonts w:hint="eastAsia" w:eastAsia="方正仿宋_GBK"/>
          <w:sz w:val="32"/>
          <w:szCs w:val="32"/>
        </w:rPr>
        <w:t>万吨生物质颗粒燃料生产线一条，主要的建筑物包括：含切片破碎车间、烘干车间、原料堆放及粉碎车间、制粒打包车间、办公生活用房及辅助设施等。总投资</w:t>
      </w:r>
      <w:r>
        <w:rPr>
          <w:rFonts w:eastAsia="方正仿宋_GBK"/>
          <w:sz w:val="32"/>
          <w:szCs w:val="32"/>
        </w:rPr>
        <w:t>1198</w:t>
      </w:r>
      <w:r>
        <w:rPr>
          <w:rFonts w:hint="eastAsia" w:eastAsia="方正仿宋_GBK"/>
          <w:sz w:val="32"/>
          <w:szCs w:val="32"/>
        </w:rPr>
        <w:t>万元，其中环保投资</w:t>
      </w:r>
      <w:r>
        <w:rPr>
          <w:rFonts w:eastAsia="方正仿宋_GBK"/>
          <w:sz w:val="32"/>
          <w:szCs w:val="32"/>
        </w:rPr>
        <w:t>37.5</w:t>
      </w:r>
      <w:r>
        <w:rPr>
          <w:rFonts w:hint="eastAsia" w:eastAsia="方正仿宋_GBK"/>
          <w:sz w:val="32"/>
          <w:szCs w:val="32"/>
        </w:rPr>
        <w:t>万元，占总投资的</w:t>
      </w:r>
      <w:r>
        <w:rPr>
          <w:rFonts w:eastAsia="方正仿宋_GBK"/>
          <w:sz w:val="32"/>
          <w:szCs w:val="32"/>
        </w:rPr>
        <w:t>20%</w:t>
      </w:r>
      <w:r>
        <w:rPr>
          <w:rFonts w:hint="eastAsia" w:eastAsia="方正仿宋_GBK"/>
          <w:sz w:val="32"/>
          <w:szCs w:val="32"/>
        </w:rPr>
        <w:t>。项目于</w:t>
      </w:r>
      <w:r>
        <w:rPr>
          <w:rFonts w:eastAsia="方正仿宋_GBK"/>
          <w:sz w:val="32"/>
          <w:szCs w:val="32"/>
        </w:rPr>
        <w:t>2018</w:t>
      </w:r>
      <w:r>
        <w:rPr>
          <w:rFonts w:hint="eastAsia" w:eastAsia="方正仿宋_GBK"/>
          <w:sz w:val="32"/>
          <w:szCs w:val="32"/>
        </w:rPr>
        <w:t>年</w:t>
      </w:r>
      <w:r>
        <w:rPr>
          <w:rFonts w:eastAsia="方正仿宋_GBK"/>
          <w:sz w:val="32"/>
          <w:szCs w:val="32"/>
        </w:rPr>
        <w:t>11</w:t>
      </w:r>
      <w:r>
        <w:rPr>
          <w:rFonts w:hint="eastAsia" w:eastAsia="方正仿宋_GBK"/>
          <w:sz w:val="32"/>
          <w:szCs w:val="32"/>
        </w:rPr>
        <w:t>月开工建设，属于“未批先建”项目，</w:t>
      </w:r>
      <w:r>
        <w:rPr>
          <w:rFonts w:eastAsia="方正仿宋_GBK"/>
          <w:sz w:val="32"/>
          <w:szCs w:val="32"/>
        </w:rPr>
        <w:t>2019</w:t>
      </w:r>
      <w:r>
        <w:rPr>
          <w:rFonts w:hint="eastAsia" w:eastAsia="方正仿宋_GBK"/>
          <w:sz w:val="32"/>
          <w:szCs w:val="32"/>
        </w:rPr>
        <w:t>年</w:t>
      </w:r>
      <w:r>
        <w:rPr>
          <w:rFonts w:eastAsia="方正仿宋_GBK"/>
          <w:sz w:val="32"/>
          <w:szCs w:val="32"/>
        </w:rPr>
        <w:t>5</w:t>
      </w:r>
      <w:r>
        <w:rPr>
          <w:rFonts w:hint="eastAsia" w:eastAsia="方正仿宋_GBK"/>
          <w:sz w:val="32"/>
          <w:szCs w:val="32"/>
        </w:rPr>
        <w:t>月</w:t>
      </w:r>
      <w:r>
        <w:rPr>
          <w:rFonts w:eastAsia="方正仿宋_GBK"/>
          <w:sz w:val="32"/>
          <w:szCs w:val="32"/>
        </w:rPr>
        <w:t>15</w:t>
      </w:r>
      <w:r>
        <w:rPr>
          <w:rFonts w:hint="eastAsia" w:eastAsia="方正仿宋_GBK"/>
          <w:sz w:val="32"/>
          <w:szCs w:val="32"/>
        </w:rPr>
        <w:t>日，我局对项目“未批先建”违法行为下发了行政处罚决定书（盈环罚字〔</w:t>
      </w:r>
      <w:r>
        <w:rPr>
          <w:rFonts w:eastAsia="方正仿宋_GBK"/>
          <w:sz w:val="32"/>
          <w:szCs w:val="32"/>
        </w:rPr>
        <w:t>2019</w:t>
      </w:r>
      <w:r>
        <w:rPr>
          <w:rFonts w:hint="eastAsia" w:eastAsia="方正仿宋_GBK"/>
          <w:sz w:val="32"/>
          <w:szCs w:val="32"/>
        </w:rPr>
        <w:t>〕</w:t>
      </w:r>
      <w:r>
        <w:rPr>
          <w:rFonts w:eastAsia="方正仿宋_GBK"/>
          <w:sz w:val="32"/>
          <w:szCs w:val="32"/>
        </w:rPr>
        <w:t>5</w:t>
      </w:r>
      <w:r>
        <w:rPr>
          <w:rFonts w:hint="eastAsia" w:eastAsia="方正仿宋_GBK"/>
          <w:sz w:val="32"/>
          <w:szCs w:val="32"/>
        </w:rPr>
        <w:t>号），作出罚款</w:t>
      </w:r>
      <w:r>
        <w:rPr>
          <w:rFonts w:eastAsia="方正仿宋_GBK"/>
          <w:sz w:val="32"/>
          <w:szCs w:val="32"/>
        </w:rPr>
        <w:t>18000</w:t>
      </w:r>
      <w:r>
        <w:rPr>
          <w:rFonts w:hint="eastAsia" w:eastAsia="方正仿宋_GBK"/>
          <w:sz w:val="32"/>
          <w:szCs w:val="32"/>
        </w:rPr>
        <w:t>元的行政处罚，并要求项目立即停止建设。目前建设单位已缴纳罚款，违法行为已得到查处。</w:t>
      </w:r>
    </w:p>
    <w:p>
      <w:pPr>
        <w:overflowPunct w:val="0"/>
        <w:topLinePunct/>
        <w:spacing w:line="560" w:lineRule="exact"/>
        <w:ind w:firstLine="640" w:firstLineChars="200"/>
        <w:rPr>
          <w:rFonts w:eastAsia="方正仿宋_GBK"/>
          <w:sz w:val="32"/>
          <w:szCs w:val="32"/>
        </w:rPr>
      </w:pPr>
      <w:r>
        <w:rPr>
          <w:rFonts w:hint="eastAsia" w:eastAsia="方正仿宋_GBK"/>
          <w:sz w:val="32"/>
          <w:szCs w:val="32"/>
        </w:rPr>
        <w:t>本项目符合国家产政策，不涉及云南省生态保护红线、自然保护区、风景名胜区、水源地保护区等敏感区域。在全面落实环境影响报告表提出的各项污染防治和生态保护措施后，项目污染物可达标排放，项目整改和运营的不良环境影响可以得到减缓和控制，我局同意该项目按照环境影响报告表中的性质、地点、采用的环境保护对策、措施进行建设。</w:t>
      </w:r>
    </w:p>
    <w:p>
      <w:pPr>
        <w:topLinePunct/>
        <w:spacing w:line="560" w:lineRule="exact"/>
        <w:ind w:firstLine="632" w:firstLineChars="200"/>
        <w:rPr>
          <w:rFonts w:eastAsia="方正仿宋_GBK"/>
          <w:spacing w:val="-2"/>
          <w:sz w:val="32"/>
          <w:szCs w:val="32"/>
        </w:rPr>
      </w:pPr>
      <w:r>
        <w:rPr>
          <w:rFonts w:hint="eastAsia" w:eastAsia="方正仿宋_GBK"/>
          <w:spacing w:val="-2"/>
          <w:sz w:val="32"/>
          <w:szCs w:val="32"/>
        </w:rPr>
        <w:t>二、项目建设和运营过程中应重点做好的工作</w:t>
      </w:r>
    </w:p>
    <w:p>
      <w:pPr>
        <w:topLinePunct/>
        <w:spacing w:line="560" w:lineRule="exact"/>
        <w:ind w:firstLine="640" w:firstLineChars="200"/>
        <w:rPr>
          <w:rFonts w:eastAsia="方正仿宋_GBK"/>
          <w:spacing w:val="-2"/>
          <w:sz w:val="32"/>
          <w:szCs w:val="32"/>
        </w:rPr>
      </w:pPr>
      <w:r>
        <w:rPr>
          <w:rFonts w:hint="eastAsia" w:eastAsia="方正仿宋_GBK"/>
          <w:sz w:val="32"/>
          <w:szCs w:val="32"/>
        </w:rPr>
        <w:t>㈠《盈江县生物质颗粒生产建设项目环境影响报告表》</w:t>
      </w:r>
      <w:r>
        <w:rPr>
          <w:rFonts w:hint="eastAsia" w:eastAsia="方正仿宋_GBK"/>
          <w:spacing w:val="-2"/>
          <w:sz w:val="32"/>
          <w:szCs w:val="32"/>
        </w:rPr>
        <w:t>作为该项目建设和运营期环境管理的依据，必须认真落实《报告表》提出的各项环保对策措施，严格按提出的环保投资概算执行。</w:t>
      </w:r>
    </w:p>
    <w:p>
      <w:pPr>
        <w:topLinePunct/>
        <w:spacing w:line="560" w:lineRule="exact"/>
        <w:ind w:firstLine="640" w:firstLineChars="200"/>
        <w:rPr>
          <w:rFonts w:eastAsia="方正仿宋_GBK"/>
          <w:bCs/>
          <w:sz w:val="32"/>
          <w:szCs w:val="32"/>
        </w:rPr>
      </w:pPr>
      <w:r>
        <w:rPr>
          <w:rFonts w:hint="eastAsia" w:eastAsia="方正仿宋_GBK"/>
          <w:bCs/>
          <w:sz w:val="32"/>
          <w:szCs w:val="32"/>
        </w:rPr>
        <w:t>㈡施工期必须加强管理，施工过程采取洒水降尘、物料堆场遮盖等措施减少扬尘产生；物料运输过程中必须装载规范，加盖篷布，防止沿途撒漏；施工期间必须合理安排施工时间，午休时间</w:t>
      </w:r>
      <w:r>
        <w:rPr>
          <w:rFonts w:eastAsia="方正仿宋_GBK"/>
          <w:bCs/>
          <w:sz w:val="32"/>
          <w:szCs w:val="32"/>
        </w:rPr>
        <w:t>12:00—14:00</w:t>
      </w:r>
      <w:r>
        <w:rPr>
          <w:rFonts w:hint="eastAsia" w:eastAsia="方正仿宋_GBK"/>
          <w:bCs/>
          <w:sz w:val="32"/>
          <w:szCs w:val="32"/>
        </w:rPr>
        <w:t>时、夜间</w:t>
      </w:r>
      <w:r>
        <w:rPr>
          <w:rFonts w:eastAsia="方正仿宋_GBK"/>
          <w:bCs/>
          <w:sz w:val="32"/>
          <w:szCs w:val="32"/>
        </w:rPr>
        <w:t>22:00—</w:t>
      </w:r>
      <w:r>
        <w:rPr>
          <w:rFonts w:hint="eastAsia" w:eastAsia="方正仿宋_GBK"/>
          <w:bCs/>
          <w:sz w:val="32"/>
          <w:szCs w:val="32"/>
        </w:rPr>
        <w:t>次日</w:t>
      </w:r>
      <w:r>
        <w:rPr>
          <w:rFonts w:eastAsia="方正仿宋_GBK"/>
          <w:bCs/>
          <w:sz w:val="32"/>
          <w:szCs w:val="32"/>
        </w:rPr>
        <w:t>6:00</w:t>
      </w:r>
      <w:r>
        <w:rPr>
          <w:rFonts w:hint="eastAsia" w:eastAsia="方正仿宋_GBK"/>
          <w:bCs/>
          <w:sz w:val="32"/>
          <w:szCs w:val="32"/>
        </w:rPr>
        <w:t>时禁止施工，施工场界噪声执行《建筑施工场界环境噪声排放标准》（</w:t>
      </w:r>
      <w:r>
        <w:rPr>
          <w:rFonts w:eastAsia="方正仿宋_GBK"/>
          <w:bCs/>
          <w:sz w:val="32"/>
          <w:szCs w:val="32"/>
        </w:rPr>
        <w:t>GB12523-2011</w:t>
      </w:r>
      <w:r>
        <w:rPr>
          <w:rFonts w:hint="eastAsia" w:eastAsia="方正仿宋_GBK"/>
          <w:bCs/>
          <w:sz w:val="32"/>
          <w:szCs w:val="32"/>
        </w:rPr>
        <w:t>）；施工场地必须设置临时沉淀池，施工废水经沉淀处理后回用或洒水降尘，严禁外排；合理布置材料堆场，开挖土石方全部回填，建筑垃圾分类后可回收部分外售，不可回收部分清运至住建部门指定地点，严禁随意堆放、丢弃。</w:t>
      </w:r>
    </w:p>
    <w:p>
      <w:pPr>
        <w:pStyle w:val="3"/>
        <w:spacing w:line="560" w:lineRule="exact"/>
        <w:ind w:firstLine="640" w:firstLineChars="200"/>
        <w:rPr>
          <w:rFonts w:eastAsia="方正仿宋_GBK"/>
          <w:sz w:val="32"/>
          <w:szCs w:val="32"/>
        </w:rPr>
      </w:pPr>
      <w:r>
        <w:rPr>
          <w:rFonts w:hint="eastAsia" w:eastAsia="方正仿宋_GBK"/>
          <w:sz w:val="32"/>
          <w:szCs w:val="32"/>
        </w:rPr>
        <w:t>㈢项目必须完善雨污分流，雨水经雨水沟外排；生活污水经油水分离器处理后排入化粪池，化粪池出水暂存于收集池，用于周边林地灌溉，严禁外排，若外排则必须自建污水处理设施，处理达到《污水综合排放标准》（</w:t>
      </w:r>
      <w:r>
        <w:rPr>
          <w:rFonts w:eastAsia="方正仿宋_GBK"/>
          <w:sz w:val="32"/>
          <w:szCs w:val="32"/>
        </w:rPr>
        <w:t>GB 8978-1996</w:t>
      </w:r>
      <w:r>
        <w:rPr>
          <w:rFonts w:hint="eastAsia" w:eastAsia="方正仿宋_GBK"/>
          <w:sz w:val="32"/>
          <w:szCs w:val="32"/>
        </w:rPr>
        <w:t>）表</w:t>
      </w:r>
      <w:r>
        <w:rPr>
          <w:rFonts w:eastAsia="方正仿宋_GBK"/>
          <w:sz w:val="32"/>
          <w:szCs w:val="32"/>
        </w:rPr>
        <w:t xml:space="preserve">2 </w:t>
      </w:r>
      <w:r>
        <w:rPr>
          <w:rFonts w:hint="eastAsia" w:eastAsia="方正仿宋_GBK"/>
          <w:sz w:val="32"/>
          <w:szCs w:val="32"/>
        </w:rPr>
        <w:t>一级标准后方可排放；水膜除尘废水经沉淀处理后循环使用，严禁外排，循环水池必须采取防雨、防渗、防溢流措施。</w:t>
      </w:r>
    </w:p>
    <w:p>
      <w:pPr>
        <w:pStyle w:val="3"/>
        <w:spacing w:line="560" w:lineRule="exact"/>
        <w:ind w:firstLine="640" w:firstLineChars="200"/>
        <w:rPr>
          <w:rFonts w:eastAsia="方正仿宋_GBK"/>
          <w:sz w:val="32"/>
          <w:szCs w:val="32"/>
        </w:rPr>
      </w:pPr>
      <w:r>
        <w:rPr>
          <w:rFonts w:hint="eastAsia" w:eastAsia="方正仿宋_GBK"/>
          <w:sz w:val="32"/>
          <w:szCs w:val="32"/>
        </w:rPr>
        <w:t>㈣运营期加强大气污染防治，原材料粉碎、筛选工序产尘点设置</w:t>
      </w:r>
      <w:r>
        <w:rPr>
          <w:rFonts w:eastAsia="方正仿宋_GBK"/>
          <w:sz w:val="32"/>
          <w:szCs w:val="32"/>
        </w:rPr>
        <w:t>3</w:t>
      </w:r>
      <w:r>
        <w:rPr>
          <w:rFonts w:hint="eastAsia" w:eastAsia="方正仿宋_GBK"/>
          <w:sz w:val="32"/>
          <w:szCs w:val="32"/>
        </w:rPr>
        <w:t>套旋风</w:t>
      </w:r>
      <w:r>
        <w:rPr>
          <w:rFonts w:eastAsia="方正仿宋_GBK"/>
          <w:sz w:val="32"/>
          <w:szCs w:val="32"/>
        </w:rPr>
        <w:t>+</w:t>
      </w:r>
      <w:r>
        <w:rPr>
          <w:rFonts w:hint="eastAsia" w:eastAsia="方正仿宋_GBK"/>
          <w:sz w:val="32"/>
          <w:szCs w:val="32"/>
        </w:rPr>
        <w:t>布袋除尘器处理无组织粉尘，生产车间无组织粉尘执行《大气污染物综合排放标准》（</w:t>
      </w:r>
      <w:r>
        <w:rPr>
          <w:rFonts w:eastAsia="方正仿宋_GBK"/>
          <w:sz w:val="32"/>
          <w:szCs w:val="32"/>
        </w:rPr>
        <w:t>GB16297-1996</w:t>
      </w:r>
      <w:r>
        <w:rPr>
          <w:rFonts w:hint="eastAsia" w:eastAsia="方正仿宋_GBK"/>
          <w:sz w:val="32"/>
          <w:szCs w:val="32"/>
        </w:rPr>
        <w:t>）无组织排放标准；</w:t>
      </w:r>
      <w:r>
        <w:rPr>
          <w:rFonts w:hint="eastAsia" w:eastAsia="方正仿宋_GBK"/>
          <w:bCs/>
          <w:sz w:val="32"/>
          <w:szCs w:val="32"/>
        </w:rPr>
        <w:t>烘干机废气经</w:t>
      </w:r>
      <w:r>
        <w:rPr>
          <w:rFonts w:eastAsia="方正仿宋_GBK"/>
          <w:bCs/>
          <w:sz w:val="32"/>
          <w:szCs w:val="32"/>
        </w:rPr>
        <w:t>1</w:t>
      </w:r>
      <w:r>
        <w:rPr>
          <w:rFonts w:hint="eastAsia" w:eastAsia="方正仿宋_GBK"/>
          <w:bCs/>
          <w:sz w:val="32"/>
          <w:szCs w:val="32"/>
        </w:rPr>
        <w:t>套旋风</w:t>
      </w:r>
      <w:r>
        <w:rPr>
          <w:rFonts w:eastAsia="方正仿宋_GBK"/>
          <w:bCs/>
          <w:sz w:val="32"/>
          <w:szCs w:val="32"/>
        </w:rPr>
        <w:t>+</w:t>
      </w:r>
      <w:r>
        <w:rPr>
          <w:rFonts w:hint="eastAsia" w:eastAsia="方正仿宋_GBK"/>
          <w:bCs/>
          <w:sz w:val="32"/>
          <w:szCs w:val="32"/>
        </w:rPr>
        <w:t>水膜除尘设备处理后，通过</w:t>
      </w:r>
      <w:r>
        <w:rPr>
          <w:rFonts w:eastAsia="方正仿宋_GBK"/>
          <w:bCs/>
          <w:sz w:val="32"/>
          <w:szCs w:val="32"/>
        </w:rPr>
        <w:t>15</w:t>
      </w:r>
      <w:r>
        <w:rPr>
          <w:rFonts w:hint="eastAsia" w:eastAsia="方正仿宋_GBK"/>
          <w:bCs/>
          <w:sz w:val="32"/>
          <w:szCs w:val="32"/>
        </w:rPr>
        <w:t>米高排气筒达标排放，排放标准执行《工业炉窑大气污染物排放标准》（</w:t>
      </w:r>
      <w:r>
        <w:rPr>
          <w:rFonts w:eastAsia="方正仿宋_GBK"/>
          <w:bCs/>
          <w:sz w:val="32"/>
          <w:szCs w:val="32"/>
        </w:rPr>
        <w:t>GB9078-1996</w:t>
      </w:r>
      <w:r>
        <w:rPr>
          <w:rFonts w:hint="eastAsia" w:eastAsia="方正仿宋_GBK"/>
          <w:bCs/>
          <w:sz w:val="32"/>
          <w:szCs w:val="32"/>
        </w:rPr>
        <w:t>）表</w:t>
      </w:r>
      <w:r>
        <w:rPr>
          <w:rFonts w:eastAsia="方正仿宋_GBK"/>
          <w:bCs/>
          <w:sz w:val="32"/>
          <w:szCs w:val="32"/>
        </w:rPr>
        <w:t>2</w:t>
      </w:r>
      <w:r>
        <w:rPr>
          <w:rFonts w:hint="eastAsia" w:eastAsia="方正仿宋_GBK"/>
          <w:bCs/>
          <w:sz w:val="32"/>
          <w:szCs w:val="32"/>
        </w:rPr>
        <w:t>干燥炉、窑二级标准，排气筒必须按照相关规范设置监测口；</w:t>
      </w:r>
      <w:r>
        <w:rPr>
          <w:rFonts w:hint="eastAsia" w:eastAsia="方正仿宋_GBK"/>
          <w:sz w:val="32"/>
          <w:szCs w:val="32"/>
        </w:rPr>
        <w:t>食堂必须安装油烟净化设施，食堂油烟经处理后排放。</w:t>
      </w:r>
    </w:p>
    <w:p>
      <w:pPr>
        <w:pStyle w:val="3"/>
        <w:spacing w:line="560" w:lineRule="exact"/>
        <w:ind w:firstLine="640" w:firstLineChars="200"/>
        <w:rPr>
          <w:rFonts w:eastAsia="方正仿宋_GBK"/>
          <w:bCs/>
          <w:sz w:val="32"/>
          <w:szCs w:val="32"/>
        </w:rPr>
      </w:pPr>
      <w:r>
        <w:rPr>
          <w:rFonts w:hint="eastAsia" w:eastAsia="方正仿宋_GBK"/>
          <w:sz w:val="32"/>
          <w:szCs w:val="32"/>
        </w:rPr>
        <w:t>㈤运营期加强噪声污染防治，对噪声设备进行减震、降噪处理</w:t>
      </w:r>
      <w:r>
        <w:rPr>
          <w:rFonts w:hint="eastAsia" w:eastAsia="方正仿宋_GBK"/>
          <w:bCs/>
          <w:sz w:val="32"/>
          <w:szCs w:val="32"/>
        </w:rPr>
        <w:t>，项目运营期噪声执行《工业企业厂界环境噪声排放标准》（</w:t>
      </w:r>
      <w:r>
        <w:rPr>
          <w:rFonts w:eastAsia="方正仿宋_GBK"/>
          <w:bCs/>
          <w:sz w:val="32"/>
          <w:szCs w:val="32"/>
        </w:rPr>
        <w:t>GB12348-2008</w:t>
      </w:r>
      <w:r>
        <w:rPr>
          <w:rFonts w:hint="eastAsia" w:eastAsia="方正仿宋_GBK"/>
          <w:bCs/>
          <w:sz w:val="32"/>
          <w:szCs w:val="32"/>
        </w:rPr>
        <w:t>）</w:t>
      </w:r>
      <w:r>
        <w:rPr>
          <w:rFonts w:eastAsia="方正仿宋_GBK"/>
          <w:bCs/>
          <w:sz w:val="32"/>
          <w:szCs w:val="32"/>
        </w:rPr>
        <w:t>2</w:t>
      </w:r>
      <w:r>
        <w:rPr>
          <w:rFonts w:hint="eastAsia" w:eastAsia="方正仿宋_GBK"/>
          <w:bCs/>
          <w:sz w:val="32"/>
          <w:szCs w:val="32"/>
        </w:rPr>
        <w:t>类标准；</w:t>
      </w:r>
      <w:r>
        <w:rPr>
          <w:rFonts w:hint="eastAsia" w:eastAsia="方正仿宋_GBK"/>
          <w:sz w:val="32"/>
          <w:szCs w:val="32"/>
        </w:rPr>
        <w:t>定期维护噪声设备，避免产生非正常运行噪声影响；</w:t>
      </w:r>
      <w:r>
        <w:rPr>
          <w:rFonts w:hint="eastAsia" w:eastAsia="方正仿宋_GBK"/>
          <w:bCs/>
          <w:sz w:val="32"/>
          <w:szCs w:val="32"/>
        </w:rPr>
        <w:t>加强对运输车辆管理，项目进出口设置限速、禁鸣标志</w:t>
      </w:r>
      <w:r>
        <w:rPr>
          <w:rFonts w:hint="eastAsia" w:eastAsia="方正仿宋_GBK"/>
          <w:sz w:val="32"/>
          <w:szCs w:val="32"/>
        </w:rPr>
        <w:t>。</w:t>
      </w:r>
    </w:p>
    <w:p>
      <w:pPr>
        <w:pStyle w:val="3"/>
        <w:spacing w:line="560" w:lineRule="exact"/>
        <w:ind w:firstLine="640" w:firstLineChars="200"/>
        <w:rPr>
          <w:rFonts w:eastAsia="方正仿宋_GBK"/>
          <w:sz w:val="32"/>
          <w:szCs w:val="32"/>
        </w:rPr>
      </w:pPr>
      <w:r>
        <w:rPr>
          <w:rFonts w:hint="eastAsia" w:eastAsia="方正仿宋_GBK"/>
          <w:sz w:val="32"/>
          <w:szCs w:val="32"/>
        </w:rPr>
        <w:t>㈥加强固废管理，生活垃圾集中收集后清运至当地垃圾收集点，交由环卫部门处置；除尘器粉尘、不合格产品等生产废物收集后回用，严禁随意丢弃；化粪池、水浴除尘器污泥定期委托周边农户清掏用作农肥；食堂泔水按照住建部门规定妥善处置。</w:t>
      </w:r>
    </w:p>
    <w:p>
      <w:pPr>
        <w:pStyle w:val="3"/>
        <w:spacing w:line="560" w:lineRule="exact"/>
        <w:ind w:firstLine="640" w:firstLineChars="200"/>
        <w:rPr>
          <w:rFonts w:eastAsia="方正仿宋_GBK"/>
          <w:sz w:val="32"/>
          <w:szCs w:val="32"/>
        </w:rPr>
      </w:pPr>
      <w:r>
        <w:rPr>
          <w:rFonts w:hint="eastAsia" w:eastAsia="方正仿宋_GBK"/>
          <w:sz w:val="32"/>
          <w:szCs w:val="32"/>
        </w:rPr>
        <w:t>㈦项目污染物排放总量控制指标：二氧化硫</w:t>
      </w:r>
      <w:r>
        <w:rPr>
          <w:rFonts w:eastAsia="方正仿宋_GBK"/>
          <w:sz w:val="32"/>
          <w:szCs w:val="32"/>
        </w:rPr>
        <w:t>0.122</w:t>
      </w:r>
      <w:r>
        <w:rPr>
          <w:rFonts w:hint="eastAsia" w:eastAsia="方正仿宋_GBK"/>
          <w:sz w:val="32"/>
          <w:szCs w:val="32"/>
        </w:rPr>
        <w:t>吨每年，氮氧化物</w:t>
      </w:r>
      <w:r>
        <w:rPr>
          <w:rFonts w:eastAsia="方正仿宋_GBK"/>
          <w:sz w:val="32"/>
          <w:szCs w:val="32"/>
        </w:rPr>
        <w:t>0.041</w:t>
      </w:r>
      <w:r>
        <w:rPr>
          <w:rFonts w:hint="eastAsia" w:eastAsia="方正仿宋_GBK"/>
          <w:sz w:val="32"/>
          <w:szCs w:val="32"/>
        </w:rPr>
        <w:t>吨每年。</w:t>
      </w:r>
    </w:p>
    <w:p>
      <w:pPr>
        <w:numPr>
          <w:ilvl w:val="0"/>
          <w:numId w:val="1"/>
        </w:numPr>
        <w:topLinePunct/>
        <w:spacing w:line="560" w:lineRule="exact"/>
        <w:ind w:firstLine="640" w:firstLineChars="200"/>
        <w:rPr>
          <w:rFonts w:eastAsia="方正仿宋_GBK"/>
          <w:sz w:val="32"/>
          <w:szCs w:val="32"/>
        </w:rPr>
      </w:pPr>
      <w:r>
        <w:rPr>
          <w:rFonts w:hint="eastAsia" w:eastAsia="方正仿宋_GBK"/>
          <w:sz w:val="32"/>
          <w:szCs w:val="32"/>
        </w:rPr>
        <w:t>加强管理，健全机构，严格执行环保</w:t>
      </w:r>
      <w:r>
        <w:rPr>
          <w:rFonts w:eastAsia="方正仿宋_GBK"/>
          <w:sz w:val="32"/>
          <w:szCs w:val="32"/>
        </w:rPr>
        <w:t>“</w:t>
      </w:r>
      <w:r>
        <w:rPr>
          <w:rFonts w:hint="eastAsia" w:eastAsia="方正仿宋_GBK"/>
          <w:sz w:val="32"/>
          <w:szCs w:val="32"/>
        </w:rPr>
        <w:t>三同时</w:t>
      </w:r>
      <w:r>
        <w:rPr>
          <w:rFonts w:eastAsia="方正仿宋_GBK"/>
          <w:sz w:val="32"/>
          <w:szCs w:val="32"/>
        </w:rPr>
        <w:t>”</w:t>
      </w:r>
      <w:r>
        <w:rPr>
          <w:rFonts w:hint="eastAsia" w:eastAsia="方正仿宋_GBK"/>
          <w:sz w:val="32"/>
          <w:szCs w:val="32"/>
        </w:rPr>
        <w:t>制度，积极配合环境保护行政主管部门的环境监察工作。项目建设完成后，及时报告我局，并按规定自主开展竣工环保验收，收合格后方可正式投入运行。项目必须严格按照环境监测计划开展运营期大气监测，确保污染物达标排放。</w:t>
      </w:r>
    </w:p>
    <w:p>
      <w:pPr>
        <w:topLinePunct/>
        <w:spacing w:line="560" w:lineRule="exact"/>
        <w:ind w:firstLine="640" w:firstLineChars="200"/>
        <w:rPr>
          <w:rFonts w:eastAsia="方正仿宋_GBK"/>
          <w:sz w:val="32"/>
          <w:szCs w:val="32"/>
        </w:rPr>
      </w:pPr>
      <w:r>
        <w:rPr>
          <w:rFonts w:hint="eastAsia" w:eastAsia="方正仿宋_GBK"/>
          <w:sz w:val="32"/>
          <w:szCs w:val="32"/>
        </w:rPr>
        <w:t>四、项目的性质、规模、地点、采用的生产工艺或者防治污染、防治生态破坏的措施发生重大变化的，经调查属于重大变动的应当重新报批项目的环境影响评价文件，不属于重大变动的纳入竣工环境保护验收管理。</w:t>
      </w:r>
    </w:p>
    <w:p>
      <w:pPr>
        <w:topLinePunct/>
        <w:spacing w:line="560" w:lineRule="exact"/>
        <w:ind w:firstLine="640" w:firstLineChars="200"/>
        <w:rPr>
          <w:rFonts w:eastAsia="方正仿宋_GBK"/>
          <w:sz w:val="32"/>
          <w:szCs w:val="32"/>
        </w:rPr>
      </w:pPr>
      <w:r>
        <w:rPr>
          <w:rFonts w:hint="eastAsia" w:eastAsia="方正仿宋_GBK"/>
          <w:sz w:val="32"/>
          <w:szCs w:val="32"/>
        </w:rPr>
        <w:t>五、请盈江县环境监察大队加强对该项目施工期和营运期的现场监察。</w:t>
      </w:r>
    </w:p>
    <w:p>
      <w:pPr>
        <w:spacing w:line="560" w:lineRule="exact"/>
        <w:ind w:right="640" w:firstLine="640" w:firstLineChars="200"/>
        <w:jc w:val="center"/>
        <w:rPr>
          <w:rFonts w:eastAsia="方正仿宋_GBK"/>
          <w:sz w:val="32"/>
          <w:szCs w:val="32"/>
        </w:rPr>
      </w:pPr>
      <w:r>
        <w:rPr>
          <w:rFonts w:eastAsia="方正仿宋_GBK"/>
          <w:sz w:val="32"/>
          <w:szCs w:val="32"/>
        </w:rPr>
        <w:t xml:space="preserve">            </w:t>
      </w:r>
    </w:p>
    <w:p>
      <w:pPr>
        <w:spacing w:line="560" w:lineRule="exact"/>
        <w:ind w:right="640" w:firstLine="640" w:firstLineChars="200"/>
        <w:jc w:val="center"/>
        <w:rPr>
          <w:rFonts w:eastAsia="方正仿宋_GBK"/>
          <w:sz w:val="32"/>
          <w:szCs w:val="32"/>
        </w:rPr>
      </w:pPr>
      <w:r>
        <w:rPr>
          <w:rFonts w:eastAsia="方正仿宋_GBK"/>
          <w:sz w:val="32"/>
          <w:szCs w:val="32"/>
        </w:rPr>
        <w:t xml:space="preserve">       </w:t>
      </w:r>
    </w:p>
    <w:p>
      <w:pPr>
        <w:spacing w:line="560" w:lineRule="exact"/>
        <w:ind w:right="640" w:firstLine="640" w:firstLineChars="200"/>
        <w:jc w:val="center"/>
        <w:rPr>
          <w:rFonts w:eastAsia="方正仿宋_GBK"/>
          <w:sz w:val="32"/>
          <w:szCs w:val="32"/>
        </w:rPr>
      </w:pPr>
    </w:p>
    <w:p>
      <w:pPr>
        <w:spacing w:line="560" w:lineRule="exact"/>
        <w:ind w:right="640" w:firstLine="640" w:firstLineChars="200"/>
        <w:jc w:val="center"/>
        <w:rPr>
          <w:rFonts w:eastAsia="方正仿宋_GBK"/>
          <w:sz w:val="32"/>
          <w:szCs w:val="32"/>
        </w:rPr>
      </w:pPr>
      <w:r>
        <w:rPr>
          <w:rFonts w:eastAsia="方正仿宋_GBK"/>
          <w:sz w:val="32"/>
          <w:szCs w:val="32"/>
        </w:rPr>
        <w:t xml:space="preserve">                 </w:t>
      </w:r>
      <w:r>
        <w:rPr>
          <w:rFonts w:hint="eastAsia" w:eastAsia="方正仿宋_GBK"/>
          <w:sz w:val="32"/>
          <w:szCs w:val="32"/>
        </w:rPr>
        <w:t>德宏州生态环境局盈江分局</w:t>
      </w:r>
    </w:p>
    <w:p>
      <w:pPr>
        <w:spacing w:line="560" w:lineRule="exact"/>
        <w:ind w:right="640" w:firstLine="640" w:firstLineChars="200"/>
        <w:jc w:val="center"/>
        <w:rPr>
          <w:rFonts w:eastAsia="方正仿宋_GBK"/>
          <w:sz w:val="32"/>
          <w:szCs w:val="32"/>
        </w:rPr>
      </w:pPr>
      <w:r>
        <w:rPr>
          <w:rFonts w:eastAsia="方正仿宋_GBK"/>
          <w:sz w:val="32"/>
          <w:szCs w:val="32"/>
        </w:rPr>
        <w:t xml:space="preserve">                  2019</w:t>
      </w:r>
      <w:r>
        <w:rPr>
          <w:rFonts w:hint="eastAsia" w:eastAsia="方正仿宋_GBK"/>
          <w:sz w:val="32"/>
          <w:szCs w:val="32"/>
        </w:rPr>
        <w:t>年</w:t>
      </w:r>
      <w:r>
        <w:rPr>
          <w:rFonts w:eastAsia="方正仿宋_GBK"/>
          <w:sz w:val="32"/>
          <w:szCs w:val="32"/>
        </w:rPr>
        <w:t>12</w:t>
      </w:r>
      <w:r>
        <w:rPr>
          <w:rFonts w:hint="eastAsia" w:eastAsia="方正仿宋_GBK"/>
          <w:sz w:val="32"/>
          <w:szCs w:val="32"/>
        </w:rPr>
        <w:t>月</w:t>
      </w:r>
      <w:r>
        <w:rPr>
          <w:rFonts w:eastAsia="方正仿宋_GBK"/>
          <w:sz w:val="32"/>
          <w:szCs w:val="32"/>
        </w:rPr>
        <w:t>2</w:t>
      </w:r>
      <w:r>
        <w:rPr>
          <w:rFonts w:hint="eastAsia" w:eastAsia="方正仿宋_GBK"/>
          <w:sz w:val="32"/>
          <w:szCs w:val="32"/>
        </w:rPr>
        <w:t>日</w:t>
      </w: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spacing w:line="320" w:lineRule="exact"/>
        <w:rPr>
          <w:rFonts w:eastAsia="方正仿宋_GBK"/>
        </w:rPr>
      </w:pPr>
      <w:r>
        <w:pict>
          <v:line id="直线 2" o:spid="_x0000_s1028" o:spt="20" style="position:absolute;left:0pt;margin-left:0.6pt;margin-top:7.1pt;height:0pt;width:441pt;z-index:251660288;mso-width-relative:page;mso-height-relative:page;" coordsize="21600,21600" o:gfxdata="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Xqfqm0gAAAAcBAAAPAAAAAAAAAAEAIAAAACIAAABkcnMvZG93&#10;bnJldi54bWxQSwECFAAUAAAACACHTuJAuxlYNM0BAACNAwAADgAAAAAAAAABACAAAAAhAQAAZHJz&#10;L2Uyb0RvYy54bWxQSwUGAAAAAAYABgBZAQAAYAUAAAAA&#10;">
            <v:path arrowok="t"/>
            <v:fill focussize="0,0"/>
            <v:stroke/>
            <v:imagedata o:title=""/>
            <o:lock v:ext="edit"/>
          </v:line>
        </w:pict>
      </w:r>
    </w:p>
    <w:p>
      <w:pPr>
        <w:tabs>
          <w:tab w:val="left" w:pos="8507"/>
        </w:tabs>
        <w:spacing w:line="320" w:lineRule="exact"/>
        <w:ind w:firstLine="560" w:firstLineChars="200"/>
        <w:rPr>
          <w:rFonts w:eastAsia="方正仿宋_GBK"/>
          <w:sz w:val="28"/>
          <w:szCs w:val="28"/>
        </w:rPr>
      </w:pPr>
      <w:r>
        <w:rPr>
          <w:rFonts w:hint="eastAsia" w:eastAsia="方正仿宋_GBK"/>
          <w:sz w:val="28"/>
          <w:szCs w:val="28"/>
        </w:rPr>
        <w:t>德宏州生态环境局盈江分局办公室</w:t>
      </w:r>
      <w:r>
        <w:rPr>
          <w:rFonts w:eastAsia="方正仿宋_GBK"/>
          <w:sz w:val="28"/>
          <w:szCs w:val="28"/>
        </w:rPr>
        <w:t xml:space="preserve">     2019</w:t>
      </w:r>
      <w:r>
        <w:rPr>
          <w:rFonts w:hint="eastAsia" w:eastAsia="方正仿宋_GBK"/>
          <w:sz w:val="28"/>
          <w:szCs w:val="28"/>
        </w:rPr>
        <w:t>年</w:t>
      </w:r>
      <w:r>
        <w:rPr>
          <w:rFonts w:eastAsia="方正仿宋_GBK"/>
          <w:sz w:val="28"/>
          <w:szCs w:val="28"/>
        </w:rPr>
        <w:t>12</w:t>
      </w:r>
      <w:r>
        <w:rPr>
          <w:rFonts w:hint="eastAsia" w:eastAsia="方正仿宋_GBK"/>
          <w:sz w:val="28"/>
          <w:szCs w:val="28"/>
        </w:rPr>
        <w:t>月</w:t>
      </w:r>
      <w:r>
        <w:rPr>
          <w:rFonts w:eastAsia="方正仿宋_GBK"/>
          <w:sz w:val="28"/>
          <w:szCs w:val="28"/>
        </w:rPr>
        <w:t>2</w:t>
      </w:r>
      <w:r>
        <w:rPr>
          <w:rFonts w:hint="eastAsia" w:eastAsia="方正仿宋_GBK"/>
          <w:sz w:val="28"/>
          <w:szCs w:val="28"/>
        </w:rPr>
        <w:t>日印发</w:t>
      </w:r>
    </w:p>
    <w:p>
      <w:pPr>
        <w:spacing w:line="320" w:lineRule="exact"/>
        <w:rPr>
          <w:sz w:val="28"/>
          <w:szCs w:val="28"/>
        </w:rPr>
      </w:pPr>
      <w:r>
        <w:pict>
          <v:line id="直线 3" o:spid="_x0000_s1029" o:spt="20" style="position:absolute;left:0pt;margin-left:0.45pt;margin-top:6.6pt;height:0pt;width:441pt;z-index:251661312;mso-width-relative:page;mso-height-relative:page;" coordsize="21600,21600" o:gfxdata="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8kkrV0gAAAAYBAAAPAAAAAAAAAAEAIAAAACIAAABkcnMvZG93&#10;bnJldi54bWxQSwECFAAUAAAACACHTuJAXPCxp80BAACNAwAADgAAAAAAAAABACAAAAAhAQAAZHJz&#10;L2Uyb0RvYy54bWxQSwUGAAAAAAYABgBZAQAAYAUAAAAA&#10;">
            <v:path arrowok="t"/>
            <v:fill focussize="0,0"/>
            <v:stroke/>
            <v:imagedata o:title=""/>
            <o:lock v:ext="edit"/>
          </v:line>
        </w:pi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sz w:val="21"/>
      </w:rPr>
    </w:pPr>
    <w:r>
      <w:rPr>
        <w:rStyle w:val="10"/>
        <w:sz w:val="21"/>
      </w:rPr>
      <w:fldChar w:fldCharType="begin"/>
    </w:r>
    <w:r>
      <w:rPr>
        <w:rStyle w:val="10"/>
        <w:sz w:val="21"/>
      </w:rPr>
      <w:instrText xml:space="preserve">PAGE  </w:instrText>
    </w:r>
    <w:r>
      <w:rPr>
        <w:rStyle w:val="10"/>
        <w:sz w:val="21"/>
      </w:rPr>
      <w:fldChar w:fldCharType="separate"/>
    </w:r>
    <w:r>
      <w:rPr>
        <w:rStyle w:val="10"/>
        <w:sz w:val="21"/>
      </w:rPr>
      <w:t>4</w:t>
    </w:r>
    <w:r>
      <w:rPr>
        <w:rStyle w:val="10"/>
        <w:sz w:val="21"/>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sz w:val="21"/>
      </w:rPr>
    </w:pPr>
    <w:r>
      <w:rPr>
        <w:rStyle w:val="10"/>
        <w:sz w:val="21"/>
      </w:rPr>
      <w:fldChar w:fldCharType="begin"/>
    </w:r>
    <w:r>
      <w:rPr>
        <w:rStyle w:val="10"/>
        <w:sz w:val="21"/>
      </w:rPr>
      <w:instrText xml:space="preserve">PAGE  </w:instrText>
    </w:r>
    <w:r>
      <w:rPr>
        <w:rStyle w:val="10"/>
        <w:sz w:val="21"/>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DDE930"/>
    <w:multiLevelType w:val="singleLevel"/>
    <w:tmpl w:val="59DDE930"/>
    <w:lvl w:ilvl="0" w:tentative="0">
      <w:start w:val="3"/>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2200"/>
    <w:rsid w:val="00135CA3"/>
    <w:rsid w:val="00172A27"/>
    <w:rsid w:val="00275F3B"/>
    <w:rsid w:val="00522902"/>
    <w:rsid w:val="005D2B03"/>
    <w:rsid w:val="00660459"/>
    <w:rsid w:val="00685610"/>
    <w:rsid w:val="00761D35"/>
    <w:rsid w:val="00A249F3"/>
    <w:rsid w:val="00A5605E"/>
    <w:rsid w:val="00AC2A90"/>
    <w:rsid w:val="00AE3237"/>
    <w:rsid w:val="00B27D14"/>
    <w:rsid w:val="00BA1D04"/>
    <w:rsid w:val="00D544D1"/>
    <w:rsid w:val="00D659D8"/>
    <w:rsid w:val="00E3677B"/>
    <w:rsid w:val="00E620F0"/>
    <w:rsid w:val="00EF1152"/>
    <w:rsid w:val="00F41AD0"/>
    <w:rsid w:val="01807422"/>
    <w:rsid w:val="05C430D9"/>
    <w:rsid w:val="08EA7D8A"/>
    <w:rsid w:val="0C6B1574"/>
    <w:rsid w:val="0C9E10F5"/>
    <w:rsid w:val="0E714E5D"/>
    <w:rsid w:val="14C052D2"/>
    <w:rsid w:val="19BC1825"/>
    <w:rsid w:val="1BB8161E"/>
    <w:rsid w:val="20790517"/>
    <w:rsid w:val="2607286A"/>
    <w:rsid w:val="26C82928"/>
    <w:rsid w:val="28546A26"/>
    <w:rsid w:val="2A19064E"/>
    <w:rsid w:val="2F545078"/>
    <w:rsid w:val="35A729F3"/>
    <w:rsid w:val="37D73824"/>
    <w:rsid w:val="38AE1DF2"/>
    <w:rsid w:val="3A16336E"/>
    <w:rsid w:val="454324CA"/>
    <w:rsid w:val="4816460B"/>
    <w:rsid w:val="4E1A3BA0"/>
    <w:rsid w:val="51E53FAB"/>
    <w:rsid w:val="52371D98"/>
    <w:rsid w:val="53C42D61"/>
    <w:rsid w:val="5780037C"/>
    <w:rsid w:val="6D941819"/>
    <w:rsid w:val="714F05D9"/>
    <w:rsid w:val="71AF17E4"/>
    <w:rsid w:val="72F27725"/>
    <w:rsid w:val="73007476"/>
    <w:rsid w:val="74801715"/>
    <w:rsid w:val="75612B9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ocked="1"/>
    <w:lsdException w:unhideWhenUsed="0" w:uiPriority="99" w:semiHidden="0" w:name="footer" w:locked="1"/>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ocked="1"/>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ocked="1"/>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2"/>
    <w:qFormat/>
    <w:locked/>
    <w:uiPriority w:val="99"/>
    <w:pPr>
      <w:keepNext/>
      <w:keepLines/>
      <w:spacing w:before="260" w:after="260" w:line="416" w:lineRule="auto"/>
      <w:outlineLvl w:val="1"/>
    </w:pPr>
    <w:rPr>
      <w:rFonts w:ascii="Arial" w:hAnsi="Arial" w:eastAsia="黑体" w:cs="宋体"/>
      <w:b/>
      <w:bCs/>
      <w:sz w:val="32"/>
      <w:szCs w:val="32"/>
      <w:lang w:bidi="he-IL"/>
    </w:rPr>
  </w:style>
  <w:style w:type="character" w:default="1" w:styleId="9">
    <w:name w:val="Default Paragraph Font"/>
    <w:semiHidden/>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3"/>
    <w:uiPriority w:val="99"/>
    <w:pPr>
      <w:spacing w:line="460" w:lineRule="exact"/>
      <w:ind w:firstLine="600"/>
    </w:pPr>
    <w:rPr>
      <w:rFonts w:eastAsia="仿宋_GB2312"/>
      <w:sz w:val="28"/>
    </w:rPr>
  </w:style>
  <w:style w:type="paragraph" w:styleId="4">
    <w:name w:val="Plain Text"/>
    <w:basedOn w:val="1"/>
    <w:link w:val="14"/>
    <w:uiPriority w:val="99"/>
    <w:rPr>
      <w:rFonts w:ascii="宋体" w:hAnsi="Courier New" w:cs="Courier New"/>
      <w:szCs w:val="21"/>
    </w:rPr>
  </w:style>
  <w:style w:type="paragraph" w:styleId="5">
    <w:name w:val="footer"/>
    <w:basedOn w:val="1"/>
    <w:link w:val="15"/>
    <w:locked/>
    <w:uiPriority w:val="99"/>
    <w:pPr>
      <w:tabs>
        <w:tab w:val="center" w:pos="4153"/>
        <w:tab w:val="right" w:pos="8306"/>
      </w:tabs>
      <w:snapToGrid w:val="0"/>
      <w:jc w:val="left"/>
    </w:pPr>
    <w:rPr>
      <w:sz w:val="18"/>
      <w:szCs w:val="18"/>
    </w:rPr>
  </w:style>
  <w:style w:type="paragraph" w:styleId="6">
    <w:name w:val="header"/>
    <w:basedOn w:val="1"/>
    <w:link w:val="17"/>
    <w:locked/>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1"/>
    <w:next w:val="1"/>
    <w:link w:val="16"/>
    <w:uiPriority w:val="99"/>
    <w:pPr>
      <w:spacing w:after="120"/>
      <w:ind w:left="420" w:leftChars="200" w:firstLine="420" w:firstLineChars="200"/>
    </w:pPr>
  </w:style>
  <w:style w:type="character" w:styleId="10">
    <w:name w:val="page number"/>
    <w:basedOn w:val="9"/>
    <w:locked/>
    <w:uiPriority w:val="99"/>
    <w:rPr>
      <w:rFonts w:ascii="Calibri" w:hAnsi="Calibri" w:eastAsia="宋体" w:cs="Times New Roman"/>
      <w:kern w:val="2"/>
      <w:sz w:val="22"/>
      <w:szCs w:val="22"/>
      <w:lang w:val="en-US" w:eastAsia="zh-CN" w:bidi="ar-SA"/>
    </w:rPr>
  </w:style>
  <w:style w:type="character" w:styleId="11">
    <w:name w:val="Hyperlink"/>
    <w:basedOn w:val="9"/>
    <w:locked/>
    <w:uiPriority w:val="99"/>
    <w:rPr>
      <w:rFonts w:ascii="Calibri" w:hAnsi="Calibri" w:eastAsia="宋体" w:cs="Times New Roman"/>
      <w:color w:val="0000FF"/>
      <w:kern w:val="2"/>
      <w:sz w:val="22"/>
      <w:szCs w:val="22"/>
      <w:u w:val="single"/>
      <w:lang w:val="en-US" w:eastAsia="zh-CN" w:bidi="ar-SA"/>
    </w:rPr>
  </w:style>
  <w:style w:type="character" w:customStyle="1" w:styleId="12">
    <w:name w:val="Heading 2 Char"/>
    <w:basedOn w:val="9"/>
    <w:link w:val="2"/>
    <w:locked/>
    <w:uiPriority w:val="99"/>
    <w:rPr>
      <w:rFonts w:ascii="Arial" w:hAnsi="Arial" w:eastAsia="黑体" w:cs="宋体"/>
      <w:b/>
      <w:bCs/>
      <w:kern w:val="2"/>
      <w:sz w:val="32"/>
      <w:szCs w:val="32"/>
      <w:lang w:val="en-US" w:eastAsia="zh-CN" w:bidi="he-IL"/>
    </w:rPr>
  </w:style>
  <w:style w:type="character" w:customStyle="1" w:styleId="13">
    <w:name w:val="Body Text Indent Char"/>
    <w:basedOn w:val="9"/>
    <w:link w:val="3"/>
    <w:semiHidden/>
    <w:uiPriority w:val="99"/>
    <w:rPr>
      <w:szCs w:val="24"/>
    </w:rPr>
  </w:style>
  <w:style w:type="character" w:customStyle="1" w:styleId="14">
    <w:name w:val="Plain Text Char"/>
    <w:basedOn w:val="9"/>
    <w:link w:val="4"/>
    <w:semiHidden/>
    <w:qFormat/>
    <w:uiPriority w:val="99"/>
    <w:rPr>
      <w:rFonts w:ascii="宋体" w:hAnsi="Courier New" w:cs="Courier New"/>
      <w:szCs w:val="21"/>
    </w:rPr>
  </w:style>
  <w:style w:type="character" w:customStyle="1" w:styleId="15">
    <w:name w:val="Footer Char"/>
    <w:basedOn w:val="9"/>
    <w:link w:val="5"/>
    <w:locked/>
    <w:uiPriority w:val="99"/>
    <w:rPr>
      <w:rFonts w:ascii="Calibri" w:hAnsi="Calibri" w:eastAsia="宋体" w:cs="Times New Roman"/>
      <w:kern w:val="2"/>
      <w:sz w:val="18"/>
      <w:szCs w:val="18"/>
      <w:lang w:val="en-US" w:eastAsia="zh-CN" w:bidi="ar-SA"/>
    </w:rPr>
  </w:style>
  <w:style w:type="character" w:customStyle="1" w:styleId="16">
    <w:name w:val="Body Text First Indent 2 Char"/>
    <w:basedOn w:val="13"/>
    <w:link w:val="7"/>
    <w:semiHidden/>
    <w:uiPriority w:val="99"/>
  </w:style>
  <w:style w:type="character" w:customStyle="1" w:styleId="17">
    <w:name w:val="Header Char"/>
    <w:basedOn w:val="9"/>
    <w:link w:val="6"/>
    <w:locked/>
    <w:uiPriority w:val="99"/>
    <w:rPr>
      <w:rFonts w:ascii="Calibri" w:hAnsi="Calibri" w:eastAsia="宋体" w:cs="Times New Roman"/>
      <w:kern w:val="2"/>
      <w:sz w:val="18"/>
      <w:szCs w:val="18"/>
      <w:lang w:val="en-US" w:eastAsia="zh-CN" w:bidi="ar-SA"/>
    </w:rPr>
  </w:style>
  <w:style w:type="character" w:customStyle="1" w:styleId="18">
    <w:name w:val="样式 仿宋_GB2312 三号"/>
    <w:basedOn w:val="9"/>
    <w:qFormat/>
    <w:uiPriority w:val="99"/>
    <w:rPr>
      <w:rFonts w:ascii="仿宋_GB2312" w:hAnsi="Calibri" w:eastAsia="仿宋_GB2312" w:cs="Times New Roman"/>
      <w:kern w:val="2"/>
      <w:sz w:val="32"/>
      <w:szCs w:val="32"/>
      <w:lang w:val="en-US" w:eastAsia="zh-CN" w:bidi="ar-SA"/>
    </w:rPr>
  </w:style>
  <w:style w:type="paragraph" w:customStyle="1" w:styleId="19">
    <w:name w:val="Char1"/>
    <w:basedOn w:val="1"/>
    <w:qFormat/>
    <w:uiPriority w:val="99"/>
    <w:pPr>
      <w:autoSpaceDE w:val="0"/>
      <w:autoSpaceDN w:val="0"/>
      <w:adjustRightInd w:val="0"/>
      <w:snapToGrid w:val="0"/>
      <w:spacing w:before="50" w:after="50" w:line="360" w:lineRule="auto"/>
      <w:ind w:firstLine="560" w:firstLineChars="177"/>
    </w:pPr>
    <w:rPr>
      <w:rFonts w:ascii="宋体" w:hAnsi="宋体" w:eastAsia="仿宋_GB2312" w:cs="宋体"/>
      <w:color w:val="000000"/>
      <w:kern w:val="0"/>
      <w:sz w:val="24"/>
    </w:rPr>
  </w:style>
  <w:style w:type="paragraph" w:customStyle="1" w:styleId="20">
    <w:name w:val="Default"/>
    <w:qFormat/>
    <w:uiPriority w:val="99"/>
    <w:pPr>
      <w:widowControl w:val="0"/>
      <w:autoSpaceDE w:val="0"/>
      <w:autoSpaceDN w:val="0"/>
      <w:adjustRightInd w:val="0"/>
    </w:pPr>
    <w:rPr>
      <w:rFonts w:ascii="宋体" w:hAnsi="宋体" w:eastAsia="宋体" w:cs="Times New Roman"/>
      <w:color w:val="000000"/>
      <w:kern w:val="0"/>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4</Pages>
  <Words>291</Words>
  <Characters>1662</Characters>
  <Lines>0</Lines>
  <Paragraphs>0</Paragraphs>
  <TotalTime>3</TotalTime>
  <ScaleCrop>false</ScaleCrop>
  <LinksUpToDate>false</LinksUpToDate>
  <CharactersWithSpaces>0</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2018-06-08T03:04:00Z</dcterms:created>
  <dc:creator>HP</dc:creator>
  <cp:lastModifiedBy>hp</cp:lastModifiedBy>
  <cp:lastPrinted>2019-12-02T08:58:00Z</cp:lastPrinted>
  <dcterms:modified xsi:type="dcterms:W3CDTF">2020-11-13T02:32:54Z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y fmtid="{D5CDD505-2E9C-101B-9397-08002B2CF9AE}" pid="3" name="docranid">
    <vt:lpwstr>8A8F286660E44908B7404D219F1E6CA7</vt:lpwstr>
  </property>
</Properties>
</file>