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bookmarkStart w:id="0" w:name="_GoBack"/>
      <w:bookmarkEnd w:id="0"/>
    </w:p>
    <w:p>
      <w:pPr>
        <w:rPr>
          <w:rFonts w:hint="default" w:ascii="Times New Roman" w:hAnsi="Times New Roman" w:cs="Times New Roman"/>
          <w:color w:val="FF0000"/>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jc w:val="center"/>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环</w:t>
      </w:r>
      <w:r>
        <w:rPr>
          <w:rFonts w:hint="eastAsia" w:ascii="Times New Roman" w:hAnsi="Times New Roman" w:eastAsia="方正仿宋_GBK" w:cs="Times New Roman"/>
          <w:sz w:val="32"/>
          <w:szCs w:val="32"/>
          <w:lang w:eastAsia="zh-CN"/>
        </w:rPr>
        <w:t>盈复</w:t>
      </w:r>
      <w:r>
        <w:rPr>
          <w:rFonts w:hint="default" w:ascii="Times New Roman" w:hAnsi="Times New Roman" w:eastAsia="方正仿宋_GBK" w:cs="Times New Roman"/>
          <w:sz w:val="32"/>
          <w:szCs w:val="32"/>
          <w:lang w:eastAsia="zh-CN"/>
        </w:rPr>
        <w:t>〔2019〕</w:t>
      </w:r>
      <w:r>
        <w:rPr>
          <w:rFonts w:hint="eastAsia"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lang w:eastAsia="zh-CN"/>
        </w:rPr>
        <w:t>号</w:t>
      </w:r>
    </w:p>
    <w:p>
      <w:pPr>
        <w:jc w:val="center"/>
        <w:rPr>
          <w:rFonts w:hint="eastAsia" w:cs="Times New Roman"/>
          <w:color w:val="FF0000"/>
          <w:sz w:val="24"/>
          <w:lang w:val="en-US" w:eastAsia="zh-CN"/>
        </w:rPr>
      </w:pPr>
      <w:r>
        <w:rPr>
          <w:rFonts w:hint="eastAsia" w:cs="Times New Roman"/>
          <w:color w:val="FF0000"/>
          <w:sz w:val="24"/>
          <w:lang w:val="en-US" w:eastAsia="zh-CN"/>
        </w:rPr>
        <w:t>_____________________________________________________________________</w:t>
      </w:r>
    </w:p>
    <w:p>
      <w:pPr>
        <w:spacing w:line="600" w:lineRule="exact"/>
        <w:jc w:val="center"/>
        <w:rPr>
          <w:rFonts w:hint="eastAsia" w:ascii="方正小标宋简体" w:eastAsia="方正小标宋简体"/>
          <w:spacing w:val="-4"/>
          <w:sz w:val="44"/>
          <w:szCs w:val="44"/>
          <w:highlight w:val="none"/>
          <w:lang w:eastAsia="zh-CN"/>
        </w:rPr>
      </w:pPr>
    </w:p>
    <w:p>
      <w:pPr>
        <w:spacing w:line="600" w:lineRule="exact"/>
        <w:jc w:val="center"/>
        <w:rPr>
          <w:rFonts w:hint="eastAsia" w:ascii="方正小标宋简体" w:eastAsia="方正小标宋简体"/>
          <w:spacing w:val="-4"/>
          <w:sz w:val="44"/>
          <w:szCs w:val="44"/>
          <w:highlight w:val="none"/>
          <w:lang w:eastAsia="zh-CN"/>
        </w:rPr>
      </w:pPr>
      <w:r>
        <w:rPr>
          <w:rFonts w:hint="eastAsia" w:ascii="方正小标宋简体" w:eastAsia="方正小标宋简体"/>
          <w:spacing w:val="-4"/>
          <w:sz w:val="44"/>
          <w:szCs w:val="44"/>
          <w:highlight w:val="none"/>
          <w:lang w:eastAsia="zh-CN"/>
        </w:rPr>
        <w:t>德宏州生态环境局盈江分局</w:t>
      </w:r>
      <w:r>
        <w:rPr>
          <w:rFonts w:hint="eastAsia" w:ascii="方正小标宋简体" w:eastAsia="方正小标宋简体"/>
          <w:spacing w:val="-4"/>
          <w:sz w:val="44"/>
          <w:szCs w:val="44"/>
          <w:highlight w:val="none"/>
        </w:rPr>
        <w:t>关于</w:t>
      </w:r>
    </w:p>
    <w:p>
      <w:pPr>
        <w:spacing w:line="600" w:lineRule="exact"/>
        <w:jc w:val="center"/>
        <w:rPr>
          <w:rFonts w:ascii="方正小标宋简体" w:eastAsia="方正小标宋简体"/>
          <w:spacing w:val="-4"/>
          <w:sz w:val="44"/>
          <w:szCs w:val="44"/>
          <w:highlight w:val="none"/>
        </w:rPr>
      </w:pPr>
      <w:r>
        <w:rPr>
          <w:rFonts w:hint="eastAsia" w:ascii="方正小标宋简体" w:eastAsia="方正小标宋简体"/>
          <w:spacing w:val="-4"/>
          <w:sz w:val="44"/>
          <w:szCs w:val="44"/>
          <w:highlight w:val="none"/>
          <w:lang w:eastAsia="zh-CN"/>
        </w:rPr>
        <w:t>盈江县猪罗纪公园田园综合体建设项目</w:t>
      </w:r>
      <w:r>
        <w:rPr>
          <w:rFonts w:hint="eastAsia" w:ascii="方正小标宋简体" w:eastAsia="方正小标宋简体"/>
          <w:spacing w:val="-4"/>
          <w:sz w:val="44"/>
          <w:szCs w:val="44"/>
          <w:highlight w:val="none"/>
        </w:rPr>
        <w:t>环境影响</w:t>
      </w:r>
      <w:r>
        <w:rPr>
          <w:rFonts w:hint="eastAsia" w:ascii="方正小标宋简体" w:eastAsia="方正小标宋简体"/>
          <w:spacing w:val="-4"/>
          <w:sz w:val="44"/>
          <w:szCs w:val="44"/>
          <w:highlight w:val="none"/>
          <w:lang w:eastAsia="zh-CN"/>
        </w:rPr>
        <w:t>报告书</w:t>
      </w:r>
      <w:r>
        <w:rPr>
          <w:rFonts w:hint="eastAsia" w:ascii="方正小标宋简体" w:eastAsia="方正小标宋简体"/>
          <w:spacing w:val="-4"/>
          <w:sz w:val="44"/>
          <w:szCs w:val="44"/>
          <w:highlight w:val="none"/>
        </w:rPr>
        <w:t>的批复</w:t>
      </w:r>
    </w:p>
    <w:p>
      <w:pPr>
        <w:spacing w:line="560" w:lineRule="exact"/>
        <w:rPr>
          <w:rFonts w:hint="eastAsia" w:eastAsia="方正仿宋_GBK"/>
          <w:sz w:val="32"/>
          <w:szCs w:val="32"/>
          <w:highlight w:val="none"/>
          <w:lang w:val="en-US" w:eastAsia="zh-CN"/>
        </w:rPr>
      </w:pPr>
    </w:p>
    <w:p>
      <w:pPr>
        <w:spacing w:line="560" w:lineRule="exact"/>
        <w:rPr>
          <w:rFonts w:eastAsia="方正仿宋_GBK"/>
          <w:sz w:val="32"/>
          <w:szCs w:val="32"/>
          <w:highlight w:val="none"/>
        </w:rPr>
      </w:pPr>
      <w:r>
        <w:rPr>
          <w:rFonts w:hint="eastAsia" w:eastAsia="方正仿宋_GBK"/>
          <w:sz w:val="32"/>
          <w:szCs w:val="32"/>
          <w:highlight w:val="none"/>
          <w:lang w:val="en-US" w:eastAsia="zh-CN"/>
        </w:rPr>
        <w:t>盈江大腾农业科技有限责任公司</w:t>
      </w:r>
      <w:r>
        <w:rPr>
          <w:rFonts w:eastAsia="方正仿宋_GBK"/>
          <w:sz w:val="32"/>
          <w:szCs w:val="32"/>
          <w:highlight w:val="none"/>
        </w:rPr>
        <w:t>:</w:t>
      </w:r>
    </w:p>
    <w:p>
      <w:pPr>
        <w:spacing w:line="560" w:lineRule="exact"/>
        <w:ind w:firstLine="640" w:firstLineChars="200"/>
        <w:rPr>
          <w:rFonts w:eastAsia="方正仿宋_GBK"/>
          <w:sz w:val="32"/>
          <w:szCs w:val="32"/>
          <w:highlight w:val="none"/>
        </w:rPr>
      </w:pPr>
      <w:r>
        <w:rPr>
          <w:rFonts w:eastAsia="方正仿宋_GBK"/>
          <w:sz w:val="32"/>
          <w:szCs w:val="32"/>
          <w:highlight w:val="none"/>
        </w:rPr>
        <w:t>你公司报批的《</w:t>
      </w:r>
      <w:r>
        <w:rPr>
          <w:rFonts w:hint="eastAsia" w:eastAsia="方正仿宋_GBK"/>
          <w:sz w:val="32"/>
          <w:szCs w:val="32"/>
          <w:highlight w:val="none"/>
          <w:lang w:eastAsia="zh-CN"/>
        </w:rPr>
        <w:t>盈江县猪罗纪公园田园综合体建设项目</w:t>
      </w:r>
      <w:r>
        <w:rPr>
          <w:rFonts w:eastAsia="方正仿宋_GBK"/>
          <w:sz w:val="32"/>
          <w:szCs w:val="32"/>
          <w:highlight w:val="none"/>
        </w:rPr>
        <w:t>环境影响</w:t>
      </w:r>
      <w:r>
        <w:rPr>
          <w:rFonts w:hint="eastAsia" w:eastAsia="方正仿宋_GBK"/>
          <w:sz w:val="32"/>
          <w:szCs w:val="32"/>
          <w:highlight w:val="none"/>
          <w:lang w:eastAsia="zh-CN"/>
        </w:rPr>
        <w:t>报告书</w:t>
      </w:r>
      <w:r>
        <w:rPr>
          <w:rFonts w:eastAsia="方正仿宋_GBK"/>
          <w:sz w:val="32"/>
          <w:szCs w:val="32"/>
          <w:highlight w:val="none"/>
        </w:rPr>
        <w:t>》</w:t>
      </w:r>
      <w:r>
        <w:rPr>
          <w:rFonts w:hint="eastAsia" w:eastAsia="方正仿宋_GBK"/>
          <w:sz w:val="32"/>
          <w:szCs w:val="32"/>
          <w:highlight w:val="none"/>
        </w:rPr>
        <w:t>已收悉</w:t>
      </w:r>
      <w:r>
        <w:rPr>
          <w:rFonts w:eastAsia="方正仿宋_GBK"/>
          <w:sz w:val="32"/>
          <w:szCs w:val="32"/>
          <w:highlight w:val="none"/>
        </w:rPr>
        <w:t>，经研究，现批复如下：</w:t>
      </w:r>
    </w:p>
    <w:p>
      <w:pPr>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一、项目基本情况</w:t>
      </w:r>
    </w:p>
    <w:p>
      <w:pPr>
        <w:spacing w:line="360" w:lineRule="auto"/>
        <w:ind w:firstLine="640" w:firstLineChars="200"/>
        <w:rPr>
          <w:rFonts w:hint="eastAsia"/>
          <w:color w:val="auto"/>
          <w:sz w:val="24"/>
          <w:szCs w:val="24"/>
          <w:highlight w:val="none"/>
        </w:rPr>
      </w:pPr>
      <w:r>
        <w:rPr>
          <w:rFonts w:eastAsia="方正仿宋_GBK"/>
          <w:sz w:val="32"/>
          <w:szCs w:val="32"/>
          <w:highlight w:val="none"/>
        </w:rPr>
        <w:t>项目位于</w:t>
      </w:r>
      <w:r>
        <w:rPr>
          <w:rFonts w:hint="eastAsia" w:eastAsia="方正仿宋_GBK"/>
          <w:sz w:val="32"/>
          <w:szCs w:val="32"/>
          <w:highlight w:val="none"/>
          <w:lang w:val="en-US" w:eastAsia="zh-CN"/>
        </w:rPr>
        <w:t>盈江县太平镇拉丙村</w:t>
      </w:r>
      <w:r>
        <w:rPr>
          <w:rFonts w:hint="eastAsia" w:eastAsia="方正仿宋_GBK"/>
          <w:sz w:val="32"/>
          <w:szCs w:val="32"/>
          <w:highlight w:val="none"/>
          <w:lang w:eastAsia="zh-CN"/>
        </w:rPr>
        <w:t>，</w:t>
      </w:r>
      <w:r>
        <w:rPr>
          <w:rFonts w:hint="eastAsia" w:eastAsia="方正仿宋_GBK"/>
          <w:sz w:val="32"/>
          <w:szCs w:val="32"/>
          <w:highlight w:val="none"/>
          <w:lang w:val="en-US" w:eastAsia="zh-CN"/>
        </w:rPr>
        <w:t>该项目分四期进行建设，本项目为一期工程，主要建设年出栏4万头仔猪及2万头商品猪的现代化生猪养殖参观体验基地及配套污染防治措施，主要建设内容包括配怀舍、分娩舍、保育舍、育肥舍、隔离舍等5栋猪舍，配套建设办公</w:t>
      </w:r>
      <w:r>
        <w:rPr>
          <w:rFonts w:eastAsia="方正仿宋_GBK"/>
          <w:sz w:val="32"/>
          <w:szCs w:val="32"/>
          <w:highlight w:val="none"/>
        </w:rPr>
        <w:t>生活区、污水处理设施、有机肥加工车间</w:t>
      </w:r>
      <w:r>
        <w:rPr>
          <w:rFonts w:hint="eastAsia" w:eastAsia="方正仿宋_GBK"/>
          <w:sz w:val="32"/>
          <w:szCs w:val="32"/>
          <w:highlight w:val="none"/>
          <w:lang w:eastAsia="zh-CN"/>
        </w:rPr>
        <w:t>、</w:t>
      </w:r>
      <w:r>
        <w:rPr>
          <w:rFonts w:hint="eastAsia" w:eastAsia="方正仿宋_GBK"/>
          <w:sz w:val="32"/>
          <w:szCs w:val="32"/>
          <w:highlight w:val="none"/>
          <w:lang w:val="en-US" w:eastAsia="zh-CN"/>
        </w:rPr>
        <w:t>水果种植区</w:t>
      </w:r>
      <w:r>
        <w:rPr>
          <w:rFonts w:eastAsia="方正仿宋_GBK"/>
          <w:sz w:val="32"/>
          <w:szCs w:val="32"/>
          <w:highlight w:val="none"/>
        </w:rPr>
        <w:t>等。</w:t>
      </w:r>
      <w:r>
        <w:rPr>
          <w:rFonts w:hint="eastAsia" w:eastAsia="方正仿宋_GBK"/>
          <w:sz w:val="32"/>
          <w:szCs w:val="32"/>
          <w:highlight w:val="none"/>
          <w:lang w:val="en-US" w:eastAsia="zh-CN"/>
        </w:rPr>
        <w:t>可存栏保育猪4000头，育肥猪12000头，种猪2000余头。</w:t>
      </w:r>
      <w:r>
        <w:rPr>
          <w:rFonts w:hint="eastAsia" w:eastAsia="方正仿宋_GBK"/>
          <w:sz w:val="32"/>
          <w:szCs w:val="32"/>
          <w:highlight w:val="none"/>
          <w:lang w:eastAsia="zh-CN"/>
        </w:rPr>
        <w:t>项目总投资100</w:t>
      </w:r>
      <w:r>
        <w:rPr>
          <w:rFonts w:hint="eastAsia" w:eastAsia="方正仿宋_GBK"/>
          <w:sz w:val="32"/>
          <w:szCs w:val="32"/>
          <w:highlight w:val="none"/>
          <w:lang w:val="en-US" w:eastAsia="zh-CN"/>
        </w:rPr>
        <w:t>0</w:t>
      </w:r>
      <w:r>
        <w:rPr>
          <w:rFonts w:hint="eastAsia" w:eastAsia="方正仿宋_GBK"/>
          <w:sz w:val="32"/>
          <w:szCs w:val="32"/>
          <w:highlight w:val="none"/>
          <w:lang w:eastAsia="zh-CN"/>
        </w:rPr>
        <w:t>.</w:t>
      </w:r>
      <w:r>
        <w:rPr>
          <w:rFonts w:hint="eastAsia" w:eastAsia="方正仿宋_GBK"/>
          <w:sz w:val="32"/>
          <w:szCs w:val="32"/>
          <w:highlight w:val="none"/>
          <w:lang w:val="en-US" w:eastAsia="zh-CN"/>
        </w:rPr>
        <w:t>00万元，其中环保投资253.7万元，占项目总投资的25.37%。</w:t>
      </w:r>
    </w:p>
    <w:p>
      <w:pPr>
        <w:overflowPunct w:val="0"/>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lang w:eastAsia="zh-CN"/>
        </w:rPr>
        <w:t>本</w:t>
      </w:r>
      <w:r>
        <w:rPr>
          <w:rFonts w:hint="eastAsia" w:eastAsia="方正仿宋_GBK"/>
          <w:sz w:val="32"/>
          <w:szCs w:val="32"/>
          <w:highlight w:val="none"/>
        </w:rPr>
        <w:t>项目符合国家产政策，不涉及</w:t>
      </w:r>
      <w:r>
        <w:rPr>
          <w:rFonts w:hint="eastAsia" w:eastAsia="方正仿宋_GBK"/>
          <w:sz w:val="32"/>
          <w:szCs w:val="32"/>
          <w:highlight w:val="none"/>
          <w:lang w:eastAsia="zh-CN"/>
        </w:rPr>
        <w:t>云南省生态保护红线、</w:t>
      </w:r>
      <w:r>
        <w:rPr>
          <w:rFonts w:hint="eastAsia" w:eastAsia="方正仿宋_GBK"/>
          <w:sz w:val="32"/>
          <w:szCs w:val="32"/>
          <w:highlight w:val="none"/>
        </w:rPr>
        <w:t>自然保护区、风景名胜区、水源地保护区</w:t>
      </w:r>
      <w:r>
        <w:rPr>
          <w:rFonts w:eastAsia="方正仿宋_GBK"/>
          <w:sz w:val="32"/>
          <w:szCs w:val="32"/>
          <w:highlight w:val="none"/>
        </w:rPr>
        <w:t>等敏感区域</w:t>
      </w:r>
      <w:r>
        <w:rPr>
          <w:rFonts w:hint="eastAsia" w:eastAsia="方正仿宋_GBK"/>
          <w:sz w:val="32"/>
          <w:szCs w:val="32"/>
          <w:highlight w:val="none"/>
        </w:rPr>
        <w:t>。</w:t>
      </w:r>
      <w:r>
        <w:rPr>
          <w:rFonts w:hint="eastAsia" w:eastAsia="方正仿宋_GBK"/>
          <w:sz w:val="32"/>
          <w:szCs w:val="32"/>
          <w:highlight w:val="none"/>
          <w:lang w:eastAsia="zh-CN"/>
        </w:rPr>
        <w:t>在全面落实环境影响报告书提出的各项污染防治和生态保护措施后，项目污染物可达标排放，项目整改和运营的不良环境影响可以得到减缓和控制，</w:t>
      </w:r>
      <w:r>
        <w:rPr>
          <w:rFonts w:eastAsia="方正仿宋_GBK"/>
          <w:sz w:val="32"/>
          <w:szCs w:val="32"/>
          <w:highlight w:val="none"/>
        </w:rPr>
        <w:t>我局同意该项目按照环境影</w:t>
      </w:r>
      <w:r>
        <w:rPr>
          <w:rFonts w:hint="eastAsia" w:eastAsia="方正仿宋_GBK"/>
          <w:sz w:val="32"/>
          <w:szCs w:val="32"/>
          <w:highlight w:val="none"/>
          <w:lang w:eastAsia="zh-CN"/>
        </w:rPr>
        <w:t>报告书</w:t>
      </w:r>
      <w:r>
        <w:rPr>
          <w:rFonts w:eastAsia="方正仿宋_GBK"/>
          <w:sz w:val="32"/>
          <w:szCs w:val="32"/>
          <w:highlight w:val="none"/>
        </w:rPr>
        <w:t>中的性质、地点、采用的环境保护对策、措施</w:t>
      </w:r>
      <w:r>
        <w:rPr>
          <w:rFonts w:hint="eastAsia" w:eastAsia="方正仿宋_GBK"/>
          <w:sz w:val="32"/>
          <w:szCs w:val="32"/>
          <w:highlight w:val="none"/>
          <w:lang w:eastAsia="zh-CN"/>
        </w:rPr>
        <w:t>进行建设</w:t>
      </w:r>
      <w:r>
        <w:rPr>
          <w:rFonts w:eastAsia="方正仿宋_GBK"/>
          <w:sz w:val="32"/>
          <w:szCs w:val="32"/>
          <w:highlight w:val="none"/>
        </w:rPr>
        <w:t>。</w:t>
      </w:r>
    </w:p>
    <w:p>
      <w:pPr>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二、项目</w:t>
      </w:r>
      <w:r>
        <w:rPr>
          <w:rFonts w:hint="eastAsia" w:ascii="方正仿宋_GBK" w:hAnsi="方正仿宋_GBK" w:eastAsia="方正仿宋_GBK" w:cs="方正仿宋_GBK"/>
          <w:sz w:val="32"/>
          <w:szCs w:val="32"/>
          <w:highlight w:val="none"/>
          <w:lang w:eastAsia="zh-CN"/>
        </w:rPr>
        <w:t>建设和运营</w:t>
      </w:r>
      <w:r>
        <w:rPr>
          <w:rFonts w:hint="eastAsia" w:ascii="方正仿宋_GBK" w:hAnsi="方正仿宋_GBK" w:eastAsia="方正仿宋_GBK" w:cs="方正仿宋_GBK"/>
          <w:sz w:val="32"/>
          <w:szCs w:val="32"/>
          <w:highlight w:val="none"/>
        </w:rPr>
        <w:t>过程中应重点做好的工作</w:t>
      </w:r>
    </w:p>
    <w:p>
      <w:pPr>
        <w:topLinePunct/>
        <w:spacing w:line="560" w:lineRule="exact"/>
        <w:ind w:firstLine="640" w:firstLineChars="200"/>
        <w:rPr>
          <w:rFonts w:eastAsia="方正仿宋_GBK"/>
          <w:spacing w:val="-2"/>
          <w:sz w:val="32"/>
          <w:szCs w:val="32"/>
          <w:highlight w:val="none"/>
        </w:rPr>
      </w:pPr>
      <w:r>
        <w:rPr>
          <w:rFonts w:eastAsia="方正仿宋_GBK"/>
          <w:sz w:val="32"/>
          <w:szCs w:val="32"/>
          <w:highlight w:val="none"/>
        </w:rPr>
        <w:t>㈠《</w:t>
      </w:r>
      <w:r>
        <w:rPr>
          <w:rFonts w:hint="eastAsia" w:eastAsia="方正仿宋_GBK"/>
          <w:sz w:val="32"/>
          <w:szCs w:val="32"/>
          <w:highlight w:val="none"/>
          <w:lang w:eastAsia="zh-CN"/>
        </w:rPr>
        <w:t>盈江县猪罗纪公园田园综合体建设项目</w:t>
      </w:r>
      <w:r>
        <w:rPr>
          <w:rFonts w:eastAsia="方正仿宋_GBK"/>
          <w:sz w:val="32"/>
          <w:szCs w:val="32"/>
          <w:highlight w:val="none"/>
        </w:rPr>
        <w:t>环境影响</w:t>
      </w:r>
      <w:r>
        <w:rPr>
          <w:rFonts w:hint="eastAsia" w:eastAsia="方正仿宋_GBK"/>
          <w:sz w:val="32"/>
          <w:szCs w:val="32"/>
          <w:highlight w:val="none"/>
          <w:lang w:eastAsia="zh-CN"/>
        </w:rPr>
        <w:t>报告书</w:t>
      </w:r>
      <w:r>
        <w:rPr>
          <w:rFonts w:eastAsia="方正仿宋_GBK"/>
          <w:sz w:val="32"/>
          <w:szCs w:val="32"/>
          <w:highlight w:val="none"/>
        </w:rPr>
        <w:t>》</w:t>
      </w:r>
      <w:r>
        <w:rPr>
          <w:rFonts w:eastAsia="方正仿宋_GBK"/>
          <w:spacing w:val="-2"/>
          <w:sz w:val="32"/>
          <w:szCs w:val="32"/>
          <w:highlight w:val="none"/>
        </w:rPr>
        <w:t>作为该项目</w:t>
      </w:r>
      <w:r>
        <w:rPr>
          <w:rFonts w:hint="eastAsia" w:eastAsia="方正仿宋_GBK"/>
          <w:spacing w:val="-2"/>
          <w:sz w:val="32"/>
          <w:szCs w:val="32"/>
          <w:highlight w:val="none"/>
          <w:lang w:eastAsia="zh-CN"/>
        </w:rPr>
        <w:t>建设和运营期</w:t>
      </w:r>
      <w:r>
        <w:rPr>
          <w:rFonts w:eastAsia="方正仿宋_GBK"/>
          <w:spacing w:val="-2"/>
          <w:sz w:val="32"/>
          <w:szCs w:val="32"/>
          <w:highlight w:val="none"/>
        </w:rPr>
        <w:t>环境管理的依据，必须认真落实</w:t>
      </w:r>
      <w:r>
        <w:rPr>
          <w:rFonts w:hint="eastAsia" w:eastAsia="方正仿宋_GBK"/>
          <w:spacing w:val="-2"/>
          <w:sz w:val="32"/>
          <w:szCs w:val="32"/>
          <w:highlight w:val="none"/>
        </w:rPr>
        <w:t>《</w:t>
      </w:r>
      <w:r>
        <w:rPr>
          <w:rFonts w:hint="eastAsia" w:eastAsia="方正仿宋_GBK"/>
          <w:spacing w:val="-2"/>
          <w:sz w:val="32"/>
          <w:szCs w:val="32"/>
          <w:highlight w:val="none"/>
          <w:lang w:eastAsia="zh-CN"/>
        </w:rPr>
        <w:t>报告书</w:t>
      </w:r>
      <w:r>
        <w:rPr>
          <w:rFonts w:hint="eastAsia" w:eastAsia="方正仿宋_GBK"/>
          <w:spacing w:val="-2"/>
          <w:sz w:val="32"/>
          <w:szCs w:val="32"/>
          <w:highlight w:val="none"/>
        </w:rPr>
        <w:t>》</w:t>
      </w:r>
      <w:r>
        <w:rPr>
          <w:rFonts w:eastAsia="方正仿宋_GBK"/>
          <w:spacing w:val="-2"/>
          <w:sz w:val="32"/>
          <w:szCs w:val="32"/>
          <w:highlight w:val="none"/>
        </w:rPr>
        <w:t>提出的各项环保对策措施</w:t>
      </w:r>
      <w:r>
        <w:rPr>
          <w:rFonts w:hint="eastAsia" w:eastAsia="方正仿宋_GBK"/>
          <w:spacing w:val="-2"/>
          <w:sz w:val="32"/>
          <w:szCs w:val="32"/>
          <w:highlight w:val="none"/>
        </w:rPr>
        <w:t>，严格按提出的环保投资概算执行。</w:t>
      </w:r>
    </w:p>
    <w:p>
      <w:pPr>
        <w:topLinePunct/>
        <w:spacing w:line="560" w:lineRule="exact"/>
        <w:ind w:firstLine="640" w:firstLineChars="200"/>
        <w:rPr>
          <w:rFonts w:eastAsia="方正仿宋_GBK"/>
          <w:bCs/>
          <w:sz w:val="32"/>
          <w:szCs w:val="32"/>
          <w:highlight w:val="none"/>
        </w:rPr>
      </w:pPr>
      <w:r>
        <w:rPr>
          <w:rFonts w:eastAsia="方正仿宋_GBK"/>
          <w:bCs/>
          <w:sz w:val="32"/>
          <w:szCs w:val="32"/>
          <w:highlight w:val="none"/>
        </w:rPr>
        <w:t>㈡</w:t>
      </w:r>
      <w:r>
        <w:rPr>
          <w:rFonts w:hint="default" w:eastAsia="方正仿宋_GBK"/>
          <w:bCs/>
          <w:sz w:val="32"/>
          <w:szCs w:val="32"/>
          <w:highlight w:val="none"/>
        </w:rPr>
        <w:t>施工期</w:t>
      </w:r>
      <w:r>
        <w:rPr>
          <w:rFonts w:hint="eastAsia" w:eastAsia="方正仿宋_GBK"/>
          <w:bCs/>
          <w:sz w:val="32"/>
          <w:szCs w:val="32"/>
          <w:highlight w:val="none"/>
          <w:lang w:eastAsia="zh-CN"/>
        </w:rPr>
        <w:t>必须</w:t>
      </w:r>
      <w:r>
        <w:rPr>
          <w:rFonts w:hint="default" w:eastAsia="方正仿宋_GBK"/>
          <w:bCs/>
          <w:sz w:val="32"/>
          <w:szCs w:val="32"/>
          <w:highlight w:val="none"/>
        </w:rPr>
        <w:t>加强</w:t>
      </w:r>
      <w:r>
        <w:rPr>
          <w:rFonts w:hint="default" w:eastAsia="方正仿宋_GBK"/>
          <w:bCs/>
          <w:sz w:val="32"/>
          <w:szCs w:val="32"/>
          <w:highlight w:val="none"/>
          <w:lang w:eastAsia="zh-CN"/>
        </w:rPr>
        <w:t>管理，施工</w:t>
      </w:r>
      <w:r>
        <w:rPr>
          <w:rFonts w:hint="eastAsia" w:eastAsia="方正仿宋_GBK"/>
          <w:bCs/>
          <w:sz w:val="32"/>
          <w:szCs w:val="32"/>
          <w:highlight w:val="none"/>
          <w:lang w:eastAsia="zh-CN"/>
        </w:rPr>
        <w:t>过程采取</w:t>
      </w:r>
      <w:r>
        <w:rPr>
          <w:rFonts w:hint="default" w:eastAsia="方正仿宋_GBK"/>
          <w:bCs/>
          <w:sz w:val="32"/>
          <w:szCs w:val="32"/>
          <w:highlight w:val="none"/>
          <w:lang w:eastAsia="zh-CN"/>
        </w:rPr>
        <w:t>洒水降尘</w:t>
      </w:r>
      <w:r>
        <w:rPr>
          <w:rFonts w:hint="eastAsia" w:eastAsia="方正仿宋_GBK"/>
          <w:bCs/>
          <w:sz w:val="32"/>
          <w:szCs w:val="32"/>
          <w:highlight w:val="none"/>
          <w:lang w:eastAsia="zh-CN"/>
        </w:rPr>
        <w:t>、物料堆场遮盖等措施减少扬尘产生；物料运输过程中</w:t>
      </w:r>
      <w:r>
        <w:rPr>
          <w:rFonts w:eastAsia="方正仿宋_GBK"/>
          <w:bCs/>
          <w:sz w:val="32"/>
          <w:szCs w:val="32"/>
          <w:highlight w:val="none"/>
        </w:rPr>
        <w:t>必须装载规范，加盖篷布，防止沿途撒漏</w:t>
      </w:r>
      <w:r>
        <w:rPr>
          <w:rFonts w:hint="eastAsia" w:eastAsia="方正仿宋_GBK"/>
          <w:bCs/>
          <w:sz w:val="32"/>
          <w:szCs w:val="32"/>
          <w:highlight w:val="none"/>
          <w:lang w:eastAsia="zh-CN"/>
        </w:rPr>
        <w:t>；合理安排施工时间，施工场界噪声执行《建筑施工场界环境噪声排放标准》（GB12523-2011）；施工区必须设置</w:t>
      </w:r>
      <w:r>
        <w:rPr>
          <w:rFonts w:hint="eastAsia" w:eastAsia="方正仿宋_GBK"/>
          <w:bCs/>
          <w:sz w:val="32"/>
          <w:szCs w:val="32"/>
          <w:highlight w:val="none"/>
          <w:lang w:val="en-US" w:eastAsia="zh-CN"/>
        </w:rPr>
        <w:t>临时沉淀池，施工废水经沉淀处理后回用或洒水降尘，严禁外排；</w:t>
      </w:r>
      <w:r>
        <w:rPr>
          <w:rFonts w:hint="default" w:eastAsia="方正仿宋_GBK"/>
          <w:bCs/>
          <w:sz w:val="32"/>
          <w:szCs w:val="32"/>
          <w:highlight w:val="none"/>
          <w:lang w:eastAsia="zh-CN"/>
        </w:rPr>
        <w:t>合理布置材料堆场，</w:t>
      </w:r>
      <w:r>
        <w:rPr>
          <w:rFonts w:hint="eastAsia" w:eastAsia="方正仿宋_GBK"/>
          <w:bCs/>
          <w:sz w:val="32"/>
          <w:szCs w:val="32"/>
          <w:highlight w:val="none"/>
          <w:lang w:eastAsia="zh-CN"/>
        </w:rPr>
        <w:t>开挖</w:t>
      </w:r>
      <w:r>
        <w:rPr>
          <w:rFonts w:hint="default" w:eastAsia="方正仿宋_GBK"/>
          <w:bCs/>
          <w:sz w:val="32"/>
          <w:szCs w:val="32"/>
          <w:highlight w:val="none"/>
          <w:lang w:eastAsia="zh-CN"/>
        </w:rPr>
        <w:t>土石方</w:t>
      </w:r>
      <w:r>
        <w:rPr>
          <w:rFonts w:hint="eastAsia" w:eastAsia="方正仿宋_GBK"/>
          <w:bCs/>
          <w:sz w:val="32"/>
          <w:szCs w:val="32"/>
          <w:highlight w:val="none"/>
          <w:lang w:eastAsia="zh-CN"/>
        </w:rPr>
        <w:t>全部回填，</w:t>
      </w:r>
      <w:r>
        <w:rPr>
          <w:rFonts w:hint="default" w:eastAsia="方正仿宋_GBK"/>
          <w:bCs/>
          <w:sz w:val="32"/>
          <w:szCs w:val="32"/>
          <w:highlight w:val="none"/>
          <w:lang w:eastAsia="zh-CN"/>
        </w:rPr>
        <w:t>建筑垃圾</w:t>
      </w:r>
      <w:r>
        <w:rPr>
          <w:rFonts w:hint="eastAsia" w:eastAsia="方正仿宋_GBK"/>
          <w:bCs/>
          <w:sz w:val="32"/>
          <w:szCs w:val="32"/>
          <w:highlight w:val="none"/>
          <w:lang w:eastAsia="zh-CN"/>
        </w:rPr>
        <w:t>分类后可回收部分外售，不可回收部分清运至住建部门指定地点，</w:t>
      </w:r>
      <w:r>
        <w:rPr>
          <w:rFonts w:hint="default" w:eastAsia="方正仿宋_GBK"/>
          <w:bCs/>
          <w:sz w:val="32"/>
          <w:szCs w:val="32"/>
          <w:highlight w:val="none"/>
          <w:lang w:eastAsia="zh-CN"/>
        </w:rPr>
        <w:t>严禁随意堆放、丢弃</w:t>
      </w:r>
      <w:r>
        <w:rPr>
          <w:rFonts w:hint="eastAsia" w:eastAsia="方正仿宋_GBK"/>
          <w:bCs/>
          <w:sz w:val="32"/>
          <w:szCs w:val="32"/>
          <w:highlight w:val="none"/>
          <w:lang w:eastAsia="zh-CN"/>
        </w:rPr>
        <w:t>；施工人员生活垃圾清运至当地垃圾收集点处置。</w:t>
      </w:r>
    </w:p>
    <w:p>
      <w:pPr>
        <w:keepNext w:val="0"/>
        <w:keepLines w:val="0"/>
        <w:widowControl/>
        <w:suppressLineNumbers w:val="0"/>
        <w:ind w:firstLine="640" w:firstLineChars="200"/>
        <w:jc w:val="left"/>
        <w:rPr>
          <w:rFonts w:hint="eastAsia" w:eastAsia="方正仿宋_GBK"/>
          <w:bCs/>
          <w:sz w:val="32"/>
          <w:szCs w:val="32"/>
          <w:highlight w:val="none"/>
          <w:lang w:val="en-US" w:eastAsia="zh-CN"/>
        </w:rPr>
      </w:pPr>
      <w:r>
        <w:rPr>
          <w:rFonts w:hint="eastAsia" w:eastAsia="方正仿宋_GBK"/>
          <w:bCs/>
          <w:sz w:val="32"/>
          <w:szCs w:val="32"/>
          <w:highlight w:val="none"/>
          <w:lang w:val="en-US" w:eastAsia="zh-CN"/>
        </w:rPr>
        <w:t>㈢项目必须实施雨污分流，配套设置隔油池、污水处理系统（固液分离+黑膜厌氧发酵工艺沼气池）、沼液储存池、贮粪池、事故应急池等。项目食堂废水经隔油处理后与生活污水、养殖区废水排入污水处理系统进行处理，处理后产生的沼液暂存于沼液储存池，通过吸粪车辆用于项目种植区或农田施肥，严禁外排。项目污水处理系统必须严格按照《报告书》提出的要求进行设计和建设。</w:t>
      </w:r>
    </w:p>
    <w:p>
      <w:pPr>
        <w:keepNext w:val="0"/>
        <w:keepLines w:val="0"/>
        <w:widowControl/>
        <w:suppressLineNumbers w:val="0"/>
        <w:ind w:firstLine="640" w:firstLineChars="200"/>
        <w:jc w:val="left"/>
        <w:rPr>
          <w:rFonts w:hint="eastAsia"/>
          <w:color w:val="auto"/>
          <w:sz w:val="24"/>
        </w:rPr>
      </w:pPr>
      <w:r>
        <w:rPr>
          <w:rFonts w:hint="eastAsia" w:eastAsia="方正仿宋_GBK"/>
          <w:bCs/>
          <w:sz w:val="32"/>
          <w:szCs w:val="32"/>
          <w:highlight w:val="none"/>
          <w:lang w:val="en-US" w:eastAsia="zh-CN"/>
        </w:rPr>
        <w:t xml:space="preserve">㈣运营期加强大气污染防治，加强猪舍清洁卫生和通风管理，定期冲洗；猪舍、污水处理系统采取喷洒生物除臭剂减少臭味产生；沼气池、沼液储存池、贮粪池等各单元必须进行密闭，项目厂界恶臭执行《畜禽养殖业污染物排放标准》（GB18596-2001）中的表7“集约化畜禽养殖业恶臭污染物排放标准”，氨气、硫化氢气体执行《恶臭污染物排放标准》（GB14554-93）表1中“新改扩建”二级标准。饲料加工车间粉尘采取通风措施减少粉尘影响，厂界无组织粉尘执行《大气污染物综合排放标准》（GB16297-1996）中的无组织排放浓度限值；沼气利用系统安装脱硫设备，燃烧废气经处理后排放；食堂必须安装油烟净化器，食堂油烟经处理后，通过高于食堂房顶 </w:t>
      </w:r>
      <w:r>
        <w:rPr>
          <w:rFonts w:hint="default" w:eastAsia="方正仿宋_GBK"/>
          <w:bCs/>
          <w:sz w:val="32"/>
          <w:szCs w:val="32"/>
          <w:highlight w:val="none"/>
          <w:lang w:val="en-US" w:eastAsia="zh-CN"/>
        </w:rPr>
        <w:t xml:space="preserve">1.5 </w:t>
      </w:r>
      <w:r>
        <w:rPr>
          <w:rFonts w:hint="eastAsia" w:eastAsia="方正仿宋_GBK"/>
          <w:bCs/>
          <w:sz w:val="32"/>
          <w:szCs w:val="32"/>
          <w:highlight w:val="none"/>
          <w:lang w:val="en-US" w:eastAsia="zh-CN"/>
        </w:rPr>
        <w:t xml:space="preserve">米的排气筒排放。 </w:t>
      </w:r>
    </w:p>
    <w:p>
      <w:pPr>
        <w:spacing w:line="360" w:lineRule="auto"/>
        <w:ind w:firstLine="614" w:firstLineChars="192"/>
        <w:rPr>
          <w:rFonts w:hint="eastAsia" w:eastAsia="方正仿宋_GBK"/>
          <w:color w:val="auto"/>
          <w:sz w:val="32"/>
          <w:szCs w:val="32"/>
          <w:highlight w:val="none"/>
          <w:lang w:eastAsia="zh-CN"/>
        </w:rPr>
      </w:pPr>
      <w:r>
        <w:rPr>
          <w:rFonts w:hint="eastAsia" w:eastAsia="方正仿宋_GBK"/>
          <w:color w:val="auto"/>
          <w:sz w:val="32"/>
          <w:szCs w:val="32"/>
          <w:highlight w:val="none"/>
          <w:lang w:eastAsia="zh-CN"/>
        </w:rPr>
        <w:t>㈤运营期加强噪声污染防治，</w:t>
      </w:r>
      <w:r>
        <w:rPr>
          <w:rFonts w:hint="eastAsia" w:eastAsia="方正仿宋_GBK"/>
          <w:color w:val="auto"/>
          <w:sz w:val="32"/>
          <w:szCs w:val="32"/>
          <w:highlight w:val="none"/>
          <w:lang w:val="en-US" w:eastAsia="zh-CN"/>
        </w:rPr>
        <w:t>项目区周边进行绿化带建 设；合理布置噪声设备，对产噪较大的设备采取隔音、减振措施，减少噪声影响。运营期厂界噪声执行《工业企业厂界环境噪声排放标准》（GB12348-2008）</w:t>
      </w:r>
      <w:r>
        <w:rPr>
          <w:rFonts w:hint="default" w:eastAsia="方正仿宋_GBK"/>
          <w:color w:val="auto"/>
          <w:sz w:val="32"/>
          <w:szCs w:val="32"/>
          <w:highlight w:val="none"/>
          <w:lang w:val="en-US" w:eastAsia="zh-CN"/>
        </w:rPr>
        <w:t xml:space="preserve">2 </w:t>
      </w:r>
      <w:r>
        <w:rPr>
          <w:rFonts w:hint="eastAsia" w:eastAsia="方正仿宋_GBK"/>
          <w:color w:val="auto"/>
          <w:sz w:val="32"/>
          <w:szCs w:val="32"/>
          <w:highlight w:val="none"/>
          <w:lang w:val="en-US" w:eastAsia="zh-CN"/>
        </w:rPr>
        <w:t>类标准。</w:t>
      </w:r>
    </w:p>
    <w:p>
      <w:pPr>
        <w:ind w:firstLine="640" w:firstLineChars="200"/>
        <w:rPr>
          <w:rFonts w:hint="eastAsia"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㈥</w:t>
      </w:r>
      <w:r>
        <w:rPr>
          <w:rFonts w:hint="eastAsia" w:eastAsia="方正仿宋_GBK" w:cs="Times New Roman"/>
          <w:color w:val="auto"/>
          <w:kern w:val="2"/>
          <w:sz w:val="32"/>
          <w:szCs w:val="32"/>
          <w:highlight w:val="none"/>
          <w:lang w:val="en-US" w:eastAsia="zh-CN" w:bidi="ar-SA"/>
        </w:rPr>
        <w:t>运营期</w:t>
      </w:r>
      <w:r>
        <w:rPr>
          <w:rFonts w:hint="eastAsia" w:ascii="Times New Roman" w:hAnsi="Times New Roman" w:eastAsia="方正仿宋_GBK" w:cs="Times New Roman"/>
          <w:color w:val="auto"/>
          <w:kern w:val="2"/>
          <w:sz w:val="32"/>
          <w:szCs w:val="32"/>
          <w:highlight w:val="none"/>
          <w:lang w:val="en-US" w:eastAsia="zh-CN" w:bidi="ar-SA"/>
        </w:rPr>
        <w:t>加强固废管理，</w:t>
      </w:r>
      <w:r>
        <w:rPr>
          <w:rFonts w:hint="eastAsia" w:eastAsia="方正仿宋_GBK" w:cs="Times New Roman"/>
          <w:color w:val="auto"/>
          <w:kern w:val="2"/>
          <w:sz w:val="32"/>
          <w:szCs w:val="32"/>
          <w:highlight w:val="none"/>
          <w:lang w:val="en-US" w:eastAsia="zh-CN" w:bidi="ar-SA"/>
        </w:rPr>
        <w:t>设置</w:t>
      </w:r>
      <w:r>
        <w:rPr>
          <w:rFonts w:hint="eastAsia" w:eastAsia="方正仿宋_GBK"/>
          <w:bCs/>
          <w:sz w:val="32"/>
          <w:szCs w:val="32"/>
          <w:highlight w:val="none"/>
          <w:lang w:val="en-US" w:eastAsia="zh-CN"/>
        </w:rPr>
        <w:t>贮粪池及沼渣暂存池</w:t>
      </w:r>
      <w:r>
        <w:rPr>
          <w:rFonts w:hint="eastAsia" w:ascii="Times New Roman" w:hAnsi="Times New Roman" w:eastAsia="方正仿宋_GBK" w:cs="Times New Roman"/>
          <w:color w:val="auto"/>
          <w:kern w:val="2"/>
          <w:sz w:val="32"/>
          <w:szCs w:val="32"/>
          <w:highlight w:val="none"/>
          <w:lang w:val="en-US" w:eastAsia="zh-CN" w:bidi="ar-SA"/>
        </w:rPr>
        <w:t>，沼渣干化</w:t>
      </w:r>
      <w:r>
        <w:rPr>
          <w:rFonts w:hint="eastAsia" w:eastAsia="方正仿宋_GBK" w:cs="Times New Roman"/>
          <w:color w:val="auto"/>
          <w:kern w:val="2"/>
          <w:sz w:val="32"/>
          <w:szCs w:val="32"/>
          <w:highlight w:val="none"/>
          <w:lang w:val="en-US" w:eastAsia="zh-CN" w:bidi="ar-SA"/>
        </w:rPr>
        <w:t>后与猪粪作为原材料，</w:t>
      </w:r>
      <w:r>
        <w:rPr>
          <w:rFonts w:hint="eastAsia" w:ascii="Times New Roman" w:hAnsi="Times New Roman" w:eastAsia="方正仿宋_GBK" w:cs="Times New Roman"/>
          <w:color w:val="auto"/>
          <w:kern w:val="2"/>
          <w:sz w:val="32"/>
          <w:szCs w:val="32"/>
          <w:highlight w:val="none"/>
          <w:lang w:val="en-US" w:eastAsia="zh-CN" w:bidi="ar-SA"/>
        </w:rPr>
        <w:t>运至有机肥加工车间生产有机肥</w:t>
      </w:r>
      <w:r>
        <w:rPr>
          <w:rFonts w:hint="eastAsia"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用于项目种植区</w:t>
      </w:r>
      <w:r>
        <w:rPr>
          <w:rFonts w:hint="eastAsia" w:eastAsia="方正仿宋_GBK" w:cs="Times New Roman"/>
          <w:color w:val="auto"/>
          <w:kern w:val="2"/>
          <w:sz w:val="32"/>
          <w:szCs w:val="32"/>
          <w:highlight w:val="none"/>
          <w:lang w:val="en-US" w:eastAsia="zh-CN" w:bidi="ar-SA"/>
        </w:rPr>
        <w:t>施肥</w:t>
      </w:r>
      <w:r>
        <w:rPr>
          <w:rFonts w:hint="eastAsia" w:ascii="Times New Roman" w:hAnsi="Times New Roman" w:eastAsia="方正仿宋_GBK" w:cs="Times New Roman"/>
          <w:color w:val="auto"/>
          <w:kern w:val="2"/>
          <w:sz w:val="32"/>
          <w:szCs w:val="32"/>
          <w:highlight w:val="none"/>
          <w:lang w:val="en-US" w:eastAsia="zh-CN" w:bidi="ar-SA"/>
        </w:rPr>
        <w:t>或外售</w:t>
      </w:r>
      <w:r>
        <w:rPr>
          <w:rFonts w:hint="eastAsia"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废弃有机肥包装袋集中收集后交厂家回收处理；脱硫塔废弃物通过脱硫塔车间的收集桶收集后交脱硫塔供应厂商回收处理</w:t>
      </w:r>
      <w:r>
        <w:rPr>
          <w:rFonts w:hint="eastAsia"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生活垃圾集中收集后清运至当地垃圾收集点，交由环卫站处置</w:t>
      </w:r>
      <w:r>
        <w:rPr>
          <w:rFonts w:hint="eastAsia"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病死猪及猪分娩胎盘</w:t>
      </w:r>
      <w:r>
        <w:rPr>
          <w:rFonts w:hint="eastAsia" w:eastAsia="方正仿宋_GBK" w:cs="Times New Roman"/>
          <w:color w:val="auto"/>
          <w:kern w:val="2"/>
          <w:sz w:val="32"/>
          <w:szCs w:val="32"/>
          <w:highlight w:val="none"/>
          <w:lang w:val="en-US" w:eastAsia="zh-CN" w:bidi="ar-SA"/>
        </w:rPr>
        <w:t>通过安全填埋井无害化处理，严禁随意丢弃。</w:t>
      </w:r>
    </w:p>
    <w:p>
      <w:pPr>
        <w:ind w:firstLine="640" w:firstLineChars="20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㈦</w:t>
      </w:r>
      <w:r>
        <w:rPr>
          <w:rFonts w:hint="eastAsia" w:eastAsia="方正仿宋_GBK" w:cs="Times New Roman"/>
          <w:color w:val="auto"/>
          <w:kern w:val="2"/>
          <w:sz w:val="32"/>
          <w:szCs w:val="32"/>
          <w:highlight w:val="none"/>
          <w:lang w:val="en-US" w:eastAsia="zh-CN" w:bidi="ar-SA"/>
        </w:rPr>
        <w:t>运营期加强环境风险防范，项目污水处理系统、沼渣暂存池、</w:t>
      </w:r>
      <w:r>
        <w:rPr>
          <w:rFonts w:hint="eastAsia" w:eastAsia="方正仿宋_GBK"/>
          <w:bCs/>
          <w:sz w:val="32"/>
          <w:szCs w:val="32"/>
          <w:highlight w:val="none"/>
          <w:lang w:val="en-US" w:eastAsia="zh-CN"/>
        </w:rPr>
        <w:t>贮粪池、有机肥加工车间、猪舍等必须严格落实《报告书》提出的防雨、防渗、防溢流要求，项目区污水管网严禁采用明沟布设</w:t>
      </w:r>
      <w:r>
        <w:rPr>
          <w:rFonts w:hint="eastAsia" w:eastAsia="方正仿宋_GBK" w:cs="Times New Roman"/>
          <w:color w:val="auto"/>
          <w:kern w:val="2"/>
          <w:sz w:val="32"/>
          <w:szCs w:val="32"/>
          <w:highlight w:val="none"/>
          <w:lang w:val="en-US" w:eastAsia="zh-CN" w:bidi="ar-SA"/>
        </w:rPr>
        <w:t>，进行防渗处理；项目安全填埋井必须按照《畜禽病害肉尸及基产品无害化处理规程》（GB16548-1996）进行建设和管理；</w:t>
      </w:r>
      <w:r>
        <w:rPr>
          <w:rFonts w:hint="eastAsia" w:ascii="Times New Roman" w:hAnsi="Times New Roman" w:eastAsia="方正仿宋_GBK" w:cs="Times New Roman"/>
          <w:color w:val="auto"/>
          <w:kern w:val="2"/>
          <w:sz w:val="32"/>
          <w:szCs w:val="32"/>
          <w:highlight w:val="none"/>
          <w:lang w:val="en-US" w:eastAsia="zh-CN" w:bidi="ar-SA"/>
        </w:rPr>
        <w:t>医疗废物</w:t>
      </w:r>
      <w:r>
        <w:rPr>
          <w:rFonts w:hint="eastAsia" w:eastAsia="方正仿宋_GBK" w:cs="Times New Roman"/>
          <w:color w:val="auto"/>
          <w:kern w:val="2"/>
          <w:sz w:val="32"/>
          <w:szCs w:val="32"/>
          <w:highlight w:val="none"/>
          <w:lang w:val="en-US" w:eastAsia="zh-CN" w:bidi="ar-SA"/>
        </w:rPr>
        <w:t>必须</w:t>
      </w:r>
      <w:r>
        <w:rPr>
          <w:rFonts w:hint="eastAsia" w:ascii="Times New Roman" w:hAnsi="Times New Roman" w:eastAsia="方正仿宋_GBK" w:cs="Times New Roman"/>
          <w:color w:val="auto"/>
          <w:kern w:val="2"/>
          <w:sz w:val="32"/>
          <w:szCs w:val="32"/>
          <w:highlight w:val="none"/>
          <w:lang w:val="en-US" w:eastAsia="zh-CN" w:bidi="ar-SA"/>
        </w:rPr>
        <w:t>照《危险物贮存污染控制标准》（GB18597-2001）的相关要求</w:t>
      </w:r>
      <w:r>
        <w:rPr>
          <w:rFonts w:hint="eastAsia"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建设</w:t>
      </w:r>
      <w:r>
        <w:rPr>
          <w:rFonts w:hint="eastAsia" w:eastAsia="方正仿宋_GBK" w:cs="Times New Roman"/>
          <w:color w:val="auto"/>
          <w:kern w:val="2"/>
          <w:sz w:val="32"/>
          <w:szCs w:val="32"/>
          <w:highlight w:val="none"/>
          <w:lang w:val="en-US" w:eastAsia="zh-CN" w:bidi="ar-SA"/>
        </w:rPr>
        <w:t>规范的</w:t>
      </w:r>
      <w:r>
        <w:rPr>
          <w:rFonts w:hint="eastAsia" w:ascii="Times New Roman" w:hAnsi="Times New Roman" w:eastAsia="方正仿宋_GBK" w:cs="Times New Roman"/>
          <w:color w:val="auto"/>
          <w:kern w:val="2"/>
          <w:sz w:val="32"/>
          <w:szCs w:val="32"/>
          <w:highlight w:val="none"/>
          <w:lang w:val="en-US" w:eastAsia="zh-CN" w:bidi="ar-SA"/>
        </w:rPr>
        <w:t>医废暂存间</w:t>
      </w:r>
      <w:r>
        <w:rPr>
          <w:rFonts w:hint="eastAsia" w:eastAsia="方正仿宋_GBK" w:cs="Times New Roman"/>
          <w:color w:val="auto"/>
          <w:kern w:val="2"/>
          <w:sz w:val="32"/>
          <w:szCs w:val="32"/>
          <w:highlight w:val="none"/>
          <w:lang w:val="en-US" w:eastAsia="zh-CN" w:bidi="ar-SA"/>
        </w:rPr>
        <w:t>暂存</w:t>
      </w:r>
      <w:r>
        <w:rPr>
          <w:rFonts w:hint="eastAsia" w:ascii="Times New Roman" w:hAnsi="Times New Roman" w:eastAsia="方正仿宋_GBK" w:cs="Times New Roman"/>
          <w:color w:val="auto"/>
          <w:kern w:val="2"/>
          <w:sz w:val="32"/>
          <w:szCs w:val="32"/>
          <w:highlight w:val="none"/>
          <w:lang w:val="en-US" w:eastAsia="zh-CN" w:bidi="ar-SA"/>
        </w:rPr>
        <w:t>，</w:t>
      </w:r>
      <w:r>
        <w:rPr>
          <w:rFonts w:hint="eastAsia" w:eastAsia="方正仿宋_GBK" w:cs="Times New Roman"/>
          <w:color w:val="auto"/>
          <w:kern w:val="2"/>
          <w:sz w:val="32"/>
          <w:szCs w:val="32"/>
          <w:highlight w:val="none"/>
          <w:lang w:val="en-US" w:eastAsia="zh-CN" w:bidi="ar-SA"/>
        </w:rPr>
        <w:t>建立产生和处置台账</w:t>
      </w:r>
      <w:r>
        <w:rPr>
          <w:rFonts w:hint="eastAsia" w:ascii="Times New Roman" w:hAnsi="Times New Roman" w:eastAsia="方正仿宋_GBK" w:cs="Times New Roman"/>
          <w:color w:val="auto"/>
          <w:kern w:val="2"/>
          <w:sz w:val="32"/>
          <w:szCs w:val="32"/>
          <w:highlight w:val="none"/>
          <w:lang w:val="en-US" w:eastAsia="zh-CN" w:bidi="ar-SA"/>
        </w:rPr>
        <w:t>，委托有资质单位定期清运处置</w:t>
      </w:r>
      <w:r>
        <w:rPr>
          <w:rFonts w:hint="eastAsia" w:eastAsia="方正仿宋_GBK" w:cs="Times New Roman"/>
          <w:color w:val="auto"/>
          <w:kern w:val="2"/>
          <w:sz w:val="32"/>
          <w:szCs w:val="32"/>
          <w:highlight w:val="none"/>
          <w:lang w:val="en-US" w:eastAsia="zh-CN" w:bidi="ar-SA"/>
        </w:rPr>
        <w:t>；沼气池附近必须安装沼气检测报警器，设置放空火炬对事故排放的沼气直接燃烧处理。加强</w:t>
      </w:r>
      <w:r>
        <w:rPr>
          <w:rFonts w:hint="eastAsia" w:ascii="Times New Roman" w:hAnsi="Times New Roman" w:eastAsia="方正仿宋_GBK" w:cs="Times New Roman"/>
          <w:color w:val="auto"/>
          <w:kern w:val="2"/>
          <w:sz w:val="32"/>
          <w:szCs w:val="32"/>
          <w:highlight w:val="none"/>
          <w:lang w:val="en-US" w:eastAsia="zh-CN" w:bidi="ar-SA"/>
        </w:rPr>
        <w:t>环境突发事件</w:t>
      </w:r>
      <w:r>
        <w:rPr>
          <w:rFonts w:hint="eastAsia" w:eastAsia="方正仿宋_GBK" w:cs="Times New Roman"/>
          <w:color w:val="auto"/>
          <w:kern w:val="2"/>
          <w:sz w:val="32"/>
          <w:szCs w:val="32"/>
          <w:highlight w:val="none"/>
          <w:lang w:val="en-US" w:eastAsia="zh-CN" w:bidi="ar-SA"/>
        </w:rPr>
        <w:t>应急</w:t>
      </w:r>
      <w:r>
        <w:rPr>
          <w:rFonts w:hint="eastAsia" w:ascii="Times New Roman" w:hAnsi="Times New Roman" w:eastAsia="方正仿宋_GBK" w:cs="Times New Roman"/>
          <w:color w:val="auto"/>
          <w:kern w:val="2"/>
          <w:sz w:val="32"/>
          <w:szCs w:val="32"/>
          <w:highlight w:val="none"/>
          <w:lang w:val="en-US" w:eastAsia="zh-CN" w:bidi="ar-SA"/>
        </w:rPr>
        <w:t>防范</w:t>
      </w:r>
      <w:r>
        <w:rPr>
          <w:rFonts w:hint="eastAsia" w:eastAsia="方正仿宋_GBK" w:cs="Times New Roman"/>
          <w:color w:val="auto"/>
          <w:kern w:val="2"/>
          <w:sz w:val="32"/>
          <w:szCs w:val="32"/>
          <w:highlight w:val="none"/>
          <w:lang w:val="en-US" w:eastAsia="zh-CN" w:bidi="ar-SA"/>
        </w:rPr>
        <w:t>，编制项目</w:t>
      </w:r>
      <w:r>
        <w:rPr>
          <w:rFonts w:hint="eastAsia" w:ascii="Times New Roman" w:hAnsi="Times New Roman" w:eastAsia="方正仿宋_GBK" w:cs="Times New Roman"/>
          <w:color w:val="auto"/>
          <w:kern w:val="2"/>
          <w:sz w:val="32"/>
          <w:szCs w:val="32"/>
          <w:highlight w:val="none"/>
          <w:lang w:val="en-US" w:eastAsia="zh-CN" w:bidi="ar-SA"/>
        </w:rPr>
        <w:t>突发环境事件应急预案</w:t>
      </w:r>
      <w:r>
        <w:rPr>
          <w:rFonts w:hint="eastAsia" w:eastAsia="方正仿宋_GBK" w:cs="Times New Roman"/>
          <w:color w:val="auto"/>
          <w:kern w:val="2"/>
          <w:sz w:val="32"/>
          <w:szCs w:val="32"/>
          <w:highlight w:val="none"/>
          <w:lang w:val="en-US" w:eastAsia="zh-CN" w:bidi="ar-SA"/>
        </w:rPr>
        <w:t>，报我局备案</w:t>
      </w:r>
      <w:r>
        <w:rPr>
          <w:rFonts w:hint="eastAsia" w:ascii="Times New Roman" w:hAnsi="Times New Roman" w:eastAsia="方正仿宋_GBK" w:cs="Times New Roman"/>
          <w:color w:val="auto"/>
          <w:kern w:val="2"/>
          <w:sz w:val="32"/>
          <w:szCs w:val="32"/>
          <w:highlight w:val="none"/>
          <w:lang w:val="en-US" w:eastAsia="zh-CN" w:bidi="ar-SA"/>
        </w:rPr>
        <w:t>。</w:t>
      </w:r>
    </w:p>
    <w:p>
      <w:pPr>
        <w:pStyle w:val="2"/>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 xml:space="preserve">    ㈧项目建设和运营过程中，必须加强对项目区东侧季节性箐沟保护，委托专业机构对污水处理工程进行设计，对靠近箐沟一侧的地质、边坡进行防护，避免发生地表水污染事件。</w:t>
      </w:r>
    </w:p>
    <w:p>
      <w:pPr>
        <w:numPr>
          <w:ilvl w:val="0"/>
          <w:numId w:val="1"/>
        </w:num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加强管理，健全机构，严格执行环保</w:t>
      </w:r>
      <w:r>
        <w:rPr>
          <w:rFonts w:eastAsia="方正仿宋_GBK"/>
          <w:sz w:val="32"/>
          <w:szCs w:val="32"/>
          <w:highlight w:val="none"/>
        </w:rPr>
        <w:t>“</w:t>
      </w:r>
      <w:r>
        <w:rPr>
          <w:rFonts w:hint="eastAsia" w:eastAsia="方正仿宋_GBK"/>
          <w:sz w:val="32"/>
          <w:szCs w:val="32"/>
          <w:highlight w:val="none"/>
        </w:rPr>
        <w:t>三同时</w:t>
      </w:r>
      <w:r>
        <w:rPr>
          <w:rFonts w:eastAsia="方正仿宋_GBK"/>
          <w:sz w:val="32"/>
          <w:szCs w:val="32"/>
          <w:highlight w:val="none"/>
        </w:rPr>
        <w:t>”</w:t>
      </w:r>
      <w:r>
        <w:rPr>
          <w:rFonts w:hint="eastAsia" w:eastAsia="方正仿宋_GBK"/>
          <w:sz w:val="32"/>
          <w:szCs w:val="32"/>
          <w:highlight w:val="none"/>
        </w:rPr>
        <w:t>制度，积极配合环境保护行政主管部门的环境监察工作。项目</w:t>
      </w:r>
      <w:r>
        <w:rPr>
          <w:rFonts w:hint="eastAsia" w:eastAsia="方正仿宋_GBK"/>
          <w:sz w:val="32"/>
          <w:szCs w:val="32"/>
          <w:highlight w:val="none"/>
          <w:lang w:eastAsia="zh-CN"/>
        </w:rPr>
        <w:t>建设</w:t>
      </w:r>
      <w:r>
        <w:rPr>
          <w:rFonts w:hint="eastAsia" w:eastAsia="方正仿宋_GBK"/>
          <w:sz w:val="32"/>
          <w:szCs w:val="32"/>
          <w:highlight w:val="none"/>
        </w:rPr>
        <w:t>完成</w:t>
      </w:r>
      <w:r>
        <w:rPr>
          <w:rFonts w:hint="eastAsia" w:eastAsia="方正仿宋_GBK"/>
          <w:sz w:val="32"/>
          <w:szCs w:val="32"/>
          <w:highlight w:val="none"/>
          <w:lang w:eastAsia="zh-CN"/>
        </w:rPr>
        <w:t>后，及时报告我局，并按规定自主开展竣工环保验收，收合格后方可正式投入运行</w:t>
      </w:r>
      <w:r>
        <w:rPr>
          <w:rFonts w:hint="eastAsia" w:eastAsia="方正仿宋_GBK"/>
          <w:sz w:val="32"/>
          <w:szCs w:val="32"/>
          <w:highlight w:val="none"/>
        </w:rPr>
        <w:t>。</w:t>
      </w:r>
      <w:r>
        <w:rPr>
          <w:rFonts w:hint="eastAsia" w:eastAsia="方正仿宋_GBK"/>
          <w:sz w:val="32"/>
          <w:szCs w:val="32"/>
          <w:highlight w:val="none"/>
          <w:lang w:eastAsia="zh-CN"/>
        </w:rPr>
        <w:t>运营期必须严格按照环境监测计划开展运营期大气监测，确保污染物达标排放。</w:t>
      </w:r>
    </w:p>
    <w:p>
      <w:p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eastAsia="方正仿宋_GBK"/>
          <w:sz w:val="32"/>
          <w:szCs w:val="32"/>
          <w:highlight w:val="none"/>
        </w:rPr>
      </w:pPr>
      <w:r>
        <w:rPr>
          <w:rFonts w:hint="eastAsia" w:eastAsia="方正仿宋_GBK"/>
          <w:sz w:val="32"/>
          <w:szCs w:val="32"/>
          <w:highlight w:val="none"/>
        </w:rPr>
        <w:t>五、请</w:t>
      </w:r>
      <w:r>
        <w:rPr>
          <w:rFonts w:hint="eastAsia" w:eastAsia="方正仿宋_GBK"/>
          <w:sz w:val="32"/>
          <w:szCs w:val="32"/>
          <w:highlight w:val="none"/>
          <w:lang w:eastAsia="zh-CN"/>
        </w:rPr>
        <w:t>德宏州生态环境局盈江分局</w:t>
      </w:r>
      <w:r>
        <w:rPr>
          <w:rFonts w:hint="eastAsia" w:eastAsia="方正仿宋_GBK"/>
          <w:sz w:val="32"/>
          <w:szCs w:val="32"/>
          <w:highlight w:val="none"/>
        </w:rPr>
        <w:t>环境监察大队加强对该项目施工期和营运期的现场监察。</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w:t>
      </w:r>
    </w:p>
    <w:p>
      <w:pPr>
        <w:spacing w:line="560" w:lineRule="exact"/>
        <w:ind w:right="640" w:firstLine="640" w:firstLineChars="200"/>
        <w:jc w:val="center"/>
        <w:rPr>
          <w:rFonts w:hint="eastAsia" w:eastAsia="方正仿宋_GBK"/>
          <w:sz w:val="32"/>
          <w:szCs w:val="32"/>
          <w:highlight w:val="none"/>
        </w:rPr>
      </w:pPr>
      <w:r>
        <w:rPr>
          <w:rFonts w:eastAsia="方正仿宋_GBK"/>
          <w:sz w:val="32"/>
          <w:szCs w:val="32"/>
          <w:highlight w:val="none"/>
        </w:rPr>
        <w:t xml:space="preserve">      </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w:t>
      </w:r>
      <w:r>
        <w:rPr>
          <w:rFonts w:hint="eastAsia" w:eastAsia="方正仿宋_GBK"/>
          <w:sz w:val="32"/>
          <w:szCs w:val="32"/>
          <w:highlight w:val="none"/>
          <w:lang w:eastAsia="zh-CN"/>
        </w:rPr>
        <w:t>德宏州生态环境局盈江分局</w:t>
      </w:r>
    </w:p>
    <w:p>
      <w:pPr>
        <w:spacing w:line="560" w:lineRule="exact"/>
        <w:ind w:right="640" w:firstLine="640" w:firstLineChars="200"/>
        <w:jc w:val="center"/>
        <w:rPr>
          <w:rFonts w:eastAsia="方正仿宋_GBK"/>
          <w:sz w:val="32"/>
          <w:szCs w:val="32"/>
          <w:highlight w:val="none"/>
        </w:rPr>
      </w:pPr>
      <w:r>
        <w:rPr>
          <w:rFonts w:eastAsia="方正仿宋_GBK"/>
          <w:sz w:val="32"/>
          <w:szCs w:val="32"/>
          <w:highlight w:val="none"/>
        </w:rPr>
        <w:t xml:space="preserve">             201</w:t>
      </w:r>
      <w:r>
        <w:rPr>
          <w:rFonts w:hint="eastAsia" w:eastAsia="方正仿宋_GBK"/>
          <w:sz w:val="32"/>
          <w:szCs w:val="32"/>
          <w:highlight w:val="none"/>
          <w:lang w:val="en-US" w:eastAsia="zh-CN"/>
        </w:rPr>
        <w:t>9</w:t>
      </w:r>
      <w:r>
        <w:rPr>
          <w:rFonts w:eastAsia="方正仿宋_GBK"/>
          <w:sz w:val="32"/>
          <w:szCs w:val="32"/>
          <w:highlight w:val="none"/>
        </w:rPr>
        <w:t>年</w:t>
      </w:r>
      <w:r>
        <w:rPr>
          <w:rFonts w:hint="eastAsia" w:eastAsia="方正仿宋_GBK"/>
          <w:sz w:val="32"/>
          <w:szCs w:val="32"/>
          <w:highlight w:val="none"/>
          <w:lang w:val="en-US" w:eastAsia="zh-CN"/>
        </w:rPr>
        <w:t>8</w:t>
      </w:r>
      <w:r>
        <w:rPr>
          <w:rFonts w:eastAsia="方正仿宋_GBK"/>
          <w:sz w:val="32"/>
          <w:szCs w:val="32"/>
          <w:highlight w:val="none"/>
        </w:rPr>
        <w:t>月</w:t>
      </w:r>
      <w:r>
        <w:rPr>
          <w:rFonts w:hint="eastAsia" w:eastAsia="方正仿宋_GBK"/>
          <w:sz w:val="32"/>
          <w:szCs w:val="32"/>
          <w:highlight w:val="none"/>
          <w:lang w:val="en-US" w:eastAsia="zh-CN"/>
        </w:rPr>
        <w:t>19</w:t>
      </w:r>
      <w:r>
        <w:rPr>
          <w:rFonts w:eastAsia="方正仿宋_GBK"/>
          <w:sz w:val="32"/>
          <w:szCs w:val="32"/>
          <w:highlight w:val="none"/>
        </w:rPr>
        <w:t>日</w:t>
      </w:r>
    </w:p>
    <w:p>
      <w:pPr>
        <w:spacing w:line="540" w:lineRule="exact"/>
        <w:rPr>
          <w:rFonts w:eastAsia="仿宋_GB2312"/>
          <w:sz w:val="32"/>
          <w:szCs w:val="32"/>
          <w:highlight w:val="none"/>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Style w:val="2"/>
        <w:rPr>
          <w:rFonts w:eastAsia="仿宋_GB2312"/>
          <w:sz w:val="32"/>
          <w:szCs w:val="32"/>
        </w:rPr>
      </w:pPr>
    </w:p>
    <w:p>
      <w:pPr>
        <w:pBdr>
          <w:top w:val="single" w:color="auto" w:sz="4" w:space="1"/>
          <w:bottom w:val="single" w:color="auto" w:sz="4" w:space="1"/>
        </w:pBdr>
        <w:rPr>
          <w:rFonts w:eastAsia="方正仿宋_GBK"/>
          <w:spacing w:val="-4"/>
          <w:sz w:val="32"/>
          <w:szCs w:val="32"/>
          <w:u w:val="single"/>
        </w:rPr>
      </w:pPr>
      <w:r>
        <w:rPr>
          <w:rFonts w:hint="eastAsia" w:eastAsia="方正仿宋_GBK" w:cs="方正仿宋_GBK"/>
          <w:sz w:val="28"/>
          <w:szCs w:val="28"/>
          <w:lang w:eastAsia="zh-CN"/>
        </w:rPr>
        <w:t>德宏州生态环境局</w:t>
      </w:r>
      <w:r>
        <w:rPr>
          <w:rFonts w:hint="eastAsia" w:eastAsia="方正仿宋_GBK" w:cs="方正仿宋_GBK"/>
          <w:sz w:val="28"/>
          <w:szCs w:val="28"/>
        </w:rPr>
        <w:t>盈江</w:t>
      </w:r>
      <w:r>
        <w:rPr>
          <w:rFonts w:hint="eastAsia" w:eastAsia="方正仿宋_GBK" w:cs="方正仿宋_GBK"/>
          <w:sz w:val="28"/>
          <w:szCs w:val="28"/>
          <w:lang w:eastAsia="zh-CN"/>
        </w:rPr>
        <w:t>分</w:t>
      </w:r>
      <w:r>
        <w:rPr>
          <w:rFonts w:hint="eastAsia" w:eastAsia="方正仿宋_GBK" w:cs="方正仿宋_GBK"/>
          <w:sz w:val="28"/>
          <w:szCs w:val="28"/>
        </w:rPr>
        <w:t>局办公室</w:t>
      </w:r>
      <w:r>
        <w:rPr>
          <w:rFonts w:eastAsia="方正仿宋_GBK"/>
          <w:sz w:val="28"/>
          <w:szCs w:val="28"/>
        </w:rPr>
        <w:t xml:space="preserve"> </w:t>
      </w:r>
      <w:r>
        <w:rPr>
          <w:rFonts w:hint="eastAsia" w:eastAsia="方正仿宋_GBK"/>
          <w:sz w:val="28"/>
          <w:szCs w:val="28"/>
        </w:rPr>
        <w:t xml:space="preserve"> </w:t>
      </w:r>
      <w:r>
        <w:rPr>
          <w:rFonts w:hint="eastAsia" w:eastAsia="方正仿宋_GBK"/>
          <w:sz w:val="28"/>
          <w:szCs w:val="28"/>
          <w:lang w:val="en-US" w:eastAsia="zh-CN"/>
        </w:rPr>
        <w:t xml:space="preserve">    </w:t>
      </w:r>
      <w:r>
        <w:rPr>
          <w:rFonts w:eastAsia="方正仿宋_GBK"/>
          <w:sz w:val="28"/>
          <w:szCs w:val="28"/>
        </w:rPr>
        <w:t>201</w:t>
      </w:r>
      <w:r>
        <w:rPr>
          <w:rFonts w:hint="eastAsia" w:eastAsia="方正仿宋_GBK"/>
          <w:sz w:val="28"/>
          <w:szCs w:val="28"/>
          <w:lang w:val="en-US" w:eastAsia="zh-CN"/>
        </w:rPr>
        <w:t>9</w:t>
      </w:r>
      <w:r>
        <w:rPr>
          <w:rFonts w:hint="eastAsia" w:eastAsia="方正仿宋_GBK" w:cs="方正仿宋_GBK"/>
          <w:sz w:val="28"/>
          <w:szCs w:val="28"/>
        </w:rPr>
        <w:t>年</w:t>
      </w:r>
      <w:r>
        <w:rPr>
          <w:rFonts w:hint="eastAsia" w:eastAsia="方正仿宋_GBK"/>
          <w:sz w:val="28"/>
          <w:szCs w:val="28"/>
          <w:lang w:val="en-US" w:eastAsia="zh-CN"/>
        </w:rPr>
        <w:t>8</w:t>
      </w:r>
      <w:r>
        <w:rPr>
          <w:rFonts w:hint="eastAsia" w:eastAsia="方正仿宋_GBK" w:cs="方正仿宋_GBK"/>
          <w:sz w:val="28"/>
          <w:szCs w:val="28"/>
        </w:rPr>
        <w:t>月</w:t>
      </w:r>
      <w:r>
        <w:rPr>
          <w:rFonts w:hint="eastAsia" w:eastAsia="方正仿宋_GBK"/>
          <w:sz w:val="28"/>
          <w:szCs w:val="28"/>
          <w:lang w:val="en-US" w:eastAsia="zh-CN"/>
        </w:rPr>
        <w:t>19</w:t>
      </w:r>
      <w:r>
        <w:rPr>
          <w:rFonts w:hint="eastAsia" w:eastAsia="方正仿宋_GBK" w:cs="方正仿宋_GBK"/>
          <w:sz w:val="28"/>
          <w:szCs w:val="28"/>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sz w:val="21"/>
      </w:rPr>
    </w:pPr>
    <w:r>
      <w:rPr>
        <w:rStyle w:val="11"/>
        <w:sz w:val="21"/>
      </w:rPr>
      <w:fldChar w:fldCharType="begin"/>
    </w:r>
    <w:r>
      <w:rPr>
        <w:rStyle w:val="11"/>
        <w:sz w:val="21"/>
      </w:rPr>
      <w:instrText xml:space="preserve">PAGE  </w:instrText>
    </w:r>
    <w:r>
      <w:rPr>
        <w:rStyle w:val="11"/>
        <w:sz w:val="21"/>
      </w:rPr>
      <w:fldChar w:fldCharType="separate"/>
    </w:r>
    <w:r>
      <w:rPr>
        <w:rStyle w:val="11"/>
        <w:sz w:val="21"/>
      </w:rPr>
      <w:t>3</w:t>
    </w:r>
    <w:r>
      <w:rPr>
        <w:rStyle w:val="11"/>
        <w:sz w:val="2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sz w:val="21"/>
      </w:rPr>
    </w:pPr>
    <w:r>
      <w:rPr>
        <w:rStyle w:val="11"/>
        <w:sz w:val="21"/>
      </w:rPr>
      <w:fldChar w:fldCharType="begin"/>
    </w:r>
    <w:r>
      <w:rPr>
        <w:rStyle w:val="11"/>
        <w:sz w:val="21"/>
      </w:rPr>
      <w:instrText xml:space="preserve">PAGE  </w:instrText>
    </w:r>
    <w:r>
      <w:rPr>
        <w:rStyle w:val="11"/>
        <w:sz w:val="21"/>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DE930"/>
    <w:multiLevelType w:val="singleLevel"/>
    <w:tmpl w:val="59DDE930"/>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324CA"/>
    <w:rsid w:val="00002200"/>
    <w:rsid w:val="00135CA3"/>
    <w:rsid w:val="005D2B03"/>
    <w:rsid w:val="00A249F3"/>
    <w:rsid w:val="00A5605E"/>
    <w:rsid w:val="00AE3237"/>
    <w:rsid w:val="00BA1D04"/>
    <w:rsid w:val="00D544D1"/>
    <w:rsid w:val="00D659D8"/>
    <w:rsid w:val="00E3677B"/>
    <w:rsid w:val="00E620F0"/>
    <w:rsid w:val="01807422"/>
    <w:rsid w:val="02211F55"/>
    <w:rsid w:val="05A33466"/>
    <w:rsid w:val="0623579D"/>
    <w:rsid w:val="075A7395"/>
    <w:rsid w:val="07BA64B2"/>
    <w:rsid w:val="09437F21"/>
    <w:rsid w:val="0A5101E8"/>
    <w:rsid w:val="0C9E10F5"/>
    <w:rsid w:val="1272128F"/>
    <w:rsid w:val="1ABC497B"/>
    <w:rsid w:val="222A1595"/>
    <w:rsid w:val="24066D77"/>
    <w:rsid w:val="247A4D9E"/>
    <w:rsid w:val="2607286A"/>
    <w:rsid w:val="26C82928"/>
    <w:rsid w:val="28546A26"/>
    <w:rsid w:val="29A95A02"/>
    <w:rsid w:val="2A19064E"/>
    <w:rsid w:val="2C7D3E1B"/>
    <w:rsid w:val="2F545078"/>
    <w:rsid w:val="30C66626"/>
    <w:rsid w:val="33363FD7"/>
    <w:rsid w:val="454324CA"/>
    <w:rsid w:val="45440E54"/>
    <w:rsid w:val="486552BA"/>
    <w:rsid w:val="4A521A6B"/>
    <w:rsid w:val="4AAF227A"/>
    <w:rsid w:val="4C7B786F"/>
    <w:rsid w:val="4D4C0A86"/>
    <w:rsid w:val="4E1A3BA0"/>
    <w:rsid w:val="51E53FAB"/>
    <w:rsid w:val="53B22A15"/>
    <w:rsid w:val="53C42D61"/>
    <w:rsid w:val="59016F09"/>
    <w:rsid w:val="599F1913"/>
    <w:rsid w:val="5D276A03"/>
    <w:rsid w:val="64C24B14"/>
    <w:rsid w:val="65B50CD3"/>
    <w:rsid w:val="693D6DDC"/>
    <w:rsid w:val="69AC0364"/>
    <w:rsid w:val="72F27725"/>
    <w:rsid w:val="75612B9A"/>
    <w:rsid w:val="7B07510F"/>
    <w:rsid w:val="7B214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3"/>
    <w:qFormat/>
    <w:locked/>
    <w:uiPriority w:val="0"/>
    <w:pPr>
      <w:keepNext/>
      <w:keepLines/>
      <w:spacing w:before="260" w:after="260" w:line="416" w:lineRule="auto"/>
      <w:outlineLvl w:val="1"/>
    </w:pPr>
    <w:rPr>
      <w:rFonts w:ascii="Arial" w:hAnsi="Arial" w:eastAsia="黑体" w:cs="宋体"/>
      <w:b/>
      <w:bCs/>
      <w:sz w:val="32"/>
      <w:szCs w:val="32"/>
    </w:rPr>
  </w:style>
  <w:style w:type="paragraph" w:styleId="4">
    <w:name w:val="heading 4"/>
    <w:basedOn w:val="1"/>
    <w:next w:val="1"/>
    <w:qFormat/>
    <w:locked/>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5">
    <w:name w:val="Body Text"/>
    <w:basedOn w:val="1"/>
    <w:qFormat/>
    <w:uiPriority w:val="0"/>
    <w:pPr>
      <w:spacing w:after="120"/>
    </w:pPr>
  </w:style>
  <w:style w:type="paragraph" w:styleId="6">
    <w:name w:val="Body Text Indent"/>
    <w:basedOn w:val="1"/>
    <w:unhideWhenUsed/>
    <w:qFormat/>
    <w:uiPriority w:val="99"/>
    <w:pPr>
      <w:spacing w:line="460" w:lineRule="exact"/>
      <w:ind w:firstLine="600"/>
    </w:pPr>
    <w:rPr>
      <w:rFonts w:eastAsia="仿宋_GB2312"/>
      <w:sz w:val="28"/>
    </w:rPr>
  </w:style>
  <w:style w:type="paragraph" w:styleId="7">
    <w:name w:val="footer"/>
    <w:basedOn w:val="1"/>
    <w:link w:val="14"/>
    <w:qFormat/>
    <w:locked/>
    <w:uiPriority w:val="0"/>
    <w:pPr>
      <w:tabs>
        <w:tab w:val="center" w:pos="4153"/>
        <w:tab w:val="right" w:pos="8306"/>
      </w:tabs>
      <w:snapToGrid w:val="0"/>
      <w:jc w:val="left"/>
    </w:pPr>
    <w:rPr>
      <w:sz w:val="18"/>
      <w:szCs w:val="18"/>
    </w:rPr>
  </w:style>
  <w:style w:type="paragraph" w:styleId="8">
    <w:name w:val="header"/>
    <w:basedOn w:val="1"/>
    <w:link w:val="15"/>
    <w:qFormat/>
    <w:locked/>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locked/>
    <w:uiPriority w:val="0"/>
    <w:rPr>
      <w:rFonts w:ascii="Calibri" w:hAnsi="Calibri" w:eastAsia="宋体" w:cs="Times New Roman"/>
      <w:kern w:val="2"/>
      <w:sz w:val="22"/>
      <w:szCs w:val="22"/>
      <w:lang w:val="en-US" w:eastAsia="zh-CN" w:bidi="ar-SA"/>
    </w:rPr>
  </w:style>
  <w:style w:type="character" w:styleId="12">
    <w:name w:val="Hyperlink"/>
    <w:basedOn w:val="10"/>
    <w:qFormat/>
    <w:locked/>
    <w:uiPriority w:val="0"/>
    <w:rPr>
      <w:rFonts w:ascii="Calibri" w:hAnsi="Calibri" w:eastAsia="宋体" w:cs="Times New Roman"/>
      <w:color w:val="0000FF"/>
      <w:kern w:val="2"/>
      <w:sz w:val="22"/>
      <w:szCs w:val="22"/>
      <w:u w:val="single"/>
      <w:lang w:val="en-US" w:eastAsia="zh-CN" w:bidi="ar-SA"/>
    </w:rPr>
  </w:style>
  <w:style w:type="character" w:customStyle="1" w:styleId="13">
    <w:name w:val="标题 2 Char"/>
    <w:basedOn w:val="10"/>
    <w:link w:val="3"/>
    <w:qFormat/>
    <w:locked/>
    <w:uiPriority w:val="99"/>
    <w:rPr>
      <w:rFonts w:ascii="Arial" w:hAnsi="Arial" w:eastAsia="黑体" w:cs="宋体"/>
      <w:b/>
      <w:bCs/>
      <w:kern w:val="2"/>
      <w:sz w:val="32"/>
      <w:szCs w:val="32"/>
      <w:lang w:val="en-US" w:eastAsia="zh-CN" w:bidi="ar-SA"/>
    </w:rPr>
  </w:style>
  <w:style w:type="character" w:customStyle="1" w:styleId="14">
    <w:name w:val="页脚 Char"/>
    <w:basedOn w:val="10"/>
    <w:link w:val="7"/>
    <w:qFormat/>
    <w:locked/>
    <w:uiPriority w:val="99"/>
    <w:rPr>
      <w:rFonts w:ascii="Calibri" w:hAnsi="Calibri" w:eastAsia="宋体" w:cs="Times New Roman"/>
      <w:kern w:val="2"/>
      <w:sz w:val="18"/>
      <w:szCs w:val="18"/>
      <w:lang w:val="en-US" w:eastAsia="zh-CN" w:bidi="ar-SA"/>
    </w:rPr>
  </w:style>
  <w:style w:type="character" w:customStyle="1" w:styleId="15">
    <w:name w:val="页眉 Char"/>
    <w:basedOn w:val="10"/>
    <w:link w:val="8"/>
    <w:qFormat/>
    <w:locked/>
    <w:uiPriority w:val="99"/>
    <w:rPr>
      <w:rFonts w:ascii="Calibri" w:hAnsi="Calibri" w:eastAsia="宋体" w:cs="Times New Roman"/>
      <w:kern w:val="2"/>
      <w:sz w:val="18"/>
      <w:szCs w:val="18"/>
      <w:lang w:val="en-US" w:eastAsia="zh-CN" w:bidi="ar-SA"/>
    </w:rPr>
  </w:style>
  <w:style w:type="character" w:customStyle="1" w:styleId="16">
    <w:name w:val="样式 仿宋_GB2312 三号"/>
    <w:basedOn w:val="10"/>
    <w:qFormat/>
    <w:uiPriority w:val="99"/>
    <w:rPr>
      <w:rFonts w:ascii="仿宋_GB2312" w:hAnsi="Calibri" w:eastAsia="仿宋_GB2312" w:cs="Times New Roman"/>
      <w:kern w:val="2"/>
      <w:sz w:val="32"/>
      <w:szCs w:val="32"/>
      <w:lang w:val="en-US" w:eastAsia="zh-CN" w:bidi="ar-SA"/>
    </w:rPr>
  </w:style>
  <w:style w:type="paragraph" w:customStyle="1" w:styleId="17">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222</Words>
  <Characters>1270</Characters>
  <Lines>10</Lines>
  <Paragraphs>2</Paragraphs>
  <TotalTime>0</TotalTime>
  <ScaleCrop>false</ScaleCrop>
  <LinksUpToDate>false</LinksUpToDate>
  <CharactersWithSpaces>1490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2018-06-08T03:04:00Z</dcterms:created>
  <dc:creator>HP</dc:creator>
  <cp:lastModifiedBy>hp</cp:lastModifiedBy>
  <cp:lastPrinted>2019-05-20T09:05:00Z</cp:lastPrinted>
  <dcterms:modified xsi:type="dcterms:W3CDTF">2020-11-13T02:26:45Z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y fmtid="{D5CDD505-2E9C-101B-9397-08002B2CF9AE}" pid="3" name="docranid">
    <vt:lpwstr>8A8F286660E44908B7404D219F1E6CA7</vt:lpwstr>
  </property>
</Properties>
</file>