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32"/>
          <w:szCs w:val="32"/>
        </w:rPr>
      </w:pPr>
    </w:p>
    <w:p>
      <w:pPr>
        <w:rPr>
          <w:color w:val="FF0000"/>
          <w:sz w:val="32"/>
          <w:szCs w:val="32"/>
        </w:rPr>
      </w:pPr>
    </w:p>
    <w:p>
      <w:pPr>
        <w:spacing w:line="600" w:lineRule="exact"/>
        <w:ind w:firstLine="105" w:firstLineChars="50"/>
      </w:pPr>
    </w:p>
    <w:p>
      <w:pPr>
        <w:jc w:val="center"/>
        <w:rPr>
          <w:rFonts w:eastAsia="方正仿宋_GBK"/>
          <w:sz w:val="32"/>
          <w:szCs w:val="32"/>
        </w:rPr>
      </w:pPr>
      <w:r>
        <w:rPr>
          <w:rFonts w:hint="eastAsia" w:eastAsia="方正仿宋_GBK"/>
          <w:sz w:val="32"/>
          <w:szCs w:val="32"/>
        </w:rPr>
        <w:t>盈环审〔</w:t>
      </w:r>
      <w:r>
        <w:rPr>
          <w:rFonts w:eastAsia="方正仿宋_GBK"/>
          <w:sz w:val="32"/>
          <w:szCs w:val="32"/>
        </w:rPr>
        <w:t>201</w:t>
      </w:r>
      <w:r>
        <w:rPr>
          <w:rFonts w:hint="eastAsia" w:eastAsia="方正仿宋_GBK"/>
          <w:sz w:val="32"/>
          <w:szCs w:val="32"/>
          <w:lang w:val="en-US" w:eastAsia="zh-CN"/>
        </w:rPr>
        <w:t>9</w:t>
      </w:r>
      <w:r>
        <w:rPr>
          <w:rFonts w:hint="eastAsia" w:eastAsia="方正仿宋_GBK"/>
          <w:sz w:val="32"/>
          <w:szCs w:val="32"/>
        </w:rPr>
        <w:t>〕</w:t>
      </w:r>
      <w:r>
        <w:rPr>
          <w:rFonts w:hint="eastAsia" w:eastAsia="方正仿宋_GBK"/>
          <w:sz w:val="32"/>
          <w:szCs w:val="32"/>
          <w:lang w:val="en-US" w:eastAsia="zh-CN"/>
        </w:rPr>
        <w:t>13</w:t>
      </w:r>
      <w:r>
        <w:rPr>
          <w:rFonts w:hint="eastAsia" w:eastAsia="方正仿宋_GBK"/>
          <w:sz w:val="32"/>
          <w:szCs w:val="32"/>
        </w:rPr>
        <w:t>号</w:t>
      </w:r>
    </w:p>
    <w:p>
      <w:pPr>
        <w:tabs>
          <w:tab w:val="left" w:pos="5435"/>
        </w:tabs>
        <w:spacing w:line="460" w:lineRule="exact"/>
        <w:rPr>
          <w:rFonts w:eastAsia="仿宋_GB2312"/>
          <w:sz w:val="32"/>
          <w:szCs w:val="32"/>
        </w:rPr>
      </w:pPr>
    </w:p>
    <w:p>
      <w:pPr>
        <w:spacing w:line="600" w:lineRule="exact"/>
        <w:jc w:val="center"/>
        <w:rPr>
          <w:rFonts w:hint="eastAsia" w:ascii="方正小标宋简体" w:eastAsia="方正小标宋简体"/>
          <w:spacing w:val="-4"/>
          <w:sz w:val="44"/>
          <w:szCs w:val="44"/>
        </w:rPr>
      </w:pPr>
      <w:r>
        <w:rPr>
          <w:rFonts w:hint="eastAsia" w:ascii="方正小标宋简体" w:eastAsia="方正小标宋简体"/>
          <w:spacing w:val="-4"/>
          <w:sz w:val="44"/>
          <w:szCs w:val="44"/>
          <w:lang w:eastAsia="zh-CN"/>
        </w:rPr>
        <w:t>德宏州生态环境局盈江分局</w:t>
      </w:r>
      <w:r>
        <w:rPr>
          <w:rFonts w:hint="eastAsia" w:ascii="方正小标宋简体" w:eastAsia="方正小标宋简体"/>
          <w:spacing w:val="-4"/>
          <w:sz w:val="44"/>
          <w:szCs w:val="44"/>
        </w:rPr>
        <w:t>关于</w:t>
      </w:r>
    </w:p>
    <w:p>
      <w:pPr>
        <w:spacing w:line="600" w:lineRule="exact"/>
        <w:jc w:val="center"/>
        <w:rPr>
          <w:rFonts w:ascii="方正小标宋简体" w:eastAsia="方正小标宋简体"/>
          <w:spacing w:val="-4"/>
          <w:sz w:val="44"/>
          <w:szCs w:val="44"/>
        </w:rPr>
      </w:pPr>
      <w:r>
        <w:rPr>
          <w:rFonts w:hint="eastAsia" w:ascii="方正小标宋简体" w:eastAsia="方正小标宋简体"/>
          <w:spacing w:val="-4"/>
          <w:sz w:val="44"/>
          <w:szCs w:val="44"/>
        </w:rPr>
        <w:t>云南盈江县白马山铅锌锰多金属矿勘探项目环境影响报告表的批复</w:t>
      </w:r>
    </w:p>
    <w:p>
      <w:pPr>
        <w:rPr>
          <w:sz w:val="32"/>
          <w:szCs w:val="32"/>
        </w:rPr>
      </w:pPr>
    </w:p>
    <w:p>
      <w:pPr>
        <w:spacing w:line="560" w:lineRule="exact"/>
        <w:rPr>
          <w:rFonts w:eastAsia="方正仿宋_GBK"/>
          <w:sz w:val="32"/>
          <w:szCs w:val="32"/>
        </w:rPr>
      </w:pPr>
      <w:r>
        <w:rPr>
          <w:rFonts w:hint="default" w:eastAsia="方正仿宋_GBK"/>
          <w:sz w:val="32"/>
          <w:szCs w:val="32"/>
          <w:lang w:eastAsia="zh-CN"/>
        </w:rPr>
        <w:t>云南正源矿业有限公司</w:t>
      </w:r>
      <w:r>
        <w:rPr>
          <w:rFonts w:eastAsia="方正仿宋_GBK"/>
          <w:sz w:val="32"/>
          <w:szCs w:val="32"/>
        </w:rPr>
        <w:t>:</w:t>
      </w:r>
    </w:p>
    <w:p>
      <w:pPr>
        <w:spacing w:line="560" w:lineRule="exact"/>
        <w:ind w:firstLine="640" w:firstLineChars="200"/>
        <w:rPr>
          <w:rFonts w:eastAsia="方正仿宋_GBK"/>
          <w:sz w:val="32"/>
          <w:szCs w:val="32"/>
        </w:rPr>
      </w:pPr>
      <w:r>
        <w:rPr>
          <w:rFonts w:eastAsia="方正仿宋_GBK"/>
          <w:sz w:val="32"/>
          <w:szCs w:val="32"/>
        </w:rPr>
        <w:t>你公司报批的《</w:t>
      </w:r>
      <w:r>
        <w:rPr>
          <w:rFonts w:hint="eastAsia" w:eastAsia="方正仿宋_GBK"/>
          <w:sz w:val="32"/>
          <w:szCs w:val="32"/>
        </w:rPr>
        <w:t>云南盈江县白马山铅锌锰多金属矿勘探项目</w:t>
      </w:r>
      <w:r>
        <w:rPr>
          <w:rFonts w:eastAsia="方正仿宋_GBK"/>
          <w:sz w:val="32"/>
          <w:szCs w:val="32"/>
        </w:rPr>
        <w:t>环境影响报告表》</w:t>
      </w:r>
      <w:r>
        <w:rPr>
          <w:rFonts w:hint="eastAsia" w:eastAsia="方正仿宋_GBK"/>
          <w:sz w:val="32"/>
          <w:szCs w:val="32"/>
        </w:rPr>
        <w:t>已收悉</w:t>
      </w:r>
      <w:r>
        <w:rPr>
          <w:rFonts w:eastAsia="方正仿宋_GBK"/>
          <w:sz w:val="32"/>
          <w:szCs w:val="32"/>
        </w:rPr>
        <w:t>，经研究，现批复如下：</w:t>
      </w:r>
    </w:p>
    <w:p>
      <w:pPr>
        <w:numPr>
          <w:ilvl w:val="0"/>
          <w:numId w:val="1"/>
        </w:numPr>
        <w:spacing w:line="560" w:lineRule="exact"/>
        <w:ind w:firstLine="640" w:firstLineChars="200"/>
        <w:rPr>
          <w:rFonts w:eastAsia="方正仿宋_GBK"/>
          <w:sz w:val="32"/>
          <w:szCs w:val="32"/>
        </w:rPr>
      </w:pPr>
      <w:r>
        <w:rPr>
          <w:rFonts w:eastAsia="方正仿宋_GBK"/>
          <w:sz w:val="32"/>
          <w:szCs w:val="32"/>
        </w:rPr>
        <w:t>项目基本情况</w:t>
      </w:r>
    </w:p>
    <w:p>
      <w:pPr>
        <w:spacing w:line="560" w:lineRule="exact"/>
        <w:ind w:firstLine="640" w:firstLineChars="200"/>
        <w:rPr>
          <w:rFonts w:eastAsia="方正仿宋_GBK"/>
          <w:sz w:val="32"/>
          <w:szCs w:val="32"/>
        </w:rPr>
      </w:pPr>
      <w:r>
        <w:rPr>
          <w:rFonts w:hint="default" w:ascii="Times New Roman" w:hAnsi="Times New Roman" w:eastAsia="方正仿宋_GBK" w:cs="Times New Roman"/>
          <w:sz w:val="32"/>
          <w:szCs w:val="32"/>
        </w:rPr>
        <w:t>项目位于</w:t>
      </w:r>
      <w:r>
        <w:rPr>
          <w:rFonts w:hint="default" w:ascii="Times New Roman" w:hAnsi="Times New Roman" w:eastAsia="方正仿宋_GBK" w:cs="Times New Roman"/>
          <w:sz w:val="32"/>
          <w:szCs w:val="32"/>
          <w:lang w:eastAsia="zh-CN"/>
        </w:rPr>
        <w:t>盈江县支那乡石分村白马山矿区</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探矿证号</w:t>
      </w:r>
      <w:r>
        <w:rPr>
          <w:rFonts w:hint="eastAsia" w:eastAsia="方正仿宋_GBK" w:cs="Times New Roman"/>
          <w:sz w:val="32"/>
          <w:szCs w:val="32"/>
          <w:lang w:eastAsia="zh-CN"/>
        </w:rPr>
        <w:t>为</w:t>
      </w:r>
      <w:r>
        <w:rPr>
          <w:rFonts w:hint="eastAsia" w:eastAsia="方正仿宋_GBK" w:cs="Times New Roman"/>
          <w:sz w:val="32"/>
          <w:szCs w:val="32"/>
          <w:lang w:val="en-US" w:eastAsia="zh-CN"/>
        </w:rPr>
        <w:t>T53120090902034397</w:t>
      </w:r>
      <w:r>
        <w:rPr>
          <w:rFonts w:hint="eastAsia" w:eastAsia="方正仿宋_GBK" w:cs="Times New Roman"/>
          <w:sz w:val="32"/>
          <w:szCs w:val="32"/>
          <w:lang w:eastAsia="zh-CN"/>
        </w:rPr>
        <w:t>，有效期限为201</w:t>
      </w:r>
      <w:r>
        <w:rPr>
          <w:rFonts w:hint="eastAsia" w:eastAsia="方正仿宋_GBK" w:cs="Times New Roman"/>
          <w:sz w:val="32"/>
          <w:szCs w:val="32"/>
          <w:lang w:val="en-US" w:eastAsia="zh-CN"/>
        </w:rPr>
        <w:t>8</w:t>
      </w:r>
      <w:r>
        <w:rPr>
          <w:rFonts w:hint="eastAsia" w:eastAsia="方正仿宋_GBK" w:cs="Times New Roman"/>
          <w:sz w:val="32"/>
          <w:szCs w:val="32"/>
          <w:lang w:eastAsia="zh-CN"/>
        </w:rPr>
        <w:t>年</w:t>
      </w:r>
      <w:r>
        <w:rPr>
          <w:rFonts w:hint="eastAsia" w:eastAsia="方正仿宋_GBK" w:cs="Times New Roman"/>
          <w:sz w:val="32"/>
          <w:szCs w:val="32"/>
          <w:lang w:val="en-US" w:eastAsia="zh-CN"/>
        </w:rPr>
        <w:t>8</w:t>
      </w:r>
      <w:r>
        <w:rPr>
          <w:rFonts w:hint="eastAsia" w:eastAsia="方正仿宋_GBK" w:cs="Times New Roman"/>
          <w:sz w:val="32"/>
          <w:szCs w:val="32"/>
          <w:lang w:eastAsia="zh-CN"/>
        </w:rPr>
        <w:t>月</w:t>
      </w:r>
      <w:r>
        <w:rPr>
          <w:rFonts w:hint="eastAsia" w:eastAsia="方正仿宋_GBK" w:cs="Times New Roman"/>
          <w:sz w:val="32"/>
          <w:szCs w:val="32"/>
          <w:lang w:val="en-US" w:eastAsia="zh-CN"/>
        </w:rPr>
        <w:t>25</w:t>
      </w:r>
      <w:r>
        <w:rPr>
          <w:rFonts w:hint="eastAsia" w:eastAsia="方正仿宋_GBK" w:cs="Times New Roman"/>
          <w:sz w:val="32"/>
          <w:szCs w:val="32"/>
          <w:lang w:eastAsia="zh-CN"/>
        </w:rPr>
        <w:t>日至20</w:t>
      </w:r>
      <w:r>
        <w:rPr>
          <w:rFonts w:hint="eastAsia" w:eastAsia="方正仿宋_GBK" w:cs="Times New Roman"/>
          <w:sz w:val="32"/>
          <w:szCs w:val="32"/>
          <w:lang w:val="en-US" w:eastAsia="zh-CN"/>
        </w:rPr>
        <w:t>20</w:t>
      </w:r>
      <w:r>
        <w:rPr>
          <w:rFonts w:hint="eastAsia" w:eastAsia="方正仿宋_GBK" w:cs="Times New Roman"/>
          <w:sz w:val="32"/>
          <w:szCs w:val="32"/>
          <w:lang w:eastAsia="zh-CN"/>
        </w:rPr>
        <w:t>年</w:t>
      </w:r>
      <w:r>
        <w:rPr>
          <w:rFonts w:hint="eastAsia" w:eastAsia="方正仿宋_GBK" w:cs="Times New Roman"/>
          <w:sz w:val="32"/>
          <w:szCs w:val="32"/>
          <w:lang w:val="en-US" w:eastAsia="zh-CN"/>
        </w:rPr>
        <w:t>8</w:t>
      </w:r>
      <w:r>
        <w:rPr>
          <w:rFonts w:hint="eastAsia" w:eastAsia="方正仿宋_GBK" w:cs="Times New Roman"/>
          <w:sz w:val="32"/>
          <w:szCs w:val="32"/>
          <w:lang w:eastAsia="zh-CN"/>
        </w:rPr>
        <w:t>月</w:t>
      </w:r>
      <w:r>
        <w:rPr>
          <w:rFonts w:hint="eastAsia" w:eastAsia="方正仿宋_GBK" w:cs="Times New Roman"/>
          <w:sz w:val="32"/>
          <w:szCs w:val="32"/>
          <w:lang w:val="en-US" w:eastAsia="zh-CN"/>
        </w:rPr>
        <w:t>25</w:t>
      </w:r>
      <w:r>
        <w:rPr>
          <w:rFonts w:hint="eastAsia" w:eastAsia="方正仿宋_GBK" w:cs="Times New Roman"/>
          <w:sz w:val="32"/>
          <w:szCs w:val="32"/>
          <w:lang w:eastAsia="zh-CN"/>
        </w:rPr>
        <w:t>日。</w:t>
      </w:r>
      <w:r>
        <w:rPr>
          <w:rFonts w:hint="default" w:ascii="Times New Roman" w:hAnsi="Times New Roman" w:eastAsia="方正仿宋_GBK" w:cs="Times New Roman"/>
          <w:sz w:val="32"/>
          <w:szCs w:val="32"/>
        </w:rPr>
        <w:t>探矿权</w:t>
      </w:r>
      <w:r>
        <w:rPr>
          <w:rFonts w:hint="eastAsia" w:eastAsia="方正仿宋_GBK" w:cs="Times New Roman"/>
          <w:sz w:val="32"/>
          <w:szCs w:val="32"/>
          <w:lang w:eastAsia="zh-CN"/>
        </w:rPr>
        <w:t>地理坐标为：东经</w:t>
      </w:r>
      <w:r>
        <w:rPr>
          <w:rFonts w:hint="eastAsia" w:eastAsia="方正仿宋_GBK" w:cs="Times New Roman"/>
          <w:sz w:val="32"/>
          <w:szCs w:val="32"/>
          <w:lang w:val="en-US" w:eastAsia="zh-CN"/>
        </w:rPr>
        <w:t>98°8′57″~98°10′12″，北纬25°10′15″~25°12′59″</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由</w:t>
      </w:r>
      <w:r>
        <w:rPr>
          <w:rFonts w:hint="default" w:ascii="Times New Roman" w:hAnsi="Times New Roman" w:eastAsia="方正仿宋_GBK" w:cs="Times New Roman"/>
          <w:sz w:val="32"/>
          <w:szCs w:val="32"/>
          <w:lang w:val="en-US" w:eastAsia="zh-CN"/>
        </w:rPr>
        <w:t>26</w:t>
      </w:r>
      <w:r>
        <w:rPr>
          <w:rFonts w:hint="default" w:ascii="Times New Roman" w:hAnsi="Times New Roman" w:eastAsia="方正仿宋_GBK" w:cs="Times New Roman"/>
          <w:sz w:val="32"/>
          <w:szCs w:val="32"/>
          <w:lang w:eastAsia="zh-CN"/>
        </w:rPr>
        <w:t>个拐点圈定</w:t>
      </w:r>
      <w:r>
        <w:rPr>
          <w:rFonts w:hint="eastAsia" w:eastAsia="方正仿宋_GBK" w:cs="Times New Roman"/>
          <w:sz w:val="32"/>
          <w:szCs w:val="32"/>
          <w:lang w:eastAsia="zh-CN"/>
        </w:rPr>
        <w:t>，本次环评勘查面积为</w:t>
      </w:r>
      <w:r>
        <w:rPr>
          <w:rFonts w:hint="eastAsia" w:eastAsia="方正仿宋_GBK" w:cs="Times New Roman"/>
          <w:sz w:val="32"/>
          <w:szCs w:val="32"/>
          <w:lang w:val="en-US" w:eastAsia="zh-CN"/>
        </w:rPr>
        <w:t>4.88</w:t>
      </w:r>
      <w:r>
        <w:rPr>
          <w:rFonts w:hint="eastAsia" w:eastAsia="方正仿宋_GBK" w:cs="Times New Roman"/>
          <w:sz w:val="32"/>
          <w:szCs w:val="32"/>
          <w:lang w:eastAsia="zh-CN"/>
        </w:rPr>
        <w:t>平方千米，</w:t>
      </w:r>
      <w:r>
        <w:rPr>
          <w:rFonts w:hint="default" w:ascii="Times New Roman" w:hAnsi="Times New Roman" w:eastAsia="方正仿宋_GBK" w:cs="Times New Roman"/>
          <w:sz w:val="32"/>
          <w:szCs w:val="32"/>
        </w:rPr>
        <w:t>勘探矿种为</w:t>
      </w:r>
      <w:r>
        <w:rPr>
          <w:rFonts w:hint="eastAsia" w:eastAsia="方正仿宋_GBK"/>
          <w:sz w:val="32"/>
          <w:szCs w:val="32"/>
        </w:rPr>
        <w:t>铅锌锰多金属</w:t>
      </w:r>
      <w:r>
        <w:rPr>
          <w:rFonts w:hint="eastAsia" w:eastAsia="方正仿宋_GBK"/>
          <w:sz w:val="32"/>
          <w:szCs w:val="32"/>
          <w:lang w:eastAsia="zh-CN"/>
        </w:rPr>
        <w:t>矿，</w:t>
      </w:r>
      <w:r>
        <w:rPr>
          <w:rFonts w:hint="default" w:ascii="Times New Roman" w:hAnsi="Times New Roman" w:eastAsia="方正仿宋_GBK" w:cs="Times New Roman"/>
          <w:sz w:val="32"/>
          <w:szCs w:val="32"/>
        </w:rPr>
        <w:t>探矿方式槽探、钻探</w:t>
      </w:r>
      <w:r>
        <w:rPr>
          <w:rFonts w:hint="eastAsia" w:eastAsia="方正仿宋_GBK" w:cs="Times New Roman"/>
          <w:sz w:val="32"/>
          <w:szCs w:val="32"/>
          <w:lang w:eastAsia="zh-CN"/>
        </w:rPr>
        <w:t>。本次勘探期</w:t>
      </w:r>
      <w:r>
        <w:rPr>
          <w:rFonts w:hint="eastAsia" w:eastAsia="方正仿宋_GBK" w:cs="Times New Roman"/>
          <w:sz w:val="32"/>
          <w:szCs w:val="32"/>
          <w:lang w:val="en-US" w:eastAsia="zh-CN"/>
        </w:rPr>
        <w:t>2</w:t>
      </w:r>
      <w:r>
        <w:rPr>
          <w:rFonts w:hint="eastAsia" w:eastAsia="方正仿宋_GBK" w:cs="Times New Roman"/>
          <w:sz w:val="32"/>
          <w:szCs w:val="32"/>
          <w:lang w:eastAsia="zh-CN"/>
        </w:rPr>
        <w:t>年，设计布置</w:t>
      </w:r>
      <w:r>
        <w:rPr>
          <w:rFonts w:hint="eastAsia" w:eastAsia="方正仿宋_GBK" w:cs="Times New Roman"/>
          <w:sz w:val="32"/>
          <w:szCs w:val="32"/>
          <w:lang w:val="en-US" w:eastAsia="zh-CN"/>
        </w:rPr>
        <w:t>3个</w:t>
      </w:r>
      <w:r>
        <w:rPr>
          <w:rFonts w:hint="eastAsia" w:eastAsia="方正仿宋_GBK" w:cs="Times New Roman"/>
          <w:sz w:val="32"/>
          <w:szCs w:val="32"/>
          <w:lang w:eastAsia="zh-CN"/>
        </w:rPr>
        <w:t>槽探、</w:t>
      </w:r>
      <w:r>
        <w:rPr>
          <w:rFonts w:hint="eastAsia" w:eastAsia="方正仿宋_GBK" w:cs="Times New Roman"/>
          <w:sz w:val="32"/>
          <w:szCs w:val="32"/>
          <w:lang w:val="en-US" w:eastAsia="zh-CN"/>
        </w:rPr>
        <w:t>4</w:t>
      </w:r>
      <w:r>
        <w:rPr>
          <w:rFonts w:hint="eastAsia" w:eastAsia="方正仿宋_GBK" w:cs="Times New Roman"/>
          <w:sz w:val="32"/>
          <w:szCs w:val="32"/>
          <w:lang w:eastAsia="zh-CN"/>
        </w:rPr>
        <w:t>个钻孔</w:t>
      </w:r>
      <w:r>
        <w:rPr>
          <w:rFonts w:hint="eastAsia" w:eastAsia="方正仿宋_GBK" w:cs="Times New Roman"/>
          <w:sz w:val="32"/>
          <w:szCs w:val="32"/>
          <w:lang w:val="en-US" w:eastAsia="zh-CN"/>
        </w:rPr>
        <w:t>工程点。项目工作人员生活设施依托“云南正源矿业有限公司盈江县白马山锰矿开采项目”办公生活区，不新建生活区</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项目总投资17</w:t>
      </w:r>
      <w:r>
        <w:rPr>
          <w:rFonts w:hint="eastAsia" w:eastAsia="方正仿宋_GBK" w:cs="Times New Roman"/>
          <w:sz w:val="32"/>
          <w:szCs w:val="32"/>
          <w:lang w:val="en-US" w:eastAsia="zh-CN"/>
        </w:rPr>
        <w:t>0.82</w:t>
      </w:r>
      <w:r>
        <w:rPr>
          <w:rFonts w:hint="default" w:ascii="Times New Roman" w:hAnsi="Times New Roman" w:eastAsia="方正仿宋_GBK" w:cs="Times New Roman"/>
          <w:sz w:val="32"/>
          <w:szCs w:val="32"/>
        </w:rPr>
        <w:t>万元，</w:t>
      </w:r>
      <w:r>
        <w:rPr>
          <w:rFonts w:hint="eastAsia" w:eastAsia="方正仿宋_GBK" w:cs="Times New Roman"/>
          <w:sz w:val="32"/>
          <w:szCs w:val="32"/>
          <w:lang w:eastAsia="zh-CN"/>
        </w:rPr>
        <w:t>其中</w:t>
      </w:r>
      <w:r>
        <w:rPr>
          <w:rFonts w:hint="default" w:ascii="Times New Roman" w:hAnsi="Times New Roman" w:eastAsia="方正仿宋_GBK" w:cs="Times New Roman"/>
          <w:sz w:val="32"/>
          <w:szCs w:val="32"/>
        </w:rPr>
        <w:t>环保投资</w:t>
      </w:r>
      <w:r>
        <w:rPr>
          <w:rFonts w:hint="eastAsia" w:eastAsia="方正仿宋_GBK" w:cs="Times New Roman"/>
          <w:sz w:val="32"/>
          <w:szCs w:val="32"/>
          <w:lang w:val="en-US" w:eastAsia="zh-CN"/>
        </w:rPr>
        <w:t>12</w:t>
      </w:r>
      <w:r>
        <w:rPr>
          <w:rFonts w:hint="default" w:ascii="Times New Roman" w:hAnsi="Times New Roman" w:eastAsia="方正仿宋_GBK" w:cs="Times New Roman"/>
          <w:sz w:val="32"/>
          <w:szCs w:val="32"/>
        </w:rPr>
        <w:t>万元，占总投资的</w:t>
      </w:r>
      <w:r>
        <w:rPr>
          <w:rFonts w:hint="eastAsia" w:eastAsia="方正仿宋_GBK" w:cs="Times New Roman"/>
          <w:sz w:val="32"/>
          <w:szCs w:val="32"/>
          <w:lang w:val="en-US" w:eastAsia="zh-CN"/>
        </w:rPr>
        <w:t>7.02</w:t>
      </w:r>
      <w:r>
        <w:rPr>
          <w:rFonts w:hint="default" w:ascii="Times New Roman" w:hAnsi="Times New Roman" w:eastAsia="方正仿宋_GBK" w:cs="Times New Roman"/>
          <w:sz w:val="32"/>
          <w:szCs w:val="32"/>
        </w:rPr>
        <w:t>%。</w:t>
      </w:r>
    </w:p>
    <w:p>
      <w:pPr>
        <w:overflowPunct w:val="0"/>
        <w:topLinePunct/>
        <w:spacing w:line="560" w:lineRule="exact"/>
        <w:ind w:firstLine="640" w:firstLineChars="200"/>
        <w:rPr>
          <w:rFonts w:eastAsia="方正仿宋_GBK"/>
          <w:sz w:val="32"/>
          <w:szCs w:val="32"/>
        </w:rPr>
      </w:pPr>
      <w:r>
        <w:rPr>
          <w:rFonts w:hint="eastAsia" w:eastAsia="方正仿宋_GBK"/>
          <w:sz w:val="32"/>
          <w:szCs w:val="32"/>
        </w:rPr>
        <w:t>项目符合国家产政策，本次勘查范围不涉及</w:t>
      </w:r>
      <w:r>
        <w:rPr>
          <w:rFonts w:hint="eastAsia" w:eastAsia="方正仿宋_GBK"/>
          <w:sz w:val="32"/>
          <w:szCs w:val="32"/>
          <w:lang w:eastAsia="zh-CN"/>
        </w:rPr>
        <w:t>云南省生态保护红线、</w:t>
      </w:r>
      <w:r>
        <w:rPr>
          <w:rFonts w:hint="eastAsia" w:eastAsia="方正仿宋_GBK"/>
          <w:sz w:val="32"/>
          <w:szCs w:val="32"/>
        </w:rPr>
        <w:t>自然保护区、风景名胜区、水源地保护区</w:t>
      </w:r>
      <w:r>
        <w:rPr>
          <w:rFonts w:eastAsia="方正仿宋_GBK"/>
          <w:sz w:val="32"/>
          <w:szCs w:val="32"/>
        </w:rPr>
        <w:t>等敏感区域</w:t>
      </w:r>
      <w:r>
        <w:rPr>
          <w:rFonts w:hint="eastAsia" w:eastAsia="方正仿宋_GBK"/>
          <w:sz w:val="32"/>
          <w:szCs w:val="32"/>
        </w:rPr>
        <w:t>。</w:t>
      </w:r>
      <w:r>
        <w:rPr>
          <w:rFonts w:hint="eastAsia" w:eastAsia="方正仿宋_GBK"/>
          <w:sz w:val="32"/>
          <w:szCs w:val="32"/>
          <w:highlight w:val="none"/>
          <w:lang w:eastAsia="zh-CN"/>
        </w:rPr>
        <w:t>在全面落实环境影响报告表提出的各项污染防治和生态保护措施后，项目污染物可达标排放，项目探矿过程中的不良环境影响可以得到减缓和控制，</w:t>
      </w:r>
      <w:r>
        <w:rPr>
          <w:rFonts w:eastAsia="方正仿宋_GBK"/>
          <w:sz w:val="32"/>
          <w:szCs w:val="32"/>
          <w:highlight w:val="none"/>
        </w:rPr>
        <w:t>我局同意该项目按照环境影报告表中的性质、地点、采用的环境保护对策、措施</w:t>
      </w:r>
      <w:r>
        <w:rPr>
          <w:rFonts w:hint="eastAsia" w:eastAsia="方正仿宋_GBK"/>
          <w:sz w:val="32"/>
          <w:szCs w:val="32"/>
          <w:highlight w:val="none"/>
          <w:lang w:eastAsia="zh-CN"/>
        </w:rPr>
        <w:t>进行勘探</w:t>
      </w:r>
      <w:r>
        <w:rPr>
          <w:rFonts w:eastAsia="方正仿宋_GBK"/>
          <w:sz w:val="32"/>
          <w:szCs w:val="32"/>
          <w:highlight w:val="none"/>
        </w:rPr>
        <w:t>。</w:t>
      </w:r>
    </w:p>
    <w:p>
      <w:pPr>
        <w:topLinePunct/>
        <w:spacing w:line="560" w:lineRule="exact"/>
        <w:ind w:firstLine="632" w:firstLineChars="200"/>
        <w:rPr>
          <w:rFonts w:eastAsia="方正仿宋_GBK"/>
          <w:spacing w:val="-2"/>
          <w:sz w:val="32"/>
          <w:szCs w:val="32"/>
        </w:rPr>
      </w:pPr>
      <w:r>
        <w:rPr>
          <w:rFonts w:eastAsia="方正仿宋_GBK"/>
          <w:spacing w:val="-2"/>
          <w:sz w:val="32"/>
          <w:szCs w:val="32"/>
        </w:rPr>
        <w:t>二、项目探矿过程中应重点做好的工作</w:t>
      </w:r>
    </w:p>
    <w:p>
      <w:pPr>
        <w:topLinePunct/>
        <w:spacing w:line="560" w:lineRule="exact"/>
        <w:ind w:firstLine="640" w:firstLineChars="200"/>
        <w:rPr>
          <w:rFonts w:eastAsia="方正仿宋_GBK"/>
          <w:spacing w:val="-2"/>
          <w:sz w:val="32"/>
          <w:szCs w:val="32"/>
        </w:rPr>
      </w:pPr>
      <w:r>
        <w:rPr>
          <w:rFonts w:eastAsia="方正仿宋_GBK"/>
          <w:sz w:val="32"/>
          <w:szCs w:val="32"/>
        </w:rPr>
        <w:t>㈠《</w:t>
      </w:r>
      <w:r>
        <w:rPr>
          <w:rFonts w:hint="eastAsia" w:eastAsia="方正仿宋_GBK"/>
          <w:sz w:val="32"/>
          <w:szCs w:val="32"/>
        </w:rPr>
        <w:t>云南盈江县白马山铅锌锰多金属矿勘探项目</w:t>
      </w:r>
      <w:r>
        <w:rPr>
          <w:rFonts w:eastAsia="方正仿宋_GBK"/>
          <w:sz w:val="32"/>
          <w:szCs w:val="32"/>
        </w:rPr>
        <w:t>环境影响报告表》</w:t>
      </w:r>
      <w:r>
        <w:rPr>
          <w:rFonts w:eastAsia="方正仿宋_GBK"/>
          <w:spacing w:val="-2"/>
          <w:sz w:val="32"/>
          <w:szCs w:val="32"/>
        </w:rPr>
        <w:t>作为该项目探矿期环境管理的依据，必须认真落实</w:t>
      </w:r>
      <w:r>
        <w:rPr>
          <w:rFonts w:hint="eastAsia" w:eastAsia="方正仿宋_GBK"/>
          <w:spacing w:val="-2"/>
          <w:sz w:val="32"/>
          <w:szCs w:val="32"/>
        </w:rPr>
        <w:t>《报告表》</w:t>
      </w:r>
      <w:r>
        <w:rPr>
          <w:rFonts w:eastAsia="方正仿宋_GBK"/>
          <w:spacing w:val="-2"/>
          <w:sz w:val="32"/>
          <w:szCs w:val="32"/>
        </w:rPr>
        <w:t>提出的各项环保对策措施</w:t>
      </w:r>
      <w:r>
        <w:rPr>
          <w:rFonts w:hint="eastAsia" w:eastAsia="方正仿宋_GBK"/>
          <w:spacing w:val="-2"/>
          <w:sz w:val="32"/>
          <w:szCs w:val="32"/>
        </w:rPr>
        <w:t>，严格按提出的环保投资概算执行。</w:t>
      </w:r>
    </w:p>
    <w:p>
      <w:pPr>
        <w:topLinePunct/>
        <w:spacing w:line="560" w:lineRule="exact"/>
        <w:ind w:firstLine="640" w:firstLineChars="200"/>
        <w:rPr>
          <w:rFonts w:eastAsia="方正仿宋_GBK"/>
          <w:bCs/>
          <w:sz w:val="32"/>
          <w:szCs w:val="32"/>
        </w:rPr>
      </w:pPr>
      <w:r>
        <w:rPr>
          <w:rFonts w:eastAsia="方正仿宋_GBK"/>
          <w:bCs/>
          <w:sz w:val="32"/>
          <w:szCs w:val="32"/>
        </w:rPr>
        <w:t>㈡</w:t>
      </w:r>
      <w:r>
        <w:rPr>
          <w:rFonts w:hint="eastAsia" w:eastAsia="方正仿宋_GBK"/>
          <w:bCs/>
          <w:sz w:val="32"/>
          <w:szCs w:val="32"/>
        </w:rPr>
        <w:t>加强对扬尘防治，采取湿法钻探，开挖土石方妥善堆放</w:t>
      </w:r>
      <w:r>
        <w:rPr>
          <w:rFonts w:hint="eastAsia" w:eastAsia="方正仿宋_GBK"/>
          <w:bCs/>
          <w:sz w:val="32"/>
          <w:szCs w:val="32"/>
          <w:lang w:eastAsia="zh-CN"/>
        </w:rPr>
        <w:t>于临时堆土场</w:t>
      </w:r>
      <w:r>
        <w:rPr>
          <w:rFonts w:hint="eastAsia" w:eastAsia="方正仿宋_GBK"/>
          <w:bCs/>
          <w:sz w:val="32"/>
          <w:szCs w:val="32"/>
        </w:rPr>
        <w:t>，</w:t>
      </w:r>
      <w:r>
        <w:rPr>
          <w:rFonts w:hint="eastAsia" w:eastAsia="方正仿宋_GBK"/>
          <w:bCs/>
          <w:sz w:val="32"/>
          <w:szCs w:val="32"/>
          <w:lang w:eastAsia="zh-CN"/>
        </w:rPr>
        <w:t>定期洒水降尘</w:t>
      </w:r>
      <w:r>
        <w:rPr>
          <w:rFonts w:hint="eastAsia" w:eastAsia="方正仿宋_GBK"/>
          <w:bCs/>
          <w:sz w:val="32"/>
          <w:szCs w:val="32"/>
        </w:rPr>
        <w:t>，减少扬尘产生；每个钻探点</w:t>
      </w:r>
      <w:r>
        <w:rPr>
          <w:rFonts w:hint="eastAsia" w:eastAsia="方正仿宋_GBK"/>
          <w:bCs/>
          <w:sz w:val="32"/>
          <w:szCs w:val="32"/>
          <w:lang w:eastAsia="zh-CN"/>
        </w:rPr>
        <w:t>设置</w:t>
      </w:r>
      <w:r>
        <w:rPr>
          <w:rFonts w:hint="eastAsia" w:eastAsia="方正仿宋_GBK"/>
          <w:bCs/>
          <w:sz w:val="32"/>
          <w:szCs w:val="32"/>
          <w:lang w:val="en-US" w:eastAsia="zh-CN"/>
        </w:rPr>
        <w:t>临时沉淀池，钻头清洗、冷却废水及泥浆水经过沉淀后循环使用，严禁外排；</w:t>
      </w:r>
      <w:r>
        <w:rPr>
          <w:rFonts w:hint="eastAsia" w:eastAsia="方正仿宋_GBK"/>
          <w:bCs/>
          <w:sz w:val="32"/>
          <w:szCs w:val="32"/>
        </w:rPr>
        <w:t>产生的泥浆干化后堆存于土石方临时堆场，施工结束后，全部用于回填；</w:t>
      </w:r>
      <w:r>
        <w:rPr>
          <w:rFonts w:hint="eastAsia" w:eastAsia="方正仿宋_GBK"/>
          <w:bCs/>
          <w:sz w:val="32"/>
          <w:szCs w:val="32"/>
          <w:lang w:eastAsia="zh-CN"/>
        </w:rPr>
        <w:t>开挖土石方及勘探废料于</w:t>
      </w:r>
      <w:r>
        <w:rPr>
          <w:rFonts w:hint="eastAsia" w:eastAsia="方正仿宋_GBK"/>
          <w:bCs/>
          <w:sz w:val="32"/>
          <w:szCs w:val="32"/>
        </w:rPr>
        <w:t>探矿结束后回填</w:t>
      </w:r>
      <w:r>
        <w:rPr>
          <w:rFonts w:hint="eastAsia" w:eastAsia="方正仿宋_GBK"/>
          <w:bCs/>
          <w:sz w:val="32"/>
          <w:szCs w:val="32"/>
          <w:lang w:eastAsia="zh-CN"/>
        </w:rPr>
        <w:t>探槽、临时沉淀池</w:t>
      </w:r>
      <w:r>
        <w:rPr>
          <w:rFonts w:hint="eastAsia" w:eastAsia="方正仿宋_GBK"/>
          <w:bCs/>
          <w:sz w:val="32"/>
          <w:szCs w:val="32"/>
        </w:rPr>
        <w:t>，及时恢复植被；产生的生活垃圾必须集中收集，妥善处置。</w:t>
      </w:r>
    </w:p>
    <w:p>
      <w:pPr>
        <w:pStyle w:val="4"/>
        <w:spacing w:line="560" w:lineRule="exact"/>
        <w:ind w:firstLine="640" w:firstLineChars="200"/>
        <w:rPr>
          <w:rFonts w:eastAsia="方正仿宋_GBK"/>
          <w:sz w:val="32"/>
          <w:szCs w:val="32"/>
        </w:rPr>
      </w:pPr>
      <w:r>
        <w:rPr>
          <w:rFonts w:hint="eastAsia" w:eastAsia="方正仿宋_GBK"/>
          <w:sz w:val="32"/>
          <w:szCs w:val="32"/>
        </w:rPr>
        <w:t>㈢</w:t>
      </w:r>
      <w:r>
        <w:rPr>
          <w:rFonts w:hint="eastAsia" w:eastAsia="方正仿宋_GBK"/>
          <w:sz w:val="32"/>
          <w:szCs w:val="32"/>
          <w:lang w:eastAsia="zh-CN"/>
        </w:rPr>
        <w:t>探矿期加强环境风险防范，柴油存放点必须采取三防措施</w:t>
      </w:r>
      <w:r>
        <w:rPr>
          <w:rFonts w:hint="eastAsia" w:eastAsia="方正仿宋_GBK"/>
          <w:sz w:val="32"/>
          <w:szCs w:val="32"/>
        </w:rPr>
        <w:t>；</w:t>
      </w:r>
      <w:r>
        <w:rPr>
          <w:rFonts w:hint="eastAsia" w:eastAsia="方正仿宋_GBK"/>
          <w:sz w:val="32"/>
          <w:szCs w:val="32"/>
          <w:lang w:eastAsia="zh-CN"/>
        </w:rPr>
        <w:t>勘探过程中产生的废机油依托“</w:t>
      </w:r>
      <w:r>
        <w:rPr>
          <w:rFonts w:hint="eastAsia" w:eastAsia="方正仿宋_GBK"/>
          <w:sz w:val="32"/>
          <w:szCs w:val="32"/>
          <w:lang w:val="en-US" w:eastAsia="zh-CN"/>
        </w:rPr>
        <w:t>盈江县白马山锰矿开采项目</w:t>
      </w:r>
      <w:r>
        <w:rPr>
          <w:rFonts w:hint="eastAsia" w:eastAsia="方正仿宋_GBK"/>
          <w:sz w:val="32"/>
          <w:szCs w:val="32"/>
          <w:lang w:eastAsia="zh-CN"/>
        </w:rPr>
        <w:t>”危险废物暂存间存放，定期交由有资质的单位处置，严禁随意倾倒；</w:t>
      </w:r>
      <w:r>
        <w:rPr>
          <w:rFonts w:hint="eastAsia" w:eastAsia="方正仿宋_GBK"/>
          <w:sz w:val="32"/>
          <w:szCs w:val="32"/>
        </w:rPr>
        <w:t>加强探矿设备及运输车辆维护，避免因故障产生环境污染。</w:t>
      </w:r>
    </w:p>
    <w:p>
      <w:pPr>
        <w:topLinePunct/>
        <w:spacing w:line="560" w:lineRule="exact"/>
        <w:ind w:firstLine="640" w:firstLineChars="200"/>
        <w:rPr>
          <w:rFonts w:eastAsia="方正仿宋_GBK"/>
          <w:sz w:val="32"/>
          <w:szCs w:val="32"/>
        </w:rPr>
      </w:pPr>
      <w:r>
        <w:rPr>
          <w:rFonts w:hint="eastAsia" w:eastAsia="方正仿宋_GBK"/>
          <w:sz w:val="32"/>
          <w:szCs w:val="32"/>
        </w:rPr>
        <w:t>㈣探矿期必须加强管理，合理安排勘查计划，严格控制勘查范围；合理选择穿越路线，尽量少占地，不得随意开挖、毁坏周围区域的林地、减少对植被的破坏；加强对施工人员的教育，禁止一切狩猎活动。</w:t>
      </w:r>
    </w:p>
    <w:p>
      <w:pPr>
        <w:topLinePunct/>
        <w:spacing w:line="560" w:lineRule="exact"/>
        <w:ind w:firstLine="640" w:firstLineChars="200"/>
        <w:rPr>
          <w:rFonts w:eastAsia="方正仿宋_GBK"/>
          <w:sz w:val="32"/>
          <w:szCs w:val="32"/>
        </w:rPr>
      </w:pPr>
      <w:r>
        <w:rPr>
          <w:rFonts w:hint="eastAsia" w:eastAsia="方正仿宋_GBK"/>
          <w:sz w:val="32"/>
          <w:szCs w:val="32"/>
        </w:rPr>
        <w:t>㈤探矿结束后必须对探矿迹地采取渣土回填、平整、</w:t>
      </w:r>
      <w:r>
        <w:rPr>
          <w:rFonts w:hint="eastAsia" w:eastAsia="方正仿宋_GBK"/>
          <w:sz w:val="32"/>
          <w:szCs w:val="32"/>
          <w:lang w:eastAsia="zh-CN"/>
        </w:rPr>
        <w:t>植被恢复</w:t>
      </w:r>
      <w:r>
        <w:rPr>
          <w:rFonts w:hint="eastAsia" w:eastAsia="方正仿宋_GBK"/>
          <w:sz w:val="32"/>
          <w:szCs w:val="32"/>
        </w:rPr>
        <w:t>等措施，对探矿点生态进行恢复。</w:t>
      </w:r>
    </w:p>
    <w:p>
      <w:pPr>
        <w:pStyle w:val="4"/>
        <w:spacing w:line="560" w:lineRule="exact"/>
        <w:ind w:firstLine="592" w:firstLineChars="200"/>
        <w:rPr>
          <w:rFonts w:eastAsia="方正仿宋_GBK"/>
          <w:sz w:val="32"/>
          <w:szCs w:val="32"/>
        </w:rPr>
      </w:pPr>
      <w:r>
        <w:rPr>
          <w:rFonts w:hint="eastAsia" w:eastAsia="方正仿宋_GBK"/>
          <w:spacing w:val="-12"/>
          <w:sz w:val="32"/>
          <w:szCs w:val="32"/>
        </w:rPr>
        <w:t>㈥</w:t>
      </w:r>
      <w:r>
        <w:rPr>
          <w:rFonts w:eastAsia="方正仿宋_GBK"/>
          <w:sz w:val="32"/>
        </w:rPr>
        <w:t>若探矿面积超过批复的范围、探矿方式发生改变，或探矿结束后，矿产达到规模要求需进行开采矿产资源，必须重新办理环境影响评价手续，严禁以探代采。</w:t>
      </w:r>
    </w:p>
    <w:p>
      <w:pPr>
        <w:numPr>
          <w:ilvl w:val="0"/>
          <w:numId w:val="2"/>
        </w:numPr>
        <w:topLinePunct/>
        <w:spacing w:line="560" w:lineRule="exact"/>
        <w:ind w:firstLine="640" w:firstLineChars="200"/>
        <w:rPr>
          <w:rFonts w:eastAsia="方正仿宋_GBK"/>
          <w:sz w:val="32"/>
          <w:szCs w:val="32"/>
        </w:rPr>
      </w:pPr>
      <w:r>
        <w:rPr>
          <w:rFonts w:hint="eastAsia" w:eastAsia="方正仿宋_GBK"/>
          <w:sz w:val="32"/>
          <w:szCs w:val="32"/>
        </w:rPr>
        <w:t>加强管理，健全机构，严格执行环保</w:t>
      </w:r>
      <w:r>
        <w:rPr>
          <w:rFonts w:eastAsia="方正仿宋_GBK"/>
          <w:sz w:val="32"/>
          <w:szCs w:val="32"/>
        </w:rPr>
        <w:t>“</w:t>
      </w:r>
      <w:r>
        <w:rPr>
          <w:rFonts w:hint="eastAsia" w:eastAsia="方正仿宋_GBK"/>
          <w:sz w:val="32"/>
          <w:szCs w:val="32"/>
        </w:rPr>
        <w:t>三同时</w:t>
      </w:r>
      <w:r>
        <w:rPr>
          <w:rFonts w:eastAsia="方正仿宋_GBK"/>
          <w:sz w:val="32"/>
          <w:szCs w:val="32"/>
        </w:rPr>
        <w:t>”</w:t>
      </w:r>
      <w:r>
        <w:rPr>
          <w:rFonts w:hint="eastAsia" w:eastAsia="方正仿宋_GBK"/>
          <w:sz w:val="32"/>
          <w:szCs w:val="32"/>
        </w:rPr>
        <w:t>制度，积极配合环境保护行政主管部门的环境监察工作。相关环保措施建成后，</w:t>
      </w:r>
      <w:r>
        <w:rPr>
          <w:rFonts w:hint="eastAsia" w:eastAsia="方正仿宋_GBK"/>
          <w:sz w:val="32"/>
          <w:szCs w:val="32"/>
          <w:lang w:eastAsia="zh-CN"/>
        </w:rPr>
        <w:t>探矿前，必须自主开展竣工环境保护验收，</w:t>
      </w:r>
      <w:r>
        <w:rPr>
          <w:rFonts w:hint="eastAsia" w:eastAsia="方正仿宋_GBK"/>
          <w:sz w:val="32"/>
          <w:szCs w:val="32"/>
        </w:rPr>
        <w:t>验收合格后方能正式进行探矿。</w:t>
      </w:r>
    </w:p>
    <w:p>
      <w:pPr>
        <w:topLinePunct/>
        <w:spacing w:line="560" w:lineRule="exact"/>
        <w:ind w:firstLine="640" w:firstLineChars="200"/>
        <w:rPr>
          <w:rFonts w:eastAsia="方正仿宋_GBK"/>
          <w:sz w:val="32"/>
          <w:szCs w:val="32"/>
        </w:rPr>
      </w:pPr>
      <w:r>
        <w:rPr>
          <w:rFonts w:hint="eastAsia" w:eastAsia="方正仿宋_GBK"/>
          <w:sz w:val="32"/>
          <w:szCs w:val="32"/>
        </w:rPr>
        <w:t>四、项目的性质、规模、地点、采用的生产工艺或者防治污染、防治生态破坏的措施发生重大变化的，经调查属于重大变动的应当重新报批项目的环境影响评价文件，不属于重大变动的纳入竣工环境保护验收管理。</w:t>
      </w:r>
    </w:p>
    <w:p>
      <w:pPr>
        <w:topLinePunct/>
        <w:spacing w:line="560" w:lineRule="exact"/>
        <w:ind w:firstLine="640" w:firstLineChars="200"/>
        <w:rPr>
          <w:rFonts w:eastAsia="方正仿宋_GBK"/>
          <w:sz w:val="32"/>
          <w:szCs w:val="32"/>
        </w:rPr>
      </w:pPr>
      <w:r>
        <w:rPr>
          <w:rFonts w:hint="eastAsia" w:eastAsia="方正仿宋_GBK"/>
          <w:sz w:val="32"/>
          <w:szCs w:val="32"/>
        </w:rPr>
        <w:t>五、请盈江县环境保护局环境监察大队加强对该项目施工期和营运期的现场监察。</w:t>
      </w:r>
    </w:p>
    <w:p>
      <w:pPr>
        <w:spacing w:line="560" w:lineRule="exact"/>
        <w:ind w:right="640" w:firstLine="640" w:firstLineChars="200"/>
        <w:jc w:val="center"/>
        <w:rPr>
          <w:rFonts w:hint="eastAsia" w:eastAsia="方正仿宋_GBK"/>
          <w:sz w:val="32"/>
          <w:szCs w:val="32"/>
        </w:rPr>
      </w:pPr>
      <w:r>
        <w:rPr>
          <w:rFonts w:eastAsia="方正仿宋_GBK"/>
          <w:sz w:val="32"/>
          <w:szCs w:val="32"/>
        </w:rPr>
        <w:t xml:space="preserve">            </w:t>
      </w:r>
    </w:p>
    <w:p>
      <w:pPr>
        <w:spacing w:line="560" w:lineRule="exact"/>
        <w:ind w:right="640" w:firstLine="640" w:firstLineChars="200"/>
        <w:jc w:val="center"/>
        <w:rPr>
          <w:rFonts w:eastAsia="方正仿宋_GBK"/>
          <w:sz w:val="32"/>
          <w:szCs w:val="32"/>
        </w:rPr>
      </w:pPr>
      <w:r>
        <w:rPr>
          <w:rFonts w:eastAsia="方正仿宋_GBK"/>
          <w:sz w:val="32"/>
          <w:szCs w:val="32"/>
        </w:rPr>
        <w:t xml:space="preserve">       </w:t>
      </w:r>
    </w:p>
    <w:p>
      <w:pPr>
        <w:spacing w:line="560" w:lineRule="exact"/>
        <w:ind w:right="640" w:firstLine="640" w:firstLineChars="200"/>
        <w:jc w:val="center"/>
        <w:rPr>
          <w:rFonts w:eastAsia="方正仿宋_GBK"/>
          <w:sz w:val="32"/>
          <w:szCs w:val="32"/>
        </w:rPr>
      </w:pPr>
      <w:r>
        <w:rPr>
          <w:rFonts w:eastAsia="方正仿宋_GBK"/>
          <w:sz w:val="32"/>
          <w:szCs w:val="32"/>
        </w:rPr>
        <w:t xml:space="preserve">                  </w:t>
      </w:r>
      <w:r>
        <w:rPr>
          <w:rFonts w:hint="eastAsia" w:eastAsia="方正仿宋_GBK"/>
          <w:sz w:val="32"/>
          <w:szCs w:val="32"/>
          <w:lang w:eastAsia="zh-CN"/>
        </w:rPr>
        <w:t>德宏州生态环境局盈江分局</w:t>
      </w:r>
    </w:p>
    <w:p>
      <w:pPr>
        <w:spacing w:line="560" w:lineRule="exact"/>
        <w:ind w:right="640" w:firstLine="640" w:firstLineChars="200"/>
        <w:jc w:val="center"/>
        <w:rPr>
          <w:rFonts w:eastAsia="方正仿宋_GBK"/>
          <w:sz w:val="32"/>
          <w:szCs w:val="32"/>
        </w:rPr>
      </w:pPr>
      <w:r>
        <w:rPr>
          <w:rFonts w:eastAsia="方正仿宋_GBK"/>
          <w:sz w:val="32"/>
          <w:szCs w:val="32"/>
        </w:rPr>
        <w:t xml:space="preserve">                      201</w:t>
      </w:r>
      <w:r>
        <w:rPr>
          <w:rFonts w:hint="eastAsia" w:eastAsia="方正仿宋_GBK"/>
          <w:sz w:val="32"/>
          <w:szCs w:val="32"/>
          <w:lang w:val="en-US" w:eastAsia="zh-CN"/>
        </w:rPr>
        <w:t>9</w:t>
      </w:r>
      <w:r>
        <w:rPr>
          <w:rFonts w:eastAsia="方正仿宋_GBK"/>
          <w:sz w:val="32"/>
          <w:szCs w:val="32"/>
        </w:rPr>
        <w:t>年</w:t>
      </w:r>
      <w:r>
        <w:rPr>
          <w:rFonts w:hint="eastAsia" w:eastAsia="方正仿宋_GBK"/>
          <w:sz w:val="32"/>
          <w:szCs w:val="32"/>
          <w:lang w:val="en-US" w:eastAsia="zh-CN"/>
        </w:rPr>
        <w:t>5</w:t>
      </w:r>
      <w:r>
        <w:rPr>
          <w:rFonts w:eastAsia="方正仿宋_GBK"/>
          <w:sz w:val="32"/>
          <w:szCs w:val="32"/>
        </w:rPr>
        <w:t>月</w:t>
      </w:r>
      <w:r>
        <w:rPr>
          <w:rFonts w:hint="eastAsia" w:eastAsia="方正仿宋_GBK"/>
          <w:sz w:val="32"/>
          <w:szCs w:val="32"/>
          <w:lang w:val="en-US" w:eastAsia="zh-CN"/>
        </w:rPr>
        <w:t>7</w:t>
      </w:r>
      <w:r>
        <w:rPr>
          <w:rFonts w:eastAsia="方正仿宋_GBK"/>
          <w:sz w:val="32"/>
          <w:szCs w:val="32"/>
        </w:rPr>
        <w:t>日</w:t>
      </w:r>
    </w:p>
    <w:p>
      <w:pPr>
        <w:spacing w:line="540" w:lineRule="exact"/>
        <w:rPr>
          <w:rFonts w:eastAsia="仿宋_GB2312"/>
          <w:sz w:val="32"/>
          <w:szCs w:val="32"/>
        </w:rPr>
      </w:pPr>
    </w:p>
    <w:p>
      <w:pPr>
        <w:spacing w:line="540" w:lineRule="exact"/>
        <w:rPr>
          <w:rFonts w:eastAsia="仿宋_GB2312"/>
          <w:sz w:val="32"/>
          <w:szCs w:val="32"/>
        </w:rPr>
      </w:pP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9"/>
        <w:sz w:val="21"/>
      </w:rPr>
    </w:pPr>
    <w:r>
      <w:rPr>
        <w:rStyle w:val="9"/>
        <w:sz w:val="21"/>
      </w:rPr>
      <w:fldChar w:fldCharType="begin"/>
    </w:r>
    <w:r>
      <w:rPr>
        <w:rStyle w:val="9"/>
        <w:sz w:val="21"/>
      </w:rPr>
      <w:instrText xml:space="preserve">PAGE  </w:instrText>
    </w:r>
    <w:r>
      <w:rPr>
        <w:rStyle w:val="9"/>
        <w:sz w:val="21"/>
      </w:rPr>
      <w:fldChar w:fldCharType="separate"/>
    </w:r>
    <w:r>
      <w:rPr>
        <w:rStyle w:val="9"/>
        <w:sz w:val="21"/>
      </w:rPr>
      <w:t>3</w:t>
    </w:r>
    <w:r>
      <w:rPr>
        <w:rStyle w:val="9"/>
        <w:sz w:val="21"/>
      </w:rP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9"/>
        <w:sz w:val="21"/>
      </w:rPr>
    </w:pPr>
    <w:r>
      <w:rPr>
        <w:rStyle w:val="9"/>
        <w:sz w:val="21"/>
      </w:rPr>
      <w:fldChar w:fldCharType="begin"/>
    </w:r>
    <w:r>
      <w:rPr>
        <w:rStyle w:val="9"/>
        <w:sz w:val="21"/>
      </w:rPr>
      <w:instrText xml:space="preserve">PAGE  </w:instrText>
    </w:r>
    <w:r>
      <w:rPr>
        <w:rStyle w:val="9"/>
        <w:sz w:val="21"/>
      </w:rPr>
      <w:fldChar w:fldCharType="end"/>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DDE930"/>
    <w:multiLevelType w:val="singleLevel"/>
    <w:tmpl w:val="59DDE930"/>
    <w:lvl w:ilvl="0" w:tentative="0">
      <w:start w:val="3"/>
      <w:numFmt w:val="chineseCounting"/>
      <w:suff w:val="nothing"/>
      <w:lvlText w:val="%1、"/>
      <w:lvlJc w:val="left"/>
    </w:lvl>
  </w:abstractNum>
  <w:abstractNum w:abstractNumId="1">
    <w:nsid w:val="5CD0058B"/>
    <w:multiLevelType w:val="singleLevel"/>
    <w:tmpl w:val="5CD0058B"/>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4324CA"/>
    <w:rsid w:val="00002200"/>
    <w:rsid w:val="00135CA3"/>
    <w:rsid w:val="005D2B03"/>
    <w:rsid w:val="00A249F3"/>
    <w:rsid w:val="00A5605E"/>
    <w:rsid w:val="00AE3237"/>
    <w:rsid w:val="00BA1D04"/>
    <w:rsid w:val="00D544D1"/>
    <w:rsid w:val="00D659D8"/>
    <w:rsid w:val="00E3677B"/>
    <w:rsid w:val="00E620F0"/>
    <w:rsid w:val="01807422"/>
    <w:rsid w:val="05A33466"/>
    <w:rsid w:val="0C9E10F5"/>
    <w:rsid w:val="1ABC497B"/>
    <w:rsid w:val="1C8879A1"/>
    <w:rsid w:val="24066D77"/>
    <w:rsid w:val="2607286A"/>
    <w:rsid w:val="26C82928"/>
    <w:rsid w:val="28546A26"/>
    <w:rsid w:val="2A19064E"/>
    <w:rsid w:val="2F545078"/>
    <w:rsid w:val="30C66626"/>
    <w:rsid w:val="454324CA"/>
    <w:rsid w:val="45440E54"/>
    <w:rsid w:val="4AAF227A"/>
    <w:rsid w:val="4C7B786F"/>
    <w:rsid w:val="4E1A3BA0"/>
    <w:rsid w:val="51E53FAB"/>
    <w:rsid w:val="53C42D61"/>
    <w:rsid w:val="64C24B14"/>
    <w:rsid w:val="72F27725"/>
    <w:rsid w:val="75612B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ocked="1"/>
    <w:lsdException w:qFormat="1" w:unhideWhenUsed="0" w:uiPriority="0" w:semiHidden="0" w:name="footer" w:locked="1"/>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ocked="1"/>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ocked="1"/>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1"/>
    <w:qFormat/>
    <w:locked/>
    <w:uiPriority w:val="0"/>
    <w:pPr>
      <w:keepNext/>
      <w:keepLines/>
      <w:spacing w:before="260" w:after="260" w:line="416" w:lineRule="auto"/>
      <w:outlineLvl w:val="1"/>
    </w:pPr>
    <w:rPr>
      <w:rFonts w:ascii="Arial" w:hAnsi="Arial" w:eastAsia="黑体" w:cs="宋体"/>
      <w:b/>
      <w:bCs/>
      <w:sz w:val="32"/>
      <w:szCs w:val="32"/>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header"/>
    <w:basedOn w:val="1"/>
    <w:link w:val="13"/>
    <w:qFormat/>
    <w:locked/>
    <w:uiPriority w:val="0"/>
    <w:pPr>
      <w:pBdr>
        <w:bottom w:val="single" w:color="auto" w:sz="6" w:space="1"/>
      </w:pBdr>
      <w:tabs>
        <w:tab w:val="center" w:pos="4153"/>
        <w:tab w:val="right" w:pos="8306"/>
      </w:tabs>
      <w:snapToGrid w:val="0"/>
      <w:jc w:val="center"/>
    </w:pPr>
    <w:rPr>
      <w:sz w:val="18"/>
      <w:szCs w:val="18"/>
    </w:rPr>
  </w:style>
  <w:style w:type="paragraph" w:styleId="4">
    <w:name w:val="Body Text Indent"/>
    <w:basedOn w:val="1"/>
    <w:unhideWhenUsed/>
    <w:qFormat/>
    <w:uiPriority w:val="99"/>
    <w:pPr>
      <w:spacing w:line="460" w:lineRule="exact"/>
      <w:ind w:firstLine="600"/>
    </w:pPr>
    <w:rPr>
      <w:rFonts w:eastAsia="仿宋_GB2312"/>
      <w:sz w:val="28"/>
    </w:rPr>
  </w:style>
  <w:style w:type="paragraph" w:styleId="5">
    <w:name w:val="Plain Text"/>
    <w:basedOn w:val="1"/>
    <w:unhideWhenUsed/>
    <w:qFormat/>
    <w:uiPriority w:val="99"/>
    <w:rPr>
      <w:rFonts w:ascii="宋体" w:hAnsi="Courier New" w:cs="Courier New"/>
      <w:szCs w:val="21"/>
    </w:rPr>
  </w:style>
  <w:style w:type="paragraph" w:styleId="6">
    <w:name w:val="footer"/>
    <w:basedOn w:val="1"/>
    <w:link w:val="12"/>
    <w:qFormat/>
    <w:locked/>
    <w:uiPriority w:val="0"/>
    <w:pPr>
      <w:tabs>
        <w:tab w:val="center" w:pos="4153"/>
        <w:tab w:val="right" w:pos="8306"/>
      </w:tabs>
      <w:snapToGrid w:val="0"/>
      <w:jc w:val="left"/>
    </w:pPr>
    <w:rPr>
      <w:sz w:val="18"/>
      <w:szCs w:val="18"/>
    </w:rPr>
  </w:style>
  <w:style w:type="character" w:styleId="9">
    <w:name w:val="page number"/>
    <w:basedOn w:val="8"/>
    <w:qFormat/>
    <w:locked/>
    <w:uiPriority w:val="0"/>
    <w:rPr>
      <w:rFonts w:ascii="Calibri" w:hAnsi="Calibri" w:eastAsia="宋体" w:cs="Times New Roman"/>
      <w:kern w:val="2"/>
      <w:sz w:val="22"/>
      <w:szCs w:val="22"/>
      <w:lang w:val="en-US" w:eastAsia="zh-CN" w:bidi="ar-SA"/>
    </w:rPr>
  </w:style>
  <w:style w:type="character" w:styleId="10">
    <w:name w:val="Hyperlink"/>
    <w:basedOn w:val="8"/>
    <w:qFormat/>
    <w:locked/>
    <w:uiPriority w:val="0"/>
    <w:rPr>
      <w:rFonts w:ascii="Calibri" w:hAnsi="Calibri" w:eastAsia="宋体" w:cs="Times New Roman"/>
      <w:color w:val="0000FF"/>
      <w:kern w:val="2"/>
      <w:sz w:val="22"/>
      <w:szCs w:val="22"/>
      <w:u w:val="single"/>
      <w:lang w:val="en-US" w:eastAsia="zh-CN" w:bidi="ar-SA"/>
    </w:rPr>
  </w:style>
  <w:style w:type="character" w:customStyle="1" w:styleId="11">
    <w:name w:val="标题 2 Char"/>
    <w:basedOn w:val="8"/>
    <w:link w:val="3"/>
    <w:qFormat/>
    <w:locked/>
    <w:uiPriority w:val="99"/>
    <w:rPr>
      <w:rFonts w:ascii="Arial" w:hAnsi="Arial" w:eastAsia="黑体" w:cs="宋体"/>
      <w:b/>
      <w:bCs/>
      <w:kern w:val="2"/>
      <w:sz w:val="32"/>
      <w:szCs w:val="32"/>
      <w:lang w:val="en-US" w:eastAsia="zh-CN" w:bidi="ar-SA"/>
    </w:rPr>
  </w:style>
  <w:style w:type="character" w:customStyle="1" w:styleId="12">
    <w:name w:val="页脚 Char"/>
    <w:basedOn w:val="8"/>
    <w:link w:val="6"/>
    <w:qFormat/>
    <w:locked/>
    <w:uiPriority w:val="99"/>
    <w:rPr>
      <w:rFonts w:ascii="Calibri" w:hAnsi="Calibri" w:eastAsia="宋体" w:cs="Times New Roman"/>
      <w:kern w:val="2"/>
      <w:sz w:val="18"/>
      <w:szCs w:val="18"/>
      <w:lang w:val="en-US" w:eastAsia="zh-CN" w:bidi="ar-SA"/>
    </w:rPr>
  </w:style>
  <w:style w:type="character" w:customStyle="1" w:styleId="13">
    <w:name w:val="页眉 Char"/>
    <w:basedOn w:val="8"/>
    <w:link w:val="2"/>
    <w:qFormat/>
    <w:locked/>
    <w:uiPriority w:val="99"/>
    <w:rPr>
      <w:rFonts w:ascii="Calibri" w:hAnsi="Calibri" w:eastAsia="宋体" w:cs="Times New Roman"/>
      <w:kern w:val="2"/>
      <w:sz w:val="18"/>
      <w:szCs w:val="18"/>
      <w:lang w:val="en-US" w:eastAsia="zh-CN" w:bidi="ar-SA"/>
    </w:rPr>
  </w:style>
  <w:style w:type="character" w:customStyle="1" w:styleId="14">
    <w:name w:val="样式 仿宋_GB2312 三号"/>
    <w:basedOn w:val="8"/>
    <w:qFormat/>
    <w:uiPriority w:val="99"/>
    <w:rPr>
      <w:rFonts w:ascii="仿宋_GB2312" w:hAnsi="Calibri" w:eastAsia="仿宋_GB2312" w:cs="Times New Roman"/>
      <w:kern w:val="2"/>
      <w:sz w:val="32"/>
      <w:szCs w:val="32"/>
      <w:lang w:val="en-US" w:eastAsia="zh-CN" w:bidi="ar-SA"/>
    </w:rPr>
  </w:style>
  <w:style w:type="paragraph" w:customStyle="1" w:styleId="15">
    <w:name w:val="Char1"/>
    <w:basedOn w:val="1"/>
    <w:qFormat/>
    <w:uiPriority w:val="99"/>
    <w:pPr>
      <w:autoSpaceDE w:val="0"/>
      <w:autoSpaceDN w:val="0"/>
      <w:adjustRightInd w:val="0"/>
      <w:snapToGrid w:val="0"/>
      <w:spacing w:before="50" w:after="50" w:line="360" w:lineRule="auto"/>
      <w:ind w:firstLine="560" w:firstLineChars="177"/>
    </w:pPr>
    <w:rPr>
      <w:rFonts w:ascii="宋体" w:hAnsi="宋体" w:eastAsia="仿宋_GB2312" w:cs="宋体"/>
      <w:color w:val="000000"/>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222</Words>
  <Characters>1270</Characters>
  <Lines>10</Lines>
  <Paragraphs>2</Paragraphs>
  <TotalTime>0</TotalTime>
  <ScaleCrop>false</ScaleCrop>
  <LinksUpToDate>false</LinksUpToDate>
  <CharactersWithSpaces>1490</CharactersWithSpaces>
  <Application>WPS Office_11.1.0.9991_F1E327BC-269C-435d-A152-05C5408002CA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2018-06-08T03:04:00Z</dcterms:created>
  <dc:creator>HP</dc:creator>
  <cp:lastModifiedBy>hp</cp:lastModifiedBy>
  <dcterms:modified xsi:type="dcterms:W3CDTF">2020-11-13T02:02:46Z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y fmtid="{D5CDD505-2E9C-101B-9397-08002B2CF9AE}" pid="3" name="docranid">
    <vt:lpwstr>8A8F286660E44908B7404D219F1E6CA7</vt:lpwstr>
  </property>
</Properties>
</file>