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highlight w:val="none"/>
        </w:rPr>
      </w:pPr>
    </w:p>
    <w:p>
      <w:pPr>
        <w:rPr>
          <w:color w:val="FF0000"/>
          <w:sz w:val="32"/>
          <w:szCs w:val="32"/>
          <w:highlight w:val="none"/>
        </w:rPr>
      </w:pPr>
    </w:p>
    <w:p>
      <w:pPr>
        <w:spacing w:line="600" w:lineRule="exact"/>
        <w:ind w:firstLine="105" w:firstLineChars="50"/>
        <w:rPr>
          <w:highlight w:val="none"/>
        </w:rPr>
      </w:pPr>
    </w:p>
    <w:p>
      <w:pPr>
        <w:jc w:val="center"/>
        <w:rPr>
          <w:rFonts w:eastAsia="方正仿宋_GBK"/>
          <w:sz w:val="32"/>
          <w:szCs w:val="32"/>
          <w:highlight w:val="none"/>
        </w:rPr>
      </w:pPr>
      <w:r>
        <w:rPr>
          <w:rFonts w:hint="eastAsia" w:eastAsia="方正仿宋_GBK"/>
          <w:sz w:val="32"/>
          <w:szCs w:val="32"/>
          <w:highlight w:val="none"/>
          <w:lang w:eastAsia="zh-CN"/>
        </w:rPr>
        <w:t>德环盈复</w:t>
      </w:r>
      <w:r>
        <w:rPr>
          <w:rFonts w:hint="eastAsia" w:eastAsia="方正仿宋_GBK"/>
          <w:sz w:val="32"/>
          <w:szCs w:val="32"/>
          <w:highlight w:val="none"/>
        </w:rPr>
        <w:t>〔</w:t>
      </w:r>
      <w:r>
        <w:rPr>
          <w:rFonts w:eastAsia="方正仿宋_GBK"/>
          <w:sz w:val="32"/>
          <w:szCs w:val="32"/>
          <w:highlight w:val="none"/>
        </w:rPr>
        <w:t>201</w:t>
      </w:r>
      <w:r>
        <w:rPr>
          <w:rFonts w:hint="eastAsia" w:eastAsia="方正仿宋_GBK"/>
          <w:sz w:val="32"/>
          <w:szCs w:val="32"/>
          <w:highlight w:val="none"/>
          <w:lang w:val="en-US" w:eastAsia="zh-CN"/>
        </w:rPr>
        <w:t>9</w:t>
      </w:r>
      <w:r>
        <w:rPr>
          <w:rFonts w:hint="eastAsia" w:eastAsia="方正仿宋_GBK"/>
          <w:sz w:val="32"/>
          <w:szCs w:val="32"/>
          <w:highlight w:val="none"/>
        </w:rPr>
        <w:t>〕</w:t>
      </w:r>
      <w:r>
        <w:rPr>
          <w:rFonts w:hint="eastAsia" w:eastAsia="方正仿宋_GBK"/>
          <w:sz w:val="32"/>
          <w:szCs w:val="32"/>
          <w:highlight w:val="none"/>
          <w:lang w:val="en-US" w:eastAsia="zh-CN"/>
        </w:rPr>
        <w:t>32</w:t>
      </w:r>
      <w:r>
        <w:rPr>
          <w:rFonts w:hint="eastAsia" w:eastAsia="方正仿宋_GBK"/>
          <w:sz w:val="32"/>
          <w:szCs w:val="32"/>
          <w:highlight w:val="none"/>
        </w:rPr>
        <w:t>号</w:t>
      </w:r>
    </w:p>
    <w:p>
      <w:pPr>
        <w:tabs>
          <w:tab w:val="left" w:pos="5435"/>
        </w:tabs>
        <w:spacing w:line="460" w:lineRule="exact"/>
        <w:rPr>
          <w:rFonts w:eastAsia="仿宋_GB2312"/>
          <w:sz w:val="32"/>
          <w:szCs w:val="32"/>
          <w:highlight w:val="none"/>
        </w:rPr>
      </w:pPr>
      <w:bookmarkStart w:id="0" w:name="_GoBack"/>
      <w:bookmarkEnd w:id="0"/>
    </w:p>
    <w:p>
      <w:pPr>
        <w:spacing w:line="600" w:lineRule="exact"/>
        <w:jc w:val="center"/>
        <w:rPr>
          <w:rFonts w:ascii="方正小标宋简体" w:eastAsia="方正小标宋简体"/>
          <w:spacing w:val="-4"/>
          <w:sz w:val="44"/>
          <w:szCs w:val="44"/>
          <w:highlight w:val="none"/>
        </w:rPr>
      </w:pPr>
      <w:r>
        <w:rPr>
          <w:rFonts w:hint="eastAsia" w:ascii="方正小标宋简体" w:eastAsia="方正小标宋简体"/>
          <w:spacing w:val="-4"/>
          <w:sz w:val="44"/>
          <w:szCs w:val="44"/>
          <w:highlight w:val="none"/>
          <w:lang w:eastAsia="zh-CN"/>
        </w:rPr>
        <w:t>德宏州生态环境局盈江分局</w:t>
      </w:r>
      <w:r>
        <w:rPr>
          <w:rFonts w:hint="eastAsia" w:ascii="方正小标宋简体" w:eastAsia="方正小标宋简体"/>
          <w:spacing w:val="-4"/>
          <w:sz w:val="44"/>
          <w:szCs w:val="44"/>
          <w:highlight w:val="none"/>
        </w:rPr>
        <w:t>关于</w:t>
      </w:r>
      <w:r>
        <w:rPr>
          <w:rFonts w:hint="eastAsia" w:ascii="方正小标宋简体" w:eastAsia="方正小标宋简体"/>
          <w:spacing w:val="-4"/>
          <w:sz w:val="44"/>
          <w:szCs w:val="44"/>
          <w:highlight w:val="none"/>
          <w:lang w:eastAsia="zh-CN"/>
        </w:rPr>
        <w:t>盈江县广鑫汽车修理厂建设项目</w:t>
      </w:r>
      <w:r>
        <w:rPr>
          <w:rFonts w:hint="eastAsia" w:ascii="方正小标宋简体" w:eastAsia="方正小标宋简体"/>
          <w:spacing w:val="-4"/>
          <w:sz w:val="44"/>
          <w:szCs w:val="44"/>
          <w:highlight w:val="none"/>
        </w:rPr>
        <w:t>环境影响报告表的批复</w:t>
      </w:r>
    </w:p>
    <w:p>
      <w:pPr>
        <w:rPr>
          <w:sz w:val="32"/>
          <w:szCs w:val="32"/>
          <w:highlight w:val="none"/>
        </w:rPr>
      </w:pPr>
    </w:p>
    <w:p>
      <w:pPr>
        <w:spacing w:line="560" w:lineRule="exact"/>
        <w:rPr>
          <w:rFonts w:eastAsia="方正仿宋_GBK"/>
          <w:sz w:val="32"/>
          <w:szCs w:val="32"/>
          <w:highlight w:val="none"/>
        </w:rPr>
      </w:pPr>
      <w:r>
        <w:rPr>
          <w:rFonts w:hint="eastAsia" w:eastAsia="方正仿宋_GBK"/>
          <w:sz w:val="32"/>
          <w:szCs w:val="32"/>
          <w:highlight w:val="none"/>
          <w:lang w:val="en-US" w:eastAsia="zh-CN"/>
        </w:rPr>
        <w:t>盈江县广鑫汽车销售有限公司</w:t>
      </w:r>
      <w:r>
        <w:rPr>
          <w:rFonts w:eastAsia="方正仿宋_GBK"/>
          <w:sz w:val="32"/>
          <w:szCs w:val="32"/>
          <w:highlight w:val="none"/>
        </w:rPr>
        <w:t>:</w:t>
      </w:r>
    </w:p>
    <w:p>
      <w:pPr>
        <w:spacing w:line="560" w:lineRule="exact"/>
        <w:ind w:firstLine="640" w:firstLineChars="200"/>
        <w:rPr>
          <w:rFonts w:eastAsia="方正仿宋_GBK"/>
          <w:sz w:val="32"/>
          <w:szCs w:val="32"/>
          <w:highlight w:val="none"/>
        </w:rPr>
      </w:pPr>
      <w:r>
        <w:rPr>
          <w:rFonts w:eastAsia="方正仿宋_GBK"/>
          <w:sz w:val="32"/>
          <w:szCs w:val="32"/>
          <w:highlight w:val="none"/>
        </w:rPr>
        <w:t>你公司报批的《</w:t>
      </w:r>
      <w:r>
        <w:rPr>
          <w:rFonts w:hint="eastAsia" w:eastAsia="方正仿宋_GBK"/>
          <w:sz w:val="32"/>
          <w:szCs w:val="32"/>
          <w:highlight w:val="none"/>
          <w:lang w:eastAsia="zh-CN"/>
        </w:rPr>
        <w:t>盈江县广鑫汽车修理厂建设项目</w:t>
      </w:r>
      <w:r>
        <w:rPr>
          <w:rFonts w:eastAsia="方正仿宋_GBK"/>
          <w:sz w:val="32"/>
          <w:szCs w:val="32"/>
          <w:highlight w:val="none"/>
        </w:rPr>
        <w:t>环境影响报告表》</w:t>
      </w:r>
      <w:r>
        <w:rPr>
          <w:rFonts w:hint="eastAsia" w:eastAsia="方正仿宋_GBK"/>
          <w:sz w:val="32"/>
          <w:szCs w:val="32"/>
          <w:highlight w:val="none"/>
        </w:rPr>
        <w:t>已收悉</w:t>
      </w:r>
      <w:r>
        <w:rPr>
          <w:rFonts w:eastAsia="方正仿宋_GBK"/>
          <w:sz w:val="32"/>
          <w:szCs w:val="32"/>
          <w:highlight w:val="none"/>
        </w:rPr>
        <w:t>，经研究，现批复如下：</w:t>
      </w:r>
    </w:p>
    <w:p>
      <w:pPr>
        <w:spacing w:line="560" w:lineRule="exact"/>
        <w:ind w:firstLine="640" w:firstLineChars="200"/>
        <w:rPr>
          <w:rFonts w:eastAsia="方正仿宋_GBK"/>
          <w:sz w:val="32"/>
          <w:szCs w:val="32"/>
          <w:highlight w:val="none"/>
        </w:rPr>
      </w:pPr>
      <w:r>
        <w:rPr>
          <w:rFonts w:eastAsia="方正仿宋_GBK"/>
          <w:sz w:val="32"/>
          <w:szCs w:val="32"/>
          <w:highlight w:val="none"/>
        </w:rPr>
        <w:t>一、项目基本情况</w:t>
      </w:r>
    </w:p>
    <w:p>
      <w:pPr>
        <w:spacing w:line="560" w:lineRule="exact"/>
        <w:ind w:firstLine="640" w:firstLineChars="200"/>
        <w:rPr>
          <w:rFonts w:hint="eastAsia" w:eastAsia="方正仿宋_GBK"/>
          <w:sz w:val="32"/>
          <w:szCs w:val="32"/>
          <w:highlight w:val="none"/>
          <w:lang w:eastAsia="zh-CN"/>
        </w:rPr>
      </w:pPr>
      <w:r>
        <w:rPr>
          <w:rFonts w:eastAsia="方正仿宋_GBK"/>
          <w:sz w:val="32"/>
          <w:szCs w:val="32"/>
          <w:highlight w:val="none"/>
        </w:rPr>
        <w:t>项目位于</w:t>
      </w:r>
      <w:r>
        <w:rPr>
          <w:rFonts w:hint="eastAsia" w:eastAsia="方正仿宋_GBK"/>
          <w:sz w:val="32"/>
          <w:szCs w:val="32"/>
          <w:highlight w:val="none"/>
        </w:rPr>
        <w:t>盈江县平原</w:t>
      </w:r>
      <w:r>
        <w:rPr>
          <w:rFonts w:hint="eastAsia" w:eastAsia="方正仿宋_GBK"/>
          <w:sz w:val="32"/>
          <w:szCs w:val="32"/>
          <w:highlight w:val="none"/>
          <w:lang w:val="en-US" w:eastAsia="zh-CN"/>
        </w:rPr>
        <w:t>镇</w:t>
      </w:r>
      <w:r>
        <w:rPr>
          <w:rFonts w:hint="eastAsia" w:eastAsia="方正仿宋_GBK"/>
          <w:sz w:val="32"/>
          <w:szCs w:val="32"/>
          <w:highlight w:val="none"/>
        </w:rPr>
        <w:t>勐腊路</w:t>
      </w:r>
      <w:r>
        <w:rPr>
          <w:rFonts w:hint="eastAsia" w:eastAsia="方正仿宋_GBK"/>
          <w:sz w:val="32"/>
          <w:szCs w:val="32"/>
          <w:highlight w:val="none"/>
          <w:lang w:val="en-US" w:eastAsia="zh-CN"/>
        </w:rPr>
        <w:t>468-1</w:t>
      </w:r>
      <w:r>
        <w:rPr>
          <w:rFonts w:hint="eastAsia" w:eastAsia="方正仿宋_GBK"/>
          <w:sz w:val="32"/>
          <w:szCs w:val="32"/>
          <w:highlight w:val="none"/>
        </w:rPr>
        <w:t>号</w:t>
      </w:r>
      <w:r>
        <w:rPr>
          <w:rFonts w:hint="eastAsia" w:eastAsia="方正仿宋_GBK"/>
          <w:sz w:val="32"/>
          <w:szCs w:val="32"/>
          <w:highlight w:val="none"/>
          <w:lang w:eastAsia="zh-CN"/>
        </w:rPr>
        <w:t>（</w:t>
      </w:r>
      <w:r>
        <w:rPr>
          <w:rFonts w:hint="eastAsia" w:eastAsia="方正仿宋_GBK"/>
          <w:sz w:val="32"/>
          <w:szCs w:val="32"/>
          <w:highlight w:val="none"/>
          <w:lang w:val="en-US" w:eastAsia="zh-CN"/>
        </w:rPr>
        <w:t>养鹿厂门口</w:t>
      </w:r>
      <w:r>
        <w:rPr>
          <w:rFonts w:hint="eastAsia" w:eastAsia="方正仿宋_GBK"/>
          <w:sz w:val="32"/>
          <w:szCs w:val="32"/>
          <w:highlight w:val="none"/>
          <w:lang w:eastAsia="zh-CN"/>
        </w:rPr>
        <w:t>），</w:t>
      </w:r>
      <w:r>
        <w:rPr>
          <w:rFonts w:hint="eastAsia" w:eastAsia="方正仿宋_GBK"/>
          <w:sz w:val="32"/>
          <w:szCs w:val="32"/>
          <w:highlight w:val="none"/>
        </w:rPr>
        <w:t>总建筑面积</w:t>
      </w:r>
      <w:r>
        <w:rPr>
          <w:rFonts w:hint="eastAsia" w:eastAsia="方正仿宋_GBK"/>
          <w:sz w:val="32"/>
          <w:szCs w:val="32"/>
          <w:highlight w:val="none"/>
          <w:lang w:val="en-US" w:eastAsia="zh-CN"/>
        </w:rPr>
        <w:t>460</w:t>
      </w:r>
      <w:r>
        <w:rPr>
          <w:rFonts w:hint="eastAsia" w:eastAsia="方正仿宋_GBK"/>
          <w:sz w:val="32"/>
          <w:szCs w:val="32"/>
          <w:highlight w:val="none"/>
          <w:lang w:eastAsia="zh-CN"/>
        </w:rPr>
        <w:t>平方米，</w:t>
      </w:r>
      <w:r>
        <w:rPr>
          <w:rFonts w:hint="eastAsia" w:eastAsia="方正仿宋_GBK"/>
          <w:sz w:val="32"/>
          <w:szCs w:val="32"/>
          <w:highlight w:val="none"/>
          <w:lang w:val="en-US" w:eastAsia="zh-CN"/>
        </w:rPr>
        <w:t>使用</w:t>
      </w:r>
      <w:r>
        <w:rPr>
          <w:rFonts w:hint="eastAsia" w:eastAsia="方正仿宋_GBK"/>
          <w:sz w:val="32"/>
          <w:szCs w:val="32"/>
          <w:highlight w:val="none"/>
          <w:lang w:eastAsia="zh-CN"/>
        </w:rPr>
        <w:t>已有1栋</w:t>
      </w:r>
      <w:r>
        <w:rPr>
          <w:rFonts w:hint="eastAsia" w:eastAsia="方正仿宋_GBK"/>
          <w:sz w:val="32"/>
          <w:szCs w:val="32"/>
          <w:highlight w:val="none"/>
          <w:lang w:val="en-US" w:eastAsia="zh-CN"/>
        </w:rPr>
        <w:t>钢架厂房进行装修分区、改造，主要包括维修保养区及办公区。维修保养区设置有预检工位、维修工位、预留工位及工具室、总成分解室、旧件室、烤漆房等。项目总投资45万，其中环保投资8万元，占总投资的17.8%</w:t>
      </w:r>
    </w:p>
    <w:p>
      <w:pPr>
        <w:overflowPunct w:val="0"/>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lang w:eastAsia="zh-CN"/>
        </w:rPr>
        <w:t>本</w:t>
      </w:r>
      <w:r>
        <w:rPr>
          <w:rFonts w:hint="eastAsia" w:eastAsia="方正仿宋_GBK"/>
          <w:sz w:val="32"/>
          <w:szCs w:val="32"/>
          <w:highlight w:val="none"/>
        </w:rPr>
        <w:t>项目符合国家产</w:t>
      </w:r>
      <w:r>
        <w:rPr>
          <w:rFonts w:hint="eastAsia" w:eastAsia="方正仿宋_GBK"/>
          <w:sz w:val="32"/>
          <w:szCs w:val="32"/>
          <w:highlight w:val="none"/>
          <w:lang w:eastAsia="zh-CN"/>
        </w:rPr>
        <w:t>业</w:t>
      </w:r>
      <w:r>
        <w:rPr>
          <w:rFonts w:hint="eastAsia" w:eastAsia="方正仿宋_GBK"/>
          <w:sz w:val="32"/>
          <w:szCs w:val="32"/>
          <w:highlight w:val="none"/>
        </w:rPr>
        <w:t>政策，不涉及自然保护区、风景名胜区、水源地保护区</w:t>
      </w:r>
      <w:r>
        <w:rPr>
          <w:rFonts w:eastAsia="方正仿宋_GBK"/>
          <w:sz w:val="32"/>
          <w:szCs w:val="32"/>
          <w:highlight w:val="none"/>
        </w:rPr>
        <w:t>等敏感区域</w:t>
      </w:r>
      <w:r>
        <w:rPr>
          <w:rFonts w:hint="eastAsia" w:eastAsia="方正仿宋_GBK"/>
          <w:sz w:val="32"/>
          <w:szCs w:val="32"/>
          <w:highlight w:val="none"/>
        </w:rPr>
        <w:t>。</w:t>
      </w:r>
      <w:r>
        <w:rPr>
          <w:rFonts w:hint="eastAsia" w:eastAsia="方正仿宋_GBK"/>
          <w:sz w:val="32"/>
          <w:szCs w:val="32"/>
          <w:highlight w:val="none"/>
          <w:lang w:eastAsia="zh-CN"/>
        </w:rPr>
        <w:t>在全面落实环境影响报告表提出的各项污染防治和生态保护措施后，项目污染物可达标排放，项目建设和运营的不良环境影响可以得到减缓和控制，</w:t>
      </w:r>
      <w:r>
        <w:rPr>
          <w:rFonts w:eastAsia="方正仿宋_GBK"/>
          <w:sz w:val="32"/>
          <w:szCs w:val="32"/>
          <w:highlight w:val="none"/>
        </w:rPr>
        <w:t>我局同意该项目按照环境影报告表中的性质、地点、采用的环境保护对策、措施进行</w:t>
      </w:r>
      <w:r>
        <w:rPr>
          <w:rFonts w:hint="eastAsia" w:eastAsia="方正仿宋_GBK"/>
          <w:sz w:val="32"/>
          <w:szCs w:val="32"/>
          <w:highlight w:val="none"/>
          <w:lang w:eastAsia="zh-CN"/>
        </w:rPr>
        <w:t>建设</w:t>
      </w:r>
      <w:r>
        <w:rPr>
          <w:rFonts w:eastAsia="方正仿宋_GBK"/>
          <w:sz w:val="32"/>
          <w:szCs w:val="32"/>
          <w:highlight w:val="none"/>
        </w:rPr>
        <w:t>。</w:t>
      </w:r>
    </w:p>
    <w:p>
      <w:pPr>
        <w:topLinePunct/>
        <w:spacing w:line="560" w:lineRule="exact"/>
        <w:ind w:firstLine="632" w:firstLineChars="200"/>
        <w:rPr>
          <w:rFonts w:eastAsia="方正仿宋_GBK"/>
          <w:spacing w:val="-2"/>
          <w:sz w:val="32"/>
          <w:szCs w:val="32"/>
          <w:highlight w:val="none"/>
        </w:rPr>
      </w:pPr>
      <w:r>
        <w:rPr>
          <w:rFonts w:eastAsia="方正仿宋_GBK"/>
          <w:spacing w:val="-2"/>
          <w:sz w:val="32"/>
          <w:szCs w:val="32"/>
          <w:highlight w:val="none"/>
        </w:rPr>
        <w:t>二、项目</w:t>
      </w:r>
      <w:r>
        <w:rPr>
          <w:rFonts w:hint="eastAsia" w:eastAsia="方正仿宋_GBK"/>
          <w:spacing w:val="-2"/>
          <w:sz w:val="32"/>
          <w:szCs w:val="32"/>
          <w:highlight w:val="none"/>
          <w:lang w:eastAsia="zh-CN"/>
        </w:rPr>
        <w:t>建设和运营</w:t>
      </w:r>
      <w:r>
        <w:rPr>
          <w:rFonts w:eastAsia="方正仿宋_GBK"/>
          <w:spacing w:val="-2"/>
          <w:sz w:val="32"/>
          <w:szCs w:val="32"/>
          <w:highlight w:val="none"/>
        </w:rPr>
        <w:t>过程中应重点做好的工作</w:t>
      </w:r>
    </w:p>
    <w:p>
      <w:pPr>
        <w:topLinePunct/>
        <w:spacing w:line="560" w:lineRule="exact"/>
        <w:ind w:firstLine="640" w:firstLineChars="200"/>
        <w:rPr>
          <w:rFonts w:eastAsia="方正仿宋_GBK"/>
          <w:spacing w:val="-2"/>
          <w:sz w:val="32"/>
          <w:szCs w:val="32"/>
          <w:highlight w:val="none"/>
        </w:rPr>
      </w:pPr>
      <w:r>
        <w:rPr>
          <w:rFonts w:eastAsia="方正仿宋_GBK"/>
          <w:sz w:val="32"/>
          <w:szCs w:val="32"/>
          <w:highlight w:val="none"/>
        </w:rPr>
        <w:t>㈠《</w:t>
      </w:r>
      <w:r>
        <w:rPr>
          <w:rFonts w:hint="eastAsia" w:eastAsia="方正仿宋_GBK"/>
          <w:sz w:val="32"/>
          <w:szCs w:val="32"/>
          <w:highlight w:val="none"/>
          <w:lang w:eastAsia="zh-CN"/>
        </w:rPr>
        <w:t>盈江县广鑫汽车修理厂建设项目</w:t>
      </w:r>
      <w:r>
        <w:rPr>
          <w:rFonts w:eastAsia="方正仿宋_GBK"/>
          <w:sz w:val="32"/>
          <w:szCs w:val="32"/>
          <w:highlight w:val="none"/>
        </w:rPr>
        <w:t>环境影响报告表》</w:t>
      </w:r>
      <w:r>
        <w:rPr>
          <w:rFonts w:eastAsia="方正仿宋_GBK"/>
          <w:spacing w:val="-2"/>
          <w:sz w:val="32"/>
          <w:szCs w:val="32"/>
          <w:highlight w:val="none"/>
        </w:rPr>
        <w:t>作为该项目</w:t>
      </w:r>
      <w:r>
        <w:rPr>
          <w:rFonts w:hint="eastAsia" w:eastAsia="方正仿宋_GBK"/>
          <w:spacing w:val="-2"/>
          <w:sz w:val="32"/>
          <w:szCs w:val="32"/>
          <w:highlight w:val="none"/>
          <w:lang w:eastAsia="zh-CN"/>
        </w:rPr>
        <w:t>建设和运营期</w:t>
      </w:r>
      <w:r>
        <w:rPr>
          <w:rFonts w:eastAsia="方正仿宋_GBK"/>
          <w:spacing w:val="-2"/>
          <w:sz w:val="32"/>
          <w:szCs w:val="32"/>
          <w:highlight w:val="none"/>
        </w:rPr>
        <w:t>环境管理的依据，必须认真落实</w:t>
      </w:r>
      <w:r>
        <w:rPr>
          <w:rFonts w:hint="eastAsia" w:eastAsia="方正仿宋_GBK"/>
          <w:spacing w:val="-2"/>
          <w:sz w:val="32"/>
          <w:szCs w:val="32"/>
          <w:highlight w:val="none"/>
        </w:rPr>
        <w:t>《报告表》</w:t>
      </w:r>
      <w:r>
        <w:rPr>
          <w:rFonts w:eastAsia="方正仿宋_GBK"/>
          <w:spacing w:val="-2"/>
          <w:sz w:val="32"/>
          <w:szCs w:val="32"/>
          <w:highlight w:val="none"/>
        </w:rPr>
        <w:t>提出的各项环保对策措施</w:t>
      </w:r>
      <w:r>
        <w:rPr>
          <w:rFonts w:hint="eastAsia" w:eastAsia="方正仿宋_GBK"/>
          <w:spacing w:val="-2"/>
          <w:sz w:val="32"/>
          <w:szCs w:val="32"/>
          <w:highlight w:val="none"/>
        </w:rPr>
        <w:t>，严格按提出的环保投资概算执行。</w:t>
      </w:r>
    </w:p>
    <w:p>
      <w:pPr>
        <w:topLinePunct/>
        <w:spacing w:line="560" w:lineRule="exact"/>
        <w:ind w:firstLine="640" w:firstLineChars="200"/>
        <w:rPr>
          <w:rFonts w:eastAsia="方正仿宋_GBK"/>
          <w:bCs/>
          <w:sz w:val="32"/>
          <w:szCs w:val="32"/>
          <w:highlight w:val="none"/>
        </w:rPr>
      </w:pPr>
      <w:r>
        <w:rPr>
          <w:rFonts w:eastAsia="方正仿宋_GBK"/>
          <w:bCs/>
          <w:sz w:val="32"/>
          <w:szCs w:val="32"/>
          <w:highlight w:val="none"/>
        </w:rPr>
        <w:t>㈡</w:t>
      </w:r>
      <w:r>
        <w:rPr>
          <w:rFonts w:hint="eastAsia" w:eastAsia="方正仿宋_GBK"/>
          <w:bCs/>
          <w:sz w:val="32"/>
          <w:szCs w:val="32"/>
          <w:highlight w:val="none"/>
          <w:lang w:eastAsia="zh-CN"/>
        </w:rPr>
        <w:t>加强施工期管理，施工场地周围不定期洒水降尘；物料运输过程中必须文明运输，严禁超载；施工场地设置临时沉淀池，施工废水经沉淀后回用或用于洒水降尘；施工期尽量选用低噪声设备，合理安排施工时间，午间12时至14时、夜间22时至次日6时禁止施工，施工场界噪声执行《建筑施工场界环境噪声排放标准》（GB12523-2011）；施工过程中产生的建筑垃圾必须分类收集，能回收利用的回收利用，不能回收利用的，清运至住建部门指定地方集中堆存，严禁随意丢弃。</w:t>
      </w:r>
    </w:p>
    <w:p>
      <w:pPr>
        <w:pStyle w:val="4"/>
        <w:spacing w:line="560" w:lineRule="exact"/>
        <w:ind w:firstLine="640" w:firstLineChars="200"/>
        <w:rPr>
          <w:rFonts w:hint="eastAsia" w:eastAsia="方正仿宋_GBK"/>
          <w:sz w:val="32"/>
          <w:szCs w:val="32"/>
          <w:highlight w:val="none"/>
        </w:rPr>
      </w:pPr>
      <w:r>
        <w:rPr>
          <w:rFonts w:hint="eastAsia" w:eastAsia="方正仿宋_GBK"/>
          <w:sz w:val="32"/>
          <w:szCs w:val="32"/>
          <w:highlight w:val="none"/>
        </w:rPr>
        <w:t>㈢</w:t>
      </w:r>
      <w:r>
        <w:rPr>
          <w:rFonts w:hint="eastAsia" w:eastAsia="方正仿宋_GBK"/>
          <w:sz w:val="32"/>
          <w:szCs w:val="32"/>
          <w:highlight w:val="none"/>
          <w:lang w:eastAsia="zh-CN"/>
        </w:rPr>
        <w:t>项目必须实施雨污分流，配套建设</w:t>
      </w:r>
      <w:r>
        <w:rPr>
          <w:rFonts w:hint="eastAsia" w:eastAsia="方正仿宋_GBK"/>
          <w:sz w:val="32"/>
          <w:szCs w:val="32"/>
          <w:highlight w:val="none"/>
          <w:lang w:val="en-US" w:eastAsia="zh-CN"/>
        </w:rPr>
        <w:t>1座</w:t>
      </w:r>
      <w:r>
        <w:rPr>
          <w:rFonts w:hint="eastAsia" w:eastAsia="方正仿宋_GBK"/>
          <w:sz w:val="32"/>
          <w:szCs w:val="32"/>
          <w:highlight w:val="none"/>
          <w:lang w:eastAsia="zh-CN"/>
        </w:rPr>
        <w:t>三级油水分离池、</w:t>
      </w:r>
      <w:r>
        <w:rPr>
          <w:rFonts w:hint="eastAsia" w:eastAsia="方正仿宋_GBK"/>
          <w:sz w:val="32"/>
          <w:szCs w:val="32"/>
          <w:highlight w:val="none"/>
          <w:lang w:val="en-US" w:eastAsia="zh-CN"/>
        </w:rPr>
        <w:t>1座三级化粪池，化粪池、油水分离池必须采取防渗处理。</w:t>
      </w:r>
      <w:r>
        <w:rPr>
          <w:rFonts w:hint="eastAsia" w:eastAsia="方正仿宋_GBK"/>
          <w:sz w:val="32"/>
          <w:szCs w:val="32"/>
          <w:highlight w:val="none"/>
          <w:lang w:eastAsia="zh-CN"/>
        </w:rPr>
        <w:t>项目地面冲洗废水经油水分离池处理后与生活污水一同排入化粪池处理，项目区城市污水管网建成前，化粪池废水定期委托周边农户清掏用作农肥，严禁外排；污水管网建成后，化粪池废水排入污水管网，最终进入盈江县污水处理厂处理。</w:t>
      </w:r>
    </w:p>
    <w:p>
      <w:pPr>
        <w:pStyle w:val="4"/>
        <w:spacing w:line="56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rPr>
        <w:t>㈣</w:t>
      </w:r>
      <w:r>
        <w:rPr>
          <w:rFonts w:hint="eastAsia" w:eastAsia="方正仿宋_GBK"/>
          <w:sz w:val="32"/>
          <w:szCs w:val="32"/>
          <w:highlight w:val="none"/>
          <w:lang w:eastAsia="zh-CN"/>
        </w:rPr>
        <w:t>运营期加强大气污染防治，烤漆房必须配套设置活性棉</w:t>
      </w:r>
      <w:r>
        <w:rPr>
          <w:rFonts w:hint="eastAsia" w:eastAsia="方正仿宋_GBK"/>
          <w:sz w:val="32"/>
          <w:szCs w:val="32"/>
          <w:highlight w:val="none"/>
          <w:lang w:val="en-US" w:eastAsia="zh-CN"/>
        </w:rPr>
        <w:t>+活性炭吸附</w:t>
      </w:r>
      <w:r>
        <w:rPr>
          <w:rFonts w:hint="eastAsia" w:eastAsia="方正仿宋_GBK"/>
          <w:sz w:val="32"/>
          <w:szCs w:val="32"/>
          <w:highlight w:val="none"/>
          <w:lang w:eastAsia="zh-CN"/>
        </w:rPr>
        <w:t>装置，油漆废气经处理后通过风机引至</w:t>
      </w:r>
      <w:r>
        <w:rPr>
          <w:rFonts w:hint="eastAsia" w:eastAsia="方正仿宋_GBK"/>
          <w:sz w:val="32"/>
          <w:szCs w:val="32"/>
          <w:highlight w:val="none"/>
          <w:lang w:val="en-US" w:eastAsia="zh-CN"/>
        </w:rPr>
        <w:t>屋</w:t>
      </w:r>
      <w:r>
        <w:rPr>
          <w:rFonts w:hint="eastAsia" w:eastAsia="方正仿宋_GBK"/>
          <w:sz w:val="32"/>
          <w:szCs w:val="32"/>
          <w:highlight w:val="none"/>
          <w:lang w:eastAsia="zh-CN"/>
        </w:rPr>
        <w:t>顶不低于15米高空（且必须高于</w:t>
      </w:r>
      <w:r>
        <w:rPr>
          <w:rFonts w:hint="eastAsia" w:eastAsia="方正仿宋_GBK"/>
          <w:sz w:val="32"/>
          <w:szCs w:val="32"/>
          <w:highlight w:val="none"/>
          <w:lang w:val="en-US" w:eastAsia="zh-CN"/>
        </w:rPr>
        <w:t>200米范围内最高建筑5米</w:t>
      </w:r>
      <w:r>
        <w:rPr>
          <w:rFonts w:hint="eastAsia" w:eastAsia="方正仿宋_GBK"/>
          <w:sz w:val="32"/>
          <w:szCs w:val="32"/>
          <w:highlight w:val="none"/>
          <w:lang w:eastAsia="zh-CN"/>
        </w:rPr>
        <w:t>）达标排放，</w:t>
      </w:r>
      <w:r>
        <w:rPr>
          <w:rFonts w:hint="eastAsia" w:eastAsia="方正仿宋_GBK"/>
          <w:sz w:val="32"/>
          <w:szCs w:val="32"/>
          <w:highlight w:val="none"/>
          <w:lang w:val="en-US" w:eastAsia="zh-CN"/>
        </w:rPr>
        <w:t>外排废气执行</w:t>
      </w:r>
      <w:r>
        <w:rPr>
          <w:rFonts w:hint="eastAsia" w:eastAsia="方正仿宋_GBK"/>
          <w:sz w:val="32"/>
          <w:szCs w:val="32"/>
          <w:highlight w:val="none"/>
          <w:lang w:eastAsia="zh-CN"/>
        </w:rPr>
        <w:t>《大气污染物综合排放标准》（GB16297-96）表2中污染物排放标准</w:t>
      </w:r>
      <w:r>
        <w:rPr>
          <w:rFonts w:hint="eastAsia" w:eastAsia="方正仿宋_GBK"/>
          <w:sz w:val="32"/>
          <w:szCs w:val="32"/>
          <w:highlight w:val="none"/>
          <w:lang w:val="en-US" w:eastAsia="zh-CN"/>
        </w:rPr>
        <w:t>。</w:t>
      </w:r>
    </w:p>
    <w:p>
      <w:pPr>
        <w:pStyle w:val="4"/>
        <w:spacing w:line="560" w:lineRule="exact"/>
        <w:ind w:firstLine="640" w:firstLineChars="200"/>
        <w:rPr>
          <w:rFonts w:hint="eastAsia" w:eastAsia="方正仿宋_GBK"/>
          <w:bCs/>
          <w:sz w:val="32"/>
          <w:szCs w:val="32"/>
          <w:highlight w:val="none"/>
          <w:lang w:eastAsia="zh-CN"/>
        </w:rPr>
      </w:pPr>
      <w:r>
        <w:rPr>
          <w:rFonts w:hint="eastAsia" w:eastAsia="方正仿宋_GBK"/>
          <w:sz w:val="32"/>
          <w:szCs w:val="32"/>
          <w:highlight w:val="none"/>
        </w:rPr>
        <w:t>㈤</w:t>
      </w:r>
      <w:r>
        <w:rPr>
          <w:rFonts w:hint="eastAsia" w:eastAsia="方正仿宋_GBK"/>
          <w:sz w:val="32"/>
          <w:szCs w:val="32"/>
          <w:highlight w:val="none"/>
          <w:lang w:eastAsia="zh-CN"/>
        </w:rPr>
        <w:t>运营期加强噪声污染防治，合理布置噪声源，噪声设备必须采取减震、隔声等措施；合理安排维修时间，</w:t>
      </w:r>
      <w:r>
        <w:rPr>
          <w:rFonts w:hint="eastAsia" w:eastAsia="方正仿宋_GBK"/>
          <w:bCs/>
          <w:sz w:val="32"/>
          <w:szCs w:val="32"/>
          <w:highlight w:val="none"/>
          <w:lang w:eastAsia="zh-CN"/>
        </w:rPr>
        <w:t>午间12时至14时、夜间22时至次日6时禁止维修作业，避免噪声扰民。项目运营期噪声执行《工业企业厂界环境噪声排放标准》（GB12348-2008）2类标准。</w:t>
      </w:r>
    </w:p>
    <w:p>
      <w:pPr>
        <w:pStyle w:val="4"/>
        <w:spacing w:line="560" w:lineRule="exact"/>
        <w:ind w:firstLine="640" w:firstLineChars="200"/>
        <w:rPr>
          <w:rFonts w:eastAsia="方正仿宋_GBK"/>
          <w:sz w:val="32"/>
          <w:szCs w:val="32"/>
          <w:highlight w:val="none"/>
        </w:rPr>
      </w:pPr>
      <w:r>
        <w:rPr>
          <w:rFonts w:hint="eastAsia" w:eastAsia="方正仿宋_GBK"/>
          <w:sz w:val="32"/>
          <w:szCs w:val="32"/>
          <w:highlight w:val="none"/>
        </w:rPr>
        <w:t>㈥</w:t>
      </w:r>
      <w:r>
        <w:rPr>
          <w:rFonts w:hint="eastAsia" w:eastAsia="方正仿宋_GBK"/>
          <w:sz w:val="32"/>
          <w:szCs w:val="32"/>
          <w:highlight w:val="none"/>
          <w:lang w:eastAsia="zh-CN"/>
        </w:rPr>
        <w:t>建设单位必须</w:t>
      </w:r>
      <w:r>
        <w:rPr>
          <w:rFonts w:hint="eastAsia" w:eastAsia="方正仿宋_GBK"/>
          <w:sz w:val="32"/>
          <w:szCs w:val="32"/>
          <w:highlight w:val="none"/>
        </w:rPr>
        <w:t>严格按照《危险废物贮存污染控制标准》（GB18957-2001）的要求，设置危险废物暂存间，集中收集</w:t>
      </w:r>
      <w:r>
        <w:rPr>
          <w:rFonts w:hint="eastAsia" w:eastAsia="方正仿宋_GBK"/>
          <w:sz w:val="32"/>
          <w:szCs w:val="32"/>
          <w:highlight w:val="none"/>
          <w:lang w:eastAsia="zh-CN"/>
        </w:rPr>
        <w:t>维修</w:t>
      </w:r>
      <w:r>
        <w:rPr>
          <w:rFonts w:hint="eastAsia" w:eastAsia="方正仿宋_GBK"/>
          <w:sz w:val="32"/>
          <w:szCs w:val="32"/>
          <w:highlight w:val="none"/>
        </w:rPr>
        <w:t>废机油</w:t>
      </w:r>
      <w:r>
        <w:rPr>
          <w:rFonts w:hint="eastAsia" w:eastAsia="方正仿宋_GBK"/>
          <w:sz w:val="32"/>
          <w:szCs w:val="32"/>
          <w:highlight w:val="none"/>
          <w:lang w:eastAsia="zh-CN"/>
        </w:rPr>
        <w:t>及烤漆房废活性炭</w:t>
      </w:r>
      <w:r>
        <w:rPr>
          <w:rFonts w:hint="eastAsia" w:eastAsia="方正仿宋_GBK"/>
          <w:sz w:val="32"/>
          <w:szCs w:val="32"/>
          <w:highlight w:val="none"/>
        </w:rPr>
        <w:t>，委托有资质的单位进行处置</w:t>
      </w:r>
      <w:r>
        <w:rPr>
          <w:rFonts w:hint="eastAsia" w:eastAsia="方正仿宋_GBK"/>
          <w:sz w:val="32"/>
          <w:szCs w:val="32"/>
          <w:highlight w:val="none"/>
          <w:lang w:eastAsia="zh-CN"/>
        </w:rPr>
        <w:t>，</w:t>
      </w:r>
      <w:r>
        <w:rPr>
          <w:rFonts w:hint="eastAsia" w:eastAsia="方正仿宋_GBK"/>
          <w:sz w:val="32"/>
          <w:szCs w:val="32"/>
          <w:highlight w:val="none"/>
          <w:lang w:val="en-US" w:eastAsia="zh-CN"/>
        </w:rPr>
        <w:t>建立危险废物转移台账，执行转移联单制度；</w:t>
      </w:r>
      <w:r>
        <w:rPr>
          <w:rFonts w:hint="eastAsia" w:eastAsia="方正仿宋_GBK"/>
          <w:sz w:val="32"/>
          <w:szCs w:val="32"/>
          <w:highlight w:val="none"/>
          <w:lang w:eastAsia="zh-CN"/>
        </w:rPr>
        <w:t>生活垃圾集中收集后交由环卫部门清运处置；废零件、废轮胎等废旧材料交由回收商综合利用；油漆桶必须交由供应厂商回收处理或</w:t>
      </w:r>
      <w:r>
        <w:rPr>
          <w:rFonts w:hint="eastAsia" w:eastAsia="方正仿宋_GBK"/>
          <w:sz w:val="32"/>
          <w:szCs w:val="32"/>
          <w:highlight w:val="none"/>
        </w:rPr>
        <w:t>委托有资质的单位进行处置</w:t>
      </w:r>
      <w:r>
        <w:rPr>
          <w:rFonts w:hint="eastAsia" w:eastAsia="方正仿宋_GBK"/>
          <w:sz w:val="32"/>
          <w:szCs w:val="32"/>
          <w:highlight w:val="none"/>
          <w:lang w:eastAsia="zh-CN"/>
        </w:rPr>
        <w:t>，严禁随意堆放、丢弃。</w:t>
      </w:r>
    </w:p>
    <w:p>
      <w:pPr>
        <w:numPr>
          <w:ilvl w:val="0"/>
          <w:numId w:val="1"/>
        </w:num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加强管理，健全机构，严格执行环保</w:t>
      </w:r>
      <w:r>
        <w:rPr>
          <w:rFonts w:eastAsia="方正仿宋_GBK"/>
          <w:sz w:val="32"/>
          <w:szCs w:val="32"/>
          <w:highlight w:val="none"/>
        </w:rPr>
        <w:t>“</w:t>
      </w:r>
      <w:r>
        <w:rPr>
          <w:rFonts w:hint="eastAsia" w:eastAsia="方正仿宋_GBK"/>
          <w:sz w:val="32"/>
          <w:szCs w:val="32"/>
          <w:highlight w:val="none"/>
        </w:rPr>
        <w:t>三同时</w:t>
      </w:r>
      <w:r>
        <w:rPr>
          <w:rFonts w:eastAsia="方正仿宋_GBK"/>
          <w:sz w:val="32"/>
          <w:szCs w:val="32"/>
          <w:highlight w:val="none"/>
        </w:rPr>
        <w:t>”</w:t>
      </w:r>
      <w:r>
        <w:rPr>
          <w:rFonts w:hint="eastAsia" w:eastAsia="方正仿宋_GBK"/>
          <w:sz w:val="32"/>
          <w:szCs w:val="32"/>
          <w:highlight w:val="none"/>
        </w:rPr>
        <w:t>制度，积极配合环境保护行政主管部门的环境监察工作。项目</w:t>
      </w:r>
      <w:r>
        <w:rPr>
          <w:rFonts w:hint="eastAsia" w:eastAsia="方正仿宋_GBK"/>
          <w:sz w:val="32"/>
          <w:szCs w:val="32"/>
          <w:highlight w:val="none"/>
          <w:lang w:eastAsia="zh-CN"/>
        </w:rPr>
        <w:t>建设</w:t>
      </w:r>
      <w:r>
        <w:rPr>
          <w:rFonts w:hint="eastAsia" w:eastAsia="方正仿宋_GBK"/>
          <w:sz w:val="32"/>
          <w:szCs w:val="32"/>
          <w:highlight w:val="none"/>
        </w:rPr>
        <w:t>完成</w:t>
      </w:r>
      <w:r>
        <w:rPr>
          <w:rFonts w:hint="eastAsia" w:eastAsia="方正仿宋_GBK"/>
          <w:sz w:val="32"/>
          <w:szCs w:val="32"/>
          <w:highlight w:val="none"/>
          <w:lang w:eastAsia="zh-CN"/>
        </w:rPr>
        <w:t>后，及时报告我局，并按规定自主开展竣工环保验收，经验收合格后方可正式投入运行</w:t>
      </w:r>
      <w:r>
        <w:rPr>
          <w:rFonts w:hint="eastAsia" w:eastAsia="方正仿宋_GBK"/>
          <w:sz w:val="32"/>
          <w:szCs w:val="32"/>
          <w:highlight w:val="none"/>
        </w:rPr>
        <w:t>。</w:t>
      </w:r>
    </w:p>
    <w:p>
      <w:p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五、请盈江县环境保护局环境监察大队加强对该项目施工期和营运期的现场监察。</w:t>
      </w:r>
    </w:p>
    <w:p>
      <w:pPr>
        <w:spacing w:line="560" w:lineRule="exact"/>
        <w:ind w:right="640" w:firstLine="640" w:firstLineChars="200"/>
        <w:jc w:val="center"/>
        <w:rPr>
          <w:rFonts w:hint="eastAsia"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r>
        <w:rPr>
          <w:rFonts w:hint="eastAsia" w:eastAsia="方正仿宋_GBK"/>
          <w:sz w:val="32"/>
          <w:szCs w:val="32"/>
          <w:highlight w:val="none"/>
          <w:lang w:eastAsia="zh-CN"/>
        </w:rPr>
        <w:t>德宏州生态环境局盈江分局</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201</w:t>
      </w:r>
      <w:r>
        <w:rPr>
          <w:rFonts w:hint="eastAsia" w:eastAsia="方正仿宋_GBK"/>
          <w:sz w:val="32"/>
          <w:szCs w:val="32"/>
          <w:highlight w:val="none"/>
          <w:lang w:val="en-US" w:eastAsia="zh-CN"/>
        </w:rPr>
        <w:t>9</w:t>
      </w:r>
      <w:r>
        <w:rPr>
          <w:rFonts w:eastAsia="方正仿宋_GBK"/>
          <w:sz w:val="32"/>
          <w:szCs w:val="32"/>
          <w:highlight w:val="none"/>
        </w:rPr>
        <w:t>年</w:t>
      </w:r>
      <w:r>
        <w:rPr>
          <w:rFonts w:hint="eastAsia" w:eastAsia="方正仿宋_GBK"/>
          <w:sz w:val="32"/>
          <w:szCs w:val="32"/>
          <w:highlight w:val="none"/>
          <w:lang w:val="en-US" w:eastAsia="zh-CN"/>
        </w:rPr>
        <w:t>10</w:t>
      </w:r>
      <w:r>
        <w:rPr>
          <w:rFonts w:eastAsia="方正仿宋_GBK"/>
          <w:sz w:val="32"/>
          <w:szCs w:val="32"/>
          <w:highlight w:val="none"/>
        </w:rPr>
        <w:t>月</w:t>
      </w:r>
      <w:r>
        <w:rPr>
          <w:rFonts w:hint="eastAsia" w:eastAsia="方正仿宋_GBK"/>
          <w:sz w:val="32"/>
          <w:szCs w:val="32"/>
          <w:highlight w:val="none"/>
          <w:lang w:val="en-US" w:eastAsia="zh-CN"/>
        </w:rPr>
        <w:t>30</w:t>
      </w:r>
      <w:r>
        <w:rPr>
          <w:rFonts w:eastAsia="方正仿宋_GBK"/>
          <w:sz w:val="32"/>
          <w:szCs w:val="32"/>
          <w:highlight w:val="none"/>
        </w:rPr>
        <w:t>日</w:t>
      </w:r>
    </w:p>
    <w:p>
      <w:pPr>
        <w:spacing w:line="540" w:lineRule="exact"/>
        <w:rPr>
          <w:rFonts w:eastAsia="仿宋_GB2312"/>
          <w:sz w:val="32"/>
          <w:szCs w:val="32"/>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Script">
    <w:altName w:val="Courier New"/>
    <w:panose1 w:val="00000000000000000000"/>
    <w:charset w:val="00"/>
    <w:family w:val="script"/>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夹发砰">
    <w:altName w:val="Times New Roman"/>
    <w:panose1 w:val="00000000000000000000"/>
    <w:charset w:val="00"/>
    <w:family w:val="auto"/>
    <w:pitch w:val="default"/>
    <w:sig w:usb0="00000000" w:usb1="00000000" w:usb2="00000000" w:usb3="00000000" w:csb0="00040001" w:csb1="00000000"/>
  </w:font>
  <w:font w:name="新宋体-18030">
    <w:altName w:val="宋体"/>
    <w:panose1 w:val="02010609060101010101"/>
    <w:charset w:val="86"/>
    <w:family w:val="modern"/>
    <w:pitch w:val="default"/>
    <w:sig w:usb0="00000000" w:usb1="00000000" w:usb2="000A005E" w:usb3="00000000" w:csb0="00040001" w:csb1="00000000"/>
  </w:font>
  <w:font w:name="新宋体">
    <w:panose1 w:val="02010609030101010101"/>
    <w:charset w:val="86"/>
    <w:family w:val="modern"/>
    <w:pitch w:val="default"/>
    <w:sig w:usb0="00000003" w:usb1="080E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Verdana">
    <w:panose1 w:val="020B0604030504040204"/>
    <w:charset w:val="00"/>
    <w:family w:val="swiss"/>
    <w:pitch w:val="default"/>
    <w:sig w:usb0="00000287" w:usb1="00000000" w:usb2="00000000" w:usb3="00000000" w:csb0="2000019F" w:csb1="00000000"/>
  </w:font>
  <w:font w:name="ArialMT">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Calibri">
    <w:panose1 w:val="020F0502020204030204"/>
    <w:charset w:val="BA"/>
    <w:family w:val="swiss"/>
    <w:pitch w:val="default"/>
    <w:sig w:usb0="A00002EF" w:usb1="4000207B" w:usb2="00000000" w:usb3="00000000" w:csb0="2000009F" w:csb1="00000000"/>
  </w:font>
  <w:font w:name="魏碑">
    <w:altName w:val="黑体"/>
    <w:panose1 w:val="00000000000000000000"/>
    <w:charset w:val="86"/>
    <w:family w:val="modern"/>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Geneva">
    <w:altName w:val="Arial"/>
    <w:panose1 w:val="00000000000000000000"/>
    <w:charset w:val="00"/>
    <w:family w:val="swiss"/>
    <w:pitch w:val="default"/>
    <w:sig w:usb0="00000000" w:usb1="00000000" w:usb2="00000000" w:usb3="00000000" w:csb0="00000001" w:csb1="00000000"/>
  </w:font>
  <w:font w:name="SymbolMT">
    <w:altName w:val="MS Gothic"/>
    <w:panose1 w:val="00000000000000000000"/>
    <w:charset w:val="80"/>
    <w:family w:val="auto"/>
    <w:pitch w:val="default"/>
    <w:sig w:usb0="00000000" w:usb1="00000000" w:usb2="00000010" w:usb3="00000000" w:csb0="00020000" w:csb1="00000000"/>
  </w:font>
  <w:font w:name="Arial-BoldMT">
    <w:altName w:val="宋体"/>
    <w:panose1 w:val="00000000000000000000"/>
    <w:charset w:val="86"/>
    <w:family w:val="auto"/>
    <w:pitch w:val="default"/>
    <w:sig w:usb0="00000000" w:usb1="00000000" w:usb2="00000000" w:usb3="00000000" w:csb0="00040000" w:csb1="00000000"/>
  </w:font>
  <w:font w:name="MS Gothic">
    <w:panose1 w:val="020B0609070205080204"/>
    <w:charset w:val="80"/>
    <w:family w:val="auto"/>
    <w:pitch w:val="default"/>
    <w:sig w:usb0="A00002BF" w:usb1="68C7FCFB" w:usb2="00000010" w:usb3="00000000" w:csb0="4002009F" w:csb1="DFD70000"/>
  </w:font>
  <w:font w:name="仿宋">
    <w:altName w:val="仿宋_GB2312"/>
    <w:panose1 w:val="02010609060101010101"/>
    <w:charset w:val="86"/>
    <w:family w:val="auto"/>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altName w:val="宋体"/>
    <w:panose1 w:val="02010800040101010101"/>
    <w:charset w:val="86"/>
    <w:family w:val="auto"/>
    <w:pitch w:val="default"/>
    <w:sig w:usb0="00000000" w:usb1="0000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PMingLiU">
    <w:panose1 w:val="02020300000000000000"/>
    <w:charset w:val="88"/>
    <w:family w:val="roman"/>
    <w:pitch w:val="default"/>
    <w:sig w:usb0="00000003" w:usb1="082E0000" w:usb2="00000016" w:usb3="00000000" w:csb0="00100001" w:csb1="00000000"/>
  </w:font>
  <w:font w:name="TimesNewRomanPSMT">
    <w:altName w:val="方正舒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黑体简体">
    <w:altName w:val="方正舒体"/>
    <w:panose1 w:val="00000000000000000000"/>
    <w:charset w:val="86"/>
    <w:family w:val="auto"/>
    <w:pitch w:val="default"/>
    <w:sig w:usb0="00000000" w:usb1="00000000" w:usb2="00000000" w:usb3="00000000" w:csb0="00040000" w:csb1="00000000"/>
  </w:font>
  <w:font w:name="方正黑体_GBK">
    <w:altName w:val="方正舒体"/>
    <w:panose1 w:val="03000509000000000000"/>
    <w:charset w:val="86"/>
    <w:family w:val="script"/>
    <w:pitch w:val="default"/>
    <w:sig w:usb0="00000000" w:usb1="00000000" w:usb2="00000010" w:usb3="00000000" w:csb0="00040000" w:csb1="00000000"/>
  </w:font>
  <w:font w:name="ֻ־ּו">
    <w:altName w:val="Arial"/>
    <w:panose1 w:val="00000000000000000000"/>
    <w:charset w:val="B1"/>
    <w:family w:val="swiss"/>
    <w:pitch w:val="default"/>
    <w:sig w:usb0="00000000" w:usb1="00000000" w:usb2="00000000" w:usb3="00000000" w:csb0="00000020" w:csb1="00000000"/>
  </w:font>
  <w:font w:name="Arial">
    <w:panose1 w:val="020B0604020202020204"/>
    <w:charset w:val="B1"/>
    <w:family w:val="swiss"/>
    <w:pitch w:val="default"/>
    <w:sig w:usb0="00007A87" w:usb1="80000000" w:usb2="00000008" w:usb3="00000000" w:csb0="400001FF" w:csb1="FFFF0000"/>
  </w:font>
  <w:font w:name="方正黑体_GBK">
    <w:altName w:val="方正舒体"/>
    <w:panose1 w:val="00000000000000000000"/>
    <w:charset w:val="00"/>
    <w:family w:val="auto"/>
    <w:pitch w:val="default"/>
    <w:sig w:usb0="00000000" w:usb1="00000000" w:usb2="00000000" w:usb3="00000000" w:csb0="00000000" w:csb1="00000000"/>
  </w:font>
  <w:font w:name="至美报宋简">
    <w:altName w:val="宋体"/>
    <w:panose1 w:val="02010609010101010101"/>
    <w:charset w:val="86"/>
    <w:family w:val="modern"/>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TimesNewRomanPS-BoldMT">
    <w:altName w:val="宋体"/>
    <w:panose1 w:val="00000000000000000000"/>
    <w:charset w:val="86"/>
    <w:family w:val="auto"/>
    <w:pitch w:val="default"/>
    <w:sig w:usb0="00000000" w:usb1="00000000" w:usb2="00000010" w:usb3="00000000" w:csb0="00040000" w:csb1="0000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A00002BF" w:usb1="68C7FCFB" w:usb2="00000010" w:usb3="00000000" w:csb0="4002009F" w:csb1="DFD7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separate"/>
    </w:r>
    <w:r>
      <w:rPr>
        <w:rStyle w:val="9"/>
        <w:sz w:val="21"/>
      </w:rPr>
      <w:t>3</w:t>
    </w:r>
    <w:r>
      <w:rPr>
        <w:rStyle w:val="9"/>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E930"/>
    <w:multiLevelType w:val="singleLevel"/>
    <w:tmpl w:val="59DDE93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0002200"/>
    <w:rsid w:val="00135CA3"/>
    <w:rsid w:val="005D2B03"/>
    <w:rsid w:val="00A249F3"/>
    <w:rsid w:val="00A5605E"/>
    <w:rsid w:val="00AE3237"/>
    <w:rsid w:val="00BA1D04"/>
    <w:rsid w:val="00D544D1"/>
    <w:rsid w:val="00D659D8"/>
    <w:rsid w:val="00E3677B"/>
    <w:rsid w:val="00E620F0"/>
    <w:rsid w:val="01807422"/>
    <w:rsid w:val="08EA7D8A"/>
    <w:rsid w:val="0A63177A"/>
    <w:rsid w:val="0BE60429"/>
    <w:rsid w:val="0C9E10F5"/>
    <w:rsid w:val="13CF52CC"/>
    <w:rsid w:val="2607286A"/>
    <w:rsid w:val="26C82928"/>
    <w:rsid w:val="28546A26"/>
    <w:rsid w:val="2A19064E"/>
    <w:rsid w:val="2C367612"/>
    <w:rsid w:val="2F545078"/>
    <w:rsid w:val="454324CA"/>
    <w:rsid w:val="4E1A3BA0"/>
    <w:rsid w:val="51E53FAB"/>
    <w:rsid w:val="53A50DE4"/>
    <w:rsid w:val="53C42D61"/>
    <w:rsid w:val="583427A9"/>
    <w:rsid w:val="6779624B"/>
    <w:rsid w:val="6D3B16AB"/>
    <w:rsid w:val="6FA97721"/>
    <w:rsid w:val="72F27725"/>
    <w:rsid w:val="73007476"/>
    <w:rsid w:val="75612B9A"/>
    <w:rsid w:val="7DE22A0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2"/>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4">
    <w:name w:val="Body Text Indent"/>
    <w:basedOn w:val="1"/>
    <w:unhideWhenUsed/>
    <w:qFormat/>
    <w:uiPriority w:val="99"/>
    <w:pPr>
      <w:spacing w:line="460" w:lineRule="exact"/>
      <w:ind w:firstLine="600"/>
    </w:pPr>
    <w:rPr>
      <w:rFonts w:eastAsia="仿宋_GB2312"/>
      <w:sz w:val="28"/>
    </w:rPr>
  </w:style>
  <w:style w:type="paragraph" w:styleId="5">
    <w:name w:val="footer"/>
    <w:basedOn w:val="1"/>
    <w:link w:val="13"/>
    <w:qFormat/>
    <w:locked/>
    <w:uiPriority w:val="0"/>
    <w:pPr>
      <w:tabs>
        <w:tab w:val="center" w:pos="4153"/>
        <w:tab w:val="right" w:pos="8306"/>
      </w:tabs>
      <w:snapToGrid w:val="0"/>
      <w:jc w:val="left"/>
    </w:pPr>
    <w:rPr>
      <w:sz w:val="18"/>
      <w:szCs w:val="18"/>
    </w:rPr>
  </w:style>
  <w:style w:type="paragraph" w:styleId="6">
    <w:name w:val="Body Text First Indent 2"/>
    <w:basedOn w:val="1"/>
    <w:next w:val="1"/>
    <w:unhideWhenUsed/>
    <w:qFormat/>
    <w:uiPriority w:val="99"/>
    <w:pPr>
      <w:spacing w:after="120"/>
      <w:ind w:left="420" w:leftChars="200" w:firstLine="420" w:firstLineChars="200"/>
    </w:pPr>
    <w:rPr>
      <w:sz w:val="21"/>
      <w:szCs w:val="24"/>
    </w:rPr>
  </w:style>
  <w:style w:type="paragraph" w:styleId="7">
    <w:name w:val="header"/>
    <w:basedOn w:val="1"/>
    <w:link w:val="14"/>
    <w:qFormat/>
    <w:locked/>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locked/>
    <w:uiPriority w:val="0"/>
    <w:rPr>
      <w:rFonts w:ascii="Calibri" w:hAnsi="Calibri" w:eastAsia="宋体" w:cs="Times New Roman"/>
      <w:kern w:val="2"/>
      <w:sz w:val="22"/>
      <w:szCs w:val="22"/>
      <w:lang w:val="en-US" w:eastAsia="zh-CN" w:bidi="ar-SA"/>
    </w:rPr>
  </w:style>
  <w:style w:type="character" w:styleId="10">
    <w:name w:val="Hyperlink"/>
    <w:basedOn w:val="8"/>
    <w:qFormat/>
    <w:locked/>
    <w:uiPriority w:val="0"/>
    <w:rPr>
      <w:rFonts w:ascii="Calibri" w:hAnsi="Calibri" w:eastAsia="宋体" w:cs="Times New Roman"/>
      <w:color w:val="0000FF"/>
      <w:kern w:val="2"/>
      <w:sz w:val="22"/>
      <w:szCs w:val="22"/>
      <w:u w:val="single"/>
      <w:lang w:val="en-US" w:eastAsia="zh-CN" w:bidi="ar-SA"/>
    </w:rPr>
  </w:style>
  <w:style w:type="character" w:customStyle="1" w:styleId="12">
    <w:name w:val="标题 2 Char"/>
    <w:basedOn w:val="8"/>
    <w:link w:val="3"/>
    <w:qFormat/>
    <w:locked/>
    <w:uiPriority w:val="99"/>
    <w:rPr>
      <w:rFonts w:ascii="Arial" w:hAnsi="Arial" w:eastAsia="黑体" w:cs="宋体"/>
      <w:b/>
      <w:bCs/>
      <w:kern w:val="2"/>
      <w:sz w:val="32"/>
      <w:szCs w:val="32"/>
      <w:lang w:val="en-US" w:eastAsia="zh-CN" w:bidi="ar-SA"/>
    </w:rPr>
  </w:style>
  <w:style w:type="character" w:customStyle="1" w:styleId="13">
    <w:name w:val="页脚 Char"/>
    <w:basedOn w:val="8"/>
    <w:link w:val="5"/>
    <w:qFormat/>
    <w:locked/>
    <w:uiPriority w:val="99"/>
    <w:rPr>
      <w:rFonts w:ascii="Calibri" w:hAnsi="Calibri" w:eastAsia="宋体" w:cs="Times New Roman"/>
      <w:kern w:val="2"/>
      <w:sz w:val="18"/>
      <w:szCs w:val="18"/>
      <w:lang w:val="en-US" w:eastAsia="zh-CN" w:bidi="ar-SA"/>
    </w:rPr>
  </w:style>
  <w:style w:type="character" w:customStyle="1" w:styleId="14">
    <w:name w:val="页眉 Char"/>
    <w:basedOn w:val="8"/>
    <w:link w:val="7"/>
    <w:qFormat/>
    <w:locked/>
    <w:uiPriority w:val="99"/>
    <w:rPr>
      <w:rFonts w:ascii="Calibri" w:hAnsi="Calibri" w:eastAsia="宋体" w:cs="Times New Roman"/>
      <w:kern w:val="2"/>
      <w:sz w:val="18"/>
      <w:szCs w:val="18"/>
      <w:lang w:val="en-US" w:eastAsia="zh-CN" w:bidi="ar-SA"/>
    </w:rPr>
  </w:style>
  <w:style w:type="character" w:customStyle="1" w:styleId="15">
    <w:name w:val="样式 仿宋_GB2312 三号"/>
    <w:basedOn w:val="8"/>
    <w:qFormat/>
    <w:uiPriority w:val="99"/>
    <w:rPr>
      <w:rFonts w:ascii="仿宋_GB2312" w:hAnsi="Calibri" w:eastAsia="仿宋_GB2312" w:cs="Times New Roman"/>
      <w:kern w:val="2"/>
      <w:sz w:val="32"/>
      <w:szCs w:val="32"/>
      <w:lang w:val="en-US" w:eastAsia="zh-CN" w:bidi="ar-SA"/>
    </w:rPr>
  </w:style>
  <w:style w:type="paragraph" w:customStyle="1" w:styleId="16">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ScaleCrop>false</ScaleCrop>
  <LinksUpToDate>false</LinksUpToDate>
  <CharactersWithSpaces>1490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彭林邦</cp:lastModifiedBy>
  <dcterms:modified xsi:type="dcterms:W3CDTF">2019-11-01T02:28:16Z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docranid">
    <vt:lpwstr>8A8F286660E44908B7404D219F1E6CA7</vt:lpwstr>
  </property>
</Properties>
</file>