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lang w:eastAsia="zh-CN"/>
        </w:rPr>
        <w:t>德环盈复</w:t>
      </w:r>
      <w:r>
        <w:rPr>
          <w:rFonts w:hint="eastAsia" w:eastAsia="方正仿宋_GBK"/>
          <w:sz w:val="32"/>
          <w:szCs w:val="32"/>
          <w:highlight w:val="none"/>
        </w:rPr>
        <w:t>〔</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16</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r>
        <w:rPr>
          <w:highlight w:val="none"/>
        </w:rP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 xml:space="preserve"> 盈江县盈曦公司年产2000 吨机制炭加工生产线建设项目</w:t>
      </w:r>
      <w:r>
        <w:rPr>
          <w:rFonts w:hint="eastAsia" w:ascii="方正小标宋简体" w:eastAsia="方正小标宋简体"/>
          <w:spacing w:val="-4"/>
          <w:sz w:val="44"/>
          <w:szCs w:val="44"/>
          <w:highlight w:val="none"/>
        </w:rPr>
        <w:t>环境影响报告表的批复</w:t>
      </w:r>
    </w:p>
    <w:p>
      <w:pPr>
        <w:spacing w:line="560" w:lineRule="exact"/>
        <w:rPr>
          <w:rFonts w:hint="eastAsia" w:eastAsia="方正仿宋_GBK"/>
          <w:sz w:val="32"/>
          <w:szCs w:val="32"/>
          <w:highlight w:val="none"/>
          <w:lang w:val="en-US" w:eastAsia="zh-CN"/>
        </w:rPr>
      </w:pPr>
    </w:p>
    <w:p>
      <w:pPr>
        <w:spacing w:line="560" w:lineRule="exact"/>
        <w:rPr>
          <w:rFonts w:eastAsia="方正仿宋_GBK"/>
          <w:sz w:val="32"/>
          <w:szCs w:val="32"/>
          <w:highlight w:val="none"/>
        </w:rPr>
      </w:pPr>
      <w:r>
        <w:rPr>
          <w:rFonts w:hint="eastAsia" w:eastAsia="方正仿宋_GBK"/>
          <w:sz w:val="32"/>
          <w:szCs w:val="32"/>
          <w:highlight w:val="none"/>
          <w:lang w:val="en-US" w:eastAsia="zh-CN"/>
        </w:rPr>
        <w:t xml:space="preserve"> 盈江县盈曦旅游文化开发有限公司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rPr>
        <w:t>盈江县盈曦公司年产2000 吨机制炭加工生产线建设项目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rPr>
      </w:pPr>
      <w:r>
        <w:rPr>
          <w:rFonts w:eastAsia="方正仿宋_GBK"/>
          <w:sz w:val="32"/>
          <w:szCs w:val="32"/>
          <w:highlight w:val="none"/>
        </w:rPr>
        <w:t>项目位于</w:t>
      </w:r>
      <w:r>
        <w:rPr>
          <w:rFonts w:hint="eastAsia" w:eastAsia="方正仿宋_GBK"/>
          <w:sz w:val="32"/>
          <w:szCs w:val="32"/>
          <w:highlight w:val="none"/>
        </w:rPr>
        <w:t>盈江县</w:t>
      </w:r>
      <w:r>
        <w:rPr>
          <w:rFonts w:hint="eastAsia" w:eastAsia="方正仿宋_GBK"/>
          <w:sz w:val="32"/>
          <w:szCs w:val="32"/>
          <w:highlight w:val="none"/>
          <w:lang w:eastAsia="zh-CN"/>
        </w:rPr>
        <w:t>太平镇弄盏村，总占地面积6</w:t>
      </w:r>
      <w:r>
        <w:rPr>
          <w:rFonts w:hint="eastAsia" w:eastAsia="方正仿宋_GBK"/>
          <w:sz w:val="32"/>
          <w:szCs w:val="32"/>
          <w:highlight w:val="none"/>
          <w:lang w:val="en-US" w:eastAsia="zh-CN"/>
        </w:rPr>
        <w:t>760m2平方米，总建筑面积4650m2，建设年产2000 吨机制炭加工生产线一条，配套建设办公生活等辅助设施，主要建设内容包括生产加工车间、原料堆存区、成品仓库、炭化窑、办公生活区等。</w:t>
      </w:r>
      <w:r>
        <w:rPr>
          <w:rFonts w:hint="eastAsia" w:eastAsia="方正仿宋_GBK"/>
          <w:sz w:val="32"/>
          <w:szCs w:val="32"/>
          <w:highlight w:val="none"/>
          <w:lang w:eastAsia="zh-CN"/>
        </w:rPr>
        <w:t>项目总投资1002.00万元，其中环保总投资</w:t>
      </w:r>
      <w:r>
        <w:rPr>
          <w:rFonts w:hint="eastAsia" w:eastAsia="方正仿宋_GBK"/>
          <w:sz w:val="32"/>
          <w:szCs w:val="32"/>
          <w:highlight w:val="none"/>
          <w:lang w:val="en-US" w:eastAsia="zh-CN"/>
        </w:rPr>
        <w:t>31.7</w:t>
      </w:r>
      <w:r>
        <w:rPr>
          <w:rFonts w:hint="eastAsia" w:eastAsia="方正仿宋_GBK"/>
          <w:sz w:val="32"/>
          <w:szCs w:val="32"/>
          <w:highlight w:val="none"/>
          <w:lang w:eastAsia="zh-CN"/>
        </w:rPr>
        <w:t>万元，占总投资的</w:t>
      </w:r>
      <w:r>
        <w:rPr>
          <w:rFonts w:hint="eastAsia" w:eastAsia="方正仿宋_GBK"/>
          <w:sz w:val="32"/>
          <w:szCs w:val="32"/>
          <w:highlight w:val="none"/>
          <w:lang w:val="en-US" w:eastAsia="zh-CN"/>
        </w:rPr>
        <w:t>3.16</w:t>
      </w:r>
      <w:r>
        <w:rPr>
          <w:rFonts w:hint="eastAsia" w:eastAsia="方正仿宋_GBK"/>
          <w:sz w:val="32"/>
          <w:szCs w:val="32"/>
          <w:highlight w:val="none"/>
          <w:lang w:eastAsia="zh-CN"/>
        </w:rPr>
        <w:t>%。</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eastAsia="方正仿宋_GBK"/>
          <w:sz w:val="32"/>
          <w:szCs w:val="32"/>
          <w:highlight w:val="none"/>
          <w:lang w:eastAsia="zh-CN"/>
        </w:rPr>
        <w:t>在全面落实环境影响报告表提出的各项污染防治和生态保护措施后，项目污染物可达标排放，项目整改和运营的不良环境影响可以得到减缓和控制，</w:t>
      </w:r>
      <w:r>
        <w:rPr>
          <w:rFonts w:eastAsia="方正仿宋_GBK"/>
          <w:sz w:val="32"/>
          <w:szCs w:val="32"/>
          <w:highlight w:val="none"/>
        </w:rPr>
        <w:t>我局同意该项目按照环境影报告表中的性质、地点、采用的环境保护对策、措施</w:t>
      </w:r>
      <w:r>
        <w:rPr>
          <w:rFonts w:hint="eastAsia" w:eastAsia="方正仿宋_GBK"/>
          <w:sz w:val="32"/>
          <w:szCs w:val="32"/>
          <w:highlight w:val="none"/>
          <w:lang w:eastAsia="zh-CN"/>
        </w:rPr>
        <w:t>进行建设</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建设和运营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rPr>
        <w:t>盈江县盈曦公司年产2000 吨机制炭加工生产线建设项目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default" w:eastAsia="方正仿宋_GBK"/>
          <w:bCs/>
          <w:sz w:val="32"/>
          <w:szCs w:val="32"/>
          <w:highlight w:val="none"/>
        </w:rPr>
        <w:t>施工期</w:t>
      </w:r>
      <w:r>
        <w:rPr>
          <w:rFonts w:hint="eastAsia" w:eastAsia="方正仿宋_GBK"/>
          <w:bCs/>
          <w:sz w:val="32"/>
          <w:szCs w:val="32"/>
          <w:highlight w:val="none"/>
          <w:lang w:eastAsia="zh-CN"/>
        </w:rPr>
        <w:t>必须</w:t>
      </w:r>
      <w:r>
        <w:rPr>
          <w:rFonts w:hint="default" w:eastAsia="方正仿宋_GBK"/>
          <w:bCs/>
          <w:sz w:val="32"/>
          <w:szCs w:val="32"/>
          <w:highlight w:val="none"/>
        </w:rPr>
        <w:t>加强</w:t>
      </w:r>
      <w:r>
        <w:rPr>
          <w:rFonts w:hint="default" w:eastAsia="方正仿宋_GBK"/>
          <w:bCs/>
          <w:sz w:val="32"/>
          <w:szCs w:val="32"/>
          <w:highlight w:val="none"/>
          <w:lang w:eastAsia="zh-CN"/>
        </w:rPr>
        <w:t>管理，施工</w:t>
      </w:r>
      <w:r>
        <w:rPr>
          <w:rFonts w:hint="eastAsia" w:eastAsia="方正仿宋_GBK"/>
          <w:bCs/>
          <w:sz w:val="32"/>
          <w:szCs w:val="32"/>
          <w:highlight w:val="none"/>
          <w:lang w:eastAsia="zh-CN"/>
        </w:rPr>
        <w:t>过程采取</w:t>
      </w:r>
      <w:r>
        <w:rPr>
          <w:rFonts w:hint="default" w:eastAsia="方正仿宋_GBK"/>
          <w:bCs/>
          <w:sz w:val="32"/>
          <w:szCs w:val="32"/>
          <w:highlight w:val="none"/>
          <w:lang w:eastAsia="zh-CN"/>
        </w:rPr>
        <w:t>洒水降尘</w:t>
      </w:r>
      <w:r>
        <w:rPr>
          <w:rFonts w:hint="eastAsia" w:eastAsia="方正仿宋_GBK"/>
          <w:bCs/>
          <w:sz w:val="32"/>
          <w:szCs w:val="32"/>
          <w:highlight w:val="none"/>
          <w:lang w:eastAsia="zh-CN"/>
        </w:rPr>
        <w:t>、物料堆场遮盖等措施减少扬尘产生；物料运输过程中</w:t>
      </w:r>
      <w:r>
        <w:rPr>
          <w:rFonts w:eastAsia="方正仿宋_GBK"/>
          <w:bCs/>
          <w:sz w:val="32"/>
          <w:szCs w:val="32"/>
          <w:highlight w:val="none"/>
        </w:rPr>
        <w:t>必须装载规范，加盖篷布，防止沿途撒漏</w:t>
      </w:r>
      <w:r>
        <w:rPr>
          <w:rFonts w:hint="eastAsia" w:eastAsia="方正仿宋_GBK"/>
          <w:bCs/>
          <w:sz w:val="32"/>
          <w:szCs w:val="32"/>
          <w:highlight w:val="none"/>
          <w:lang w:eastAsia="zh-CN"/>
        </w:rPr>
        <w:t>；施工期间必须合理安排施工时间，施工场界噪声执行《建筑施工场界环境噪声排放标准》（GB12523-2011）；施工场地必须设置</w:t>
      </w:r>
      <w:r>
        <w:rPr>
          <w:rFonts w:hint="eastAsia" w:eastAsia="方正仿宋_GBK"/>
          <w:bCs/>
          <w:sz w:val="32"/>
          <w:szCs w:val="32"/>
          <w:highlight w:val="none"/>
          <w:lang w:val="en-US" w:eastAsia="zh-CN"/>
        </w:rPr>
        <w:t>临时沉淀池，施工废水经沉淀处理后回用或洒水降尘，严禁外排；</w:t>
      </w:r>
      <w:r>
        <w:rPr>
          <w:rFonts w:hint="default" w:eastAsia="方正仿宋_GBK"/>
          <w:bCs/>
          <w:sz w:val="32"/>
          <w:szCs w:val="32"/>
          <w:highlight w:val="none"/>
          <w:lang w:eastAsia="zh-CN"/>
        </w:rPr>
        <w:t>合理布置材料堆场，</w:t>
      </w:r>
      <w:r>
        <w:rPr>
          <w:rFonts w:hint="eastAsia" w:eastAsia="方正仿宋_GBK"/>
          <w:bCs/>
          <w:sz w:val="32"/>
          <w:szCs w:val="32"/>
          <w:highlight w:val="none"/>
          <w:lang w:eastAsia="zh-CN"/>
        </w:rPr>
        <w:t>开挖</w:t>
      </w:r>
      <w:r>
        <w:rPr>
          <w:rFonts w:hint="default" w:eastAsia="方正仿宋_GBK"/>
          <w:bCs/>
          <w:sz w:val="32"/>
          <w:szCs w:val="32"/>
          <w:highlight w:val="none"/>
          <w:lang w:eastAsia="zh-CN"/>
        </w:rPr>
        <w:t>土石方</w:t>
      </w:r>
      <w:r>
        <w:rPr>
          <w:rFonts w:hint="eastAsia" w:eastAsia="方正仿宋_GBK"/>
          <w:bCs/>
          <w:sz w:val="32"/>
          <w:szCs w:val="32"/>
          <w:highlight w:val="none"/>
          <w:lang w:eastAsia="zh-CN"/>
        </w:rPr>
        <w:t>全部回填，</w:t>
      </w:r>
      <w:r>
        <w:rPr>
          <w:rFonts w:hint="default" w:eastAsia="方正仿宋_GBK"/>
          <w:bCs/>
          <w:sz w:val="32"/>
          <w:szCs w:val="32"/>
          <w:highlight w:val="none"/>
          <w:lang w:eastAsia="zh-CN"/>
        </w:rPr>
        <w:t>建筑垃圾</w:t>
      </w:r>
      <w:r>
        <w:rPr>
          <w:rFonts w:hint="eastAsia" w:eastAsia="方正仿宋_GBK"/>
          <w:bCs/>
          <w:sz w:val="32"/>
          <w:szCs w:val="32"/>
          <w:highlight w:val="none"/>
          <w:lang w:eastAsia="zh-CN"/>
        </w:rPr>
        <w:t>分类后可回收部分外售，不可回收部分清运至住建部门指定地点，</w:t>
      </w:r>
      <w:r>
        <w:rPr>
          <w:rFonts w:hint="default" w:eastAsia="方正仿宋_GBK"/>
          <w:bCs/>
          <w:sz w:val="32"/>
          <w:szCs w:val="32"/>
          <w:highlight w:val="none"/>
          <w:lang w:eastAsia="zh-CN"/>
        </w:rPr>
        <w:t>严禁随意堆放、丢弃</w:t>
      </w:r>
      <w:r>
        <w:rPr>
          <w:rFonts w:hint="eastAsia" w:eastAsia="方正仿宋_GBK"/>
          <w:bCs/>
          <w:sz w:val="32"/>
          <w:szCs w:val="32"/>
          <w:highlight w:val="none"/>
          <w:lang w:eastAsia="zh-CN"/>
        </w:rPr>
        <w:t>。</w:t>
      </w:r>
    </w:p>
    <w:p>
      <w:pPr>
        <w:pStyle w:val="3"/>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㈢</w:t>
      </w:r>
      <w:r>
        <w:rPr>
          <w:rFonts w:hint="eastAsia" w:eastAsia="方正仿宋_GBK"/>
          <w:sz w:val="32"/>
          <w:szCs w:val="32"/>
          <w:highlight w:val="none"/>
          <w:lang w:eastAsia="zh-CN"/>
        </w:rPr>
        <w:t>项目必须实施雨污分流，生活区配套建设一座化粪池、一座收集池、一个油水分离器，生活污水经化粪池处理后集中收集于收集池，用于厂区绿化或林地灌溉；水浴除尘废水经沉淀处理后循环使用，严禁外排，循环水池必须采取防渗防、溢流措施；木醋液、木焦油必须妥善存放于收集器，作为副产品外售，存放点必须进行防渗、防泄漏处理，设置不低于</w:t>
      </w:r>
      <w:r>
        <w:rPr>
          <w:rFonts w:hint="eastAsia" w:eastAsia="方正仿宋_GBK"/>
          <w:sz w:val="32"/>
          <w:szCs w:val="32"/>
          <w:highlight w:val="none"/>
          <w:lang w:val="en-US" w:eastAsia="zh-CN"/>
        </w:rPr>
        <w:t>20厘米的围堰，配套建设规范的事故应急池。</w:t>
      </w:r>
    </w:p>
    <w:p>
      <w:pPr>
        <w:pStyle w:val="3"/>
        <w:spacing w:line="560" w:lineRule="exact"/>
        <w:ind w:firstLine="640" w:firstLineChars="200"/>
        <w:rPr>
          <w:rFonts w:hint="eastAsia" w:eastAsia="方正仿宋_GBK"/>
          <w:sz w:val="32"/>
          <w:szCs w:val="32"/>
          <w:highlight w:val="none"/>
          <w:lang w:eastAsia="zh-CN"/>
        </w:rPr>
      </w:pPr>
    </w:p>
    <w:p>
      <w:pPr>
        <w:pStyle w:val="3"/>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eastAsia="zh-CN"/>
        </w:rPr>
        <w:t>运营期加强大气污染防治，原材料粉碎、筛选工序产尘点设置集气罩、布袋除尘器，产生的粉尘执行</w:t>
      </w:r>
      <w:r>
        <w:rPr>
          <w:rFonts w:hint="eastAsia" w:ascii="Times New Roman" w:hAnsi="Times New Roman" w:eastAsia="方正仿宋_GBK" w:cs="Times New Roman"/>
          <w:bCs/>
          <w:kern w:val="2"/>
          <w:sz w:val="32"/>
          <w:szCs w:val="32"/>
          <w:highlight w:val="none"/>
          <w:lang w:val="en-US" w:eastAsia="zh-CN" w:bidi="ar-SA"/>
        </w:rPr>
        <w:t>《大气污染物综合排放标准》（GB16297-1996）无组织排放标准</w:t>
      </w:r>
      <w:r>
        <w:rPr>
          <w:rFonts w:hint="eastAsia" w:eastAsia="方正仿宋_GBK" w:cs="Times New Roman"/>
          <w:bCs/>
          <w:kern w:val="2"/>
          <w:sz w:val="32"/>
          <w:szCs w:val="32"/>
          <w:highlight w:val="none"/>
          <w:lang w:val="en-US" w:eastAsia="zh-CN" w:bidi="ar-SA"/>
        </w:rPr>
        <w:t>；炭化窑、制棒机产生的烟气经收集后通过烟道引入烘干机炉膛二次燃烧，烘干机烟气经2 套水浴除尘设备处理后</w:t>
      </w:r>
      <w:r>
        <w:rPr>
          <w:rFonts w:hint="eastAsia" w:ascii="Times New Roman" w:hAnsi="Times New Roman" w:eastAsia="方正仿宋_GBK" w:cs="Times New Roman"/>
          <w:bCs/>
          <w:kern w:val="2"/>
          <w:sz w:val="32"/>
          <w:szCs w:val="32"/>
          <w:highlight w:val="none"/>
          <w:lang w:val="en-US" w:eastAsia="zh-CN" w:bidi="ar-SA"/>
        </w:rPr>
        <w:t>经15米高排气筒达标排放，</w:t>
      </w:r>
      <w:r>
        <w:rPr>
          <w:rFonts w:hint="eastAsia" w:eastAsia="方正仿宋_GBK" w:cs="Times New Roman"/>
          <w:bCs/>
          <w:kern w:val="2"/>
          <w:sz w:val="32"/>
          <w:szCs w:val="32"/>
          <w:highlight w:val="none"/>
          <w:lang w:val="en-US" w:eastAsia="zh-CN" w:bidi="ar-SA"/>
        </w:rPr>
        <w:t>排放</w:t>
      </w:r>
      <w:r>
        <w:rPr>
          <w:rFonts w:hint="eastAsia" w:ascii="Times New Roman" w:hAnsi="Times New Roman" w:eastAsia="方正仿宋_GBK" w:cs="Times New Roman"/>
          <w:bCs/>
          <w:kern w:val="2"/>
          <w:sz w:val="32"/>
          <w:szCs w:val="32"/>
          <w:highlight w:val="none"/>
          <w:lang w:val="en-US" w:eastAsia="zh-CN" w:bidi="ar-SA"/>
        </w:rPr>
        <w:t>烟气执行《工业炉窑大气污染物排放标准》（GB9078-1996）表2干燥炉、窑二级标准</w:t>
      </w:r>
      <w:r>
        <w:rPr>
          <w:rFonts w:hint="eastAsia" w:eastAsia="方正仿宋_GBK" w:cs="Times New Roman"/>
          <w:bCs/>
          <w:kern w:val="2"/>
          <w:sz w:val="32"/>
          <w:szCs w:val="32"/>
          <w:highlight w:val="none"/>
          <w:lang w:val="en-US" w:eastAsia="zh-CN" w:bidi="ar-SA"/>
        </w:rPr>
        <w:t>，排气筒必须按照相关规范设置监测口；</w:t>
      </w:r>
      <w:r>
        <w:rPr>
          <w:rFonts w:hint="eastAsia" w:eastAsia="方正仿宋_GBK"/>
          <w:sz w:val="32"/>
          <w:szCs w:val="32"/>
          <w:highlight w:val="none"/>
          <w:lang w:val="en-US" w:eastAsia="zh-CN"/>
        </w:rPr>
        <w:t>食堂必须安装油烟净化设施，食堂油烟经处理后排放。</w:t>
      </w:r>
    </w:p>
    <w:p>
      <w:pPr>
        <w:pStyle w:val="3"/>
        <w:spacing w:line="560" w:lineRule="exact"/>
        <w:ind w:firstLine="640" w:firstLineChars="200"/>
        <w:rPr>
          <w:rFonts w:hint="eastAsia" w:eastAsia="方正仿宋_GBK"/>
          <w:bCs/>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运营期加强噪声污染防治，对高噪声设备进行减震处理，定期维护噪声设备，减少噪声影响</w:t>
      </w:r>
      <w:r>
        <w:rPr>
          <w:rFonts w:hint="eastAsia" w:eastAsia="方正仿宋_GBK"/>
          <w:bCs/>
          <w:sz w:val="32"/>
          <w:szCs w:val="32"/>
          <w:highlight w:val="none"/>
          <w:lang w:eastAsia="zh-CN"/>
        </w:rPr>
        <w:t>，项目运营期噪声执行《工业企业厂界环境噪声排放标准》（GB12348-2008）2类标准；加强对运输车辆管理，项目进出口设置限速、禁鸣标志，</w:t>
      </w:r>
      <w:r>
        <w:rPr>
          <w:rFonts w:hint="eastAsia" w:eastAsia="方正仿宋_GBK"/>
          <w:sz w:val="32"/>
          <w:szCs w:val="32"/>
          <w:highlight w:val="none"/>
          <w:lang w:eastAsia="zh-CN"/>
        </w:rPr>
        <w:t>原材料、产品运输车辆严禁通过河道出入。</w:t>
      </w:r>
    </w:p>
    <w:p>
      <w:pPr>
        <w:pStyle w:val="3"/>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㈥</w:t>
      </w:r>
      <w:r>
        <w:rPr>
          <w:rFonts w:hint="eastAsia" w:eastAsia="方正仿宋_GBK"/>
          <w:sz w:val="32"/>
          <w:szCs w:val="32"/>
          <w:highlight w:val="none"/>
          <w:lang w:eastAsia="zh-CN"/>
        </w:rPr>
        <w:t>加强固废管理，生活垃圾集中收集后清运至当地垃圾收集点，交由环卫站处置；除尘器粉尘、不合格产品等生产废物收集后回用，严禁随意丢弃；化粪池、收集池、水浴除尘器污泥定期委托周边农户清掏用作农肥；食堂泔水按照住建部门规定妥善处置。</w:t>
      </w:r>
    </w:p>
    <w:p>
      <w:pPr>
        <w:pStyle w:val="3"/>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lang w:eastAsia="zh-CN"/>
        </w:rPr>
        <w:t>㈦项目污染物排放总量控制指标：二氧化硫0.17吨每年，氮氧化物0.51吨每年。</w:t>
      </w:r>
    </w:p>
    <w:p>
      <w:pPr>
        <w:numPr>
          <w:ilvl w:val="0"/>
          <w:numId w:val="1"/>
        </w:numPr>
        <w:topLinePunct/>
        <w:spacing w:line="560" w:lineRule="exact"/>
        <w:ind w:firstLine="640" w:firstLineChars="200"/>
        <w:rPr>
          <w:rFonts w:eastAsia="方正仿宋_GBK"/>
          <w:sz w:val="32"/>
          <w:szCs w:val="32"/>
          <w:highlight w:val="none"/>
        </w:rPr>
      </w:pPr>
      <w:bookmarkStart w:id="0" w:name="_GoBack"/>
      <w:bookmarkEnd w:id="0"/>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后，及时报告我局，并按规定自主开展竣工环保验收，收合格后方可正式投入运行</w:t>
      </w:r>
      <w:r>
        <w:rPr>
          <w:rFonts w:hint="eastAsia" w:eastAsia="方正仿宋_GBK"/>
          <w:sz w:val="32"/>
          <w:szCs w:val="32"/>
          <w:highlight w:val="none"/>
        </w:rPr>
        <w:t>。</w:t>
      </w:r>
      <w:r>
        <w:rPr>
          <w:rFonts w:hint="eastAsia" w:eastAsia="方正仿宋_GBK"/>
          <w:sz w:val="32"/>
          <w:szCs w:val="32"/>
          <w:highlight w:val="none"/>
          <w:lang w:eastAsia="zh-CN"/>
        </w:rPr>
        <w:t>项目必须严格按照环境监测计划开展运营期大气监测，确保污染物达标排放。</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5</w:t>
      </w:r>
      <w:r>
        <w:rPr>
          <w:rFonts w:eastAsia="方正仿宋_GBK"/>
          <w:sz w:val="32"/>
          <w:szCs w:val="32"/>
          <w:highlight w:val="none"/>
        </w:rPr>
        <w:t>月</w:t>
      </w:r>
      <w:r>
        <w:rPr>
          <w:rFonts w:hint="eastAsia" w:eastAsia="方正仿宋_GBK"/>
          <w:sz w:val="32"/>
          <w:szCs w:val="32"/>
          <w:highlight w:val="none"/>
          <w:lang w:val="en-US" w:eastAsia="zh-CN"/>
        </w:rPr>
        <w:t>29</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080E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简体">
    <w:altName w:val="方正舒体"/>
    <w:panose1 w:val="00000000000000000000"/>
    <w:charset w:val="86"/>
    <w:family w:val="auto"/>
    <w:pitch w:val="default"/>
    <w:sig w:usb0="00000000" w:usb1="0000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Sim Sun">
    <w:altName w:val="宋体"/>
    <w:panose1 w:val="00000000000000000000"/>
    <w:charset w:val="86"/>
    <w:family w:val="swiss"/>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imesNewRomanPSMT">
    <w:altName w:val="MS Gothic"/>
    <w:panose1 w:val="00000000000000000000"/>
    <w:charset w:val="80"/>
    <w:family w:val="auto"/>
    <w:pitch w:val="default"/>
    <w:sig w:usb0="00000000" w:usb1="00000000" w:usb2="0000001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3</w:t>
    </w:r>
    <w:r>
      <w:rPr>
        <w:rStyle w:val="9"/>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rPr>
    </w:pPr>
    <w:r>
      <w:rPr>
        <w:rStyle w:val="9"/>
        <w:sz w:val="21"/>
      </w:rPr>
      <w:fldChar w:fldCharType="begin"/>
    </w:r>
    <w:r>
      <w:rPr>
        <w:rStyle w:val="9"/>
        <w:sz w:val="21"/>
      </w:rPr>
      <w:instrText xml:space="preserve">PAGE  </w:instrText>
    </w:r>
    <w:r>
      <w:rPr>
        <w:rStyle w:val="9"/>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00"/>
    <w:rsid w:val="00135CA3"/>
    <w:rsid w:val="005D2B03"/>
    <w:rsid w:val="00761D35"/>
    <w:rsid w:val="00A249F3"/>
    <w:rsid w:val="00A5605E"/>
    <w:rsid w:val="00AE3237"/>
    <w:rsid w:val="00BA1D04"/>
    <w:rsid w:val="00D544D1"/>
    <w:rsid w:val="00D659D8"/>
    <w:rsid w:val="00E3677B"/>
    <w:rsid w:val="00E620F0"/>
    <w:rsid w:val="01807422"/>
    <w:rsid w:val="08EA7D8A"/>
    <w:rsid w:val="0C9E10F5"/>
    <w:rsid w:val="0E714E5D"/>
    <w:rsid w:val="14C052D2"/>
    <w:rsid w:val="1BB8161E"/>
    <w:rsid w:val="20790517"/>
    <w:rsid w:val="2607286A"/>
    <w:rsid w:val="26C82928"/>
    <w:rsid w:val="28546A26"/>
    <w:rsid w:val="2A19064E"/>
    <w:rsid w:val="2F545078"/>
    <w:rsid w:val="35A729F3"/>
    <w:rsid w:val="37D73824"/>
    <w:rsid w:val="38AE1DF2"/>
    <w:rsid w:val="454324CA"/>
    <w:rsid w:val="4816460B"/>
    <w:rsid w:val="4E1A3BA0"/>
    <w:rsid w:val="51E53FAB"/>
    <w:rsid w:val="53C42D61"/>
    <w:rsid w:val="5780037C"/>
    <w:rsid w:val="6D941819"/>
    <w:rsid w:val="714F05D9"/>
    <w:rsid w:val="72F27725"/>
    <w:rsid w:val="73007476"/>
    <w:rsid w:val="74801715"/>
    <w:rsid w:val="75612B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460" w:lineRule="exact"/>
      <w:ind w:firstLine="600"/>
    </w:pPr>
    <w:rPr>
      <w:rFonts w:eastAsia="仿宋_GB2312"/>
      <w:sz w:val="28"/>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Body Text First Indent 2"/>
    <w:basedOn w:val="1"/>
    <w:next w:val="1"/>
    <w:unhideWhenUsed/>
    <w:qFormat/>
    <w:uiPriority w:val="99"/>
    <w:pPr>
      <w:spacing w:after="120"/>
      <w:ind w:left="420" w:leftChars="200" w:firstLine="420" w:firstLineChars="200"/>
    </w:pPr>
    <w:rPr>
      <w:sz w:val="21"/>
      <w:szCs w:val="24"/>
    </w:rPr>
  </w:style>
  <w:style w:type="paragraph" w:styleId="7">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locked/>
    <w:uiPriority w:val="0"/>
    <w:rPr>
      <w:rFonts w:ascii="Calibri" w:hAnsi="Calibri" w:eastAsia="宋体" w:cs="Times New Roman"/>
      <w:kern w:val="2"/>
      <w:sz w:val="22"/>
      <w:szCs w:val="22"/>
      <w:lang w:val="en-US" w:eastAsia="zh-CN" w:bidi="ar-SA"/>
    </w:rPr>
  </w:style>
  <w:style w:type="character" w:styleId="10">
    <w:name w:val="Hyperlink"/>
    <w:basedOn w:val="8"/>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8"/>
    <w:link w:val="2"/>
    <w:qFormat/>
    <w:locked/>
    <w:uiPriority w:val="99"/>
    <w:rPr>
      <w:rFonts w:ascii="Arial" w:hAnsi="Arial" w:eastAsia="黑体" w:cs="宋体"/>
      <w:b/>
      <w:bCs/>
      <w:kern w:val="2"/>
      <w:sz w:val="32"/>
      <w:szCs w:val="32"/>
      <w:lang w:val="en-US" w:eastAsia="zh-CN" w:bidi="ar-SA"/>
    </w:rPr>
  </w:style>
  <w:style w:type="character" w:customStyle="1" w:styleId="13">
    <w:name w:val="页脚 Char"/>
    <w:basedOn w:val="8"/>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8"/>
    <w:link w:val="7"/>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8"/>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paragraph" w:customStyle="1" w:styleId="17">
    <w:name w:val="Default"/>
    <w:unhideWhenUsed/>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dcterms:modified xsi:type="dcterms:W3CDTF">2019-05-30T08:54:24Z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