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bookmarkStart w:id="0" w:name="_GoBack"/>
      <w:bookmarkEnd w:id="0"/>
    </w:p>
    <w:p>
      <w:pPr>
        <w:rPr>
          <w:rFonts w:hint="default" w:ascii="Times New Roman" w:hAnsi="Times New Roman" w:cs="Times New Roman"/>
          <w:color w:val="FF0000"/>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eastAsia"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〔2019〕</w:t>
      </w:r>
      <w:r>
        <w:rPr>
          <w:rFonts w:hint="eastAsia" w:eastAsia="方正仿宋_GBK" w:cs="Times New Roman"/>
          <w:sz w:val="32"/>
          <w:szCs w:val="32"/>
          <w:lang w:val="en-US" w:eastAsia="zh-CN"/>
        </w:rPr>
        <w:t>24</w:t>
      </w:r>
      <w:r>
        <w:rPr>
          <w:rFonts w:hint="default" w:ascii="Times New Roman" w:hAnsi="Times New Roman" w:eastAsia="方正仿宋_GBK" w:cs="Times New Roman"/>
          <w:sz w:val="32"/>
          <w:szCs w:val="32"/>
        </w:rPr>
        <w:t>号</w:t>
      </w:r>
    </w:p>
    <w:p>
      <w:pPr>
        <w:jc w:val="center"/>
        <w:rPr>
          <w:rFonts w:hint="eastAsia" w:cs="Times New Roman"/>
          <w:color w:val="FF0000"/>
          <w:sz w:val="24"/>
          <w:lang w:val="en-US" w:eastAsia="zh-CN"/>
        </w:rPr>
      </w:pPr>
      <w:r>
        <w:rPr>
          <w:rFonts w:hint="eastAsia" w:cs="Times New Roman"/>
          <w:color w:val="FF0000"/>
          <w:sz w:val="24"/>
          <w:lang w:val="en-US" w:eastAsia="zh-CN"/>
        </w:rPr>
        <w:t>_____________________________________________________________________</w:t>
      </w:r>
    </w:p>
    <w:p>
      <w:pPr>
        <w:spacing w:line="600" w:lineRule="exact"/>
        <w:jc w:val="center"/>
        <w:rPr>
          <w:rFonts w:hint="eastAsia" w:ascii="方正小标宋简体" w:eastAsia="方正小标宋简体"/>
          <w:spacing w:val="-4"/>
          <w:sz w:val="44"/>
          <w:szCs w:val="44"/>
          <w:highlight w:val="none"/>
          <w:lang w:eastAsia="zh-CN"/>
        </w:rPr>
      </w:pPr>
    </w:p>
    <w:p>
      <w:pPr>
        <w:spacing w:line="600" w:lineRule="exact"/>
        <w:jc w:val="center"/>
        <w:rPr>
          <w:rFonts w:hint="eastAsia" w:ascii="方正小标宋简体" w:eastAsia="方正小标宋简体"/>
          <w:spacing w:val="-4"/>
          <w:sz w:val="44"/>
          <w:szCs w:val="44"/>
          <w:highlight w:val="none"/>
          <w:lang w:eastAsia="zh-CN"/>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 xml:space="preserve"> 盈江县昌祥新城乡杏坝村花岗石材加工厂建设项目</w:t>
      </w:r>
      <w:r>
        <w:rPr>
          <w:rFonts w:hint="eastAsia" w:ascii="方正小标宋简体" w:eastAsia="方正小标宋简体"/>
          <w:spacing w:val="-4"/>
          <w:sz w:val="44"/>
          <w:szCs w:val="44"/>
          <w:highlight w:val="none"/>
        </w:rPr>
        <w:t>环境影响报告表的批复</w:t>
      </w:r>
    </w:p>
    <w:p>
      <w:pPr>
        <w:spacing w:line="560" w:lineRule="exact"/>
        <w:rPr>
          <w:rFonts w:hint="eastAsia" w:eastAsia="方正仿宋_GBK"/>
          <w:sz w:val="32"/>
          <w:szCs w:val="32"/>
          <w:highlight w:val="none"/>
          <w:lang w:val="en-US" w:eastAsia="zh-CN"/>
        </w:rPr>
      </w:pPr>
    </w:p>
    <w:p>
      <w:pPr>
        <w:spacing w:line="56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盈江昌祥石材有限责任公司</w:t>
      </w:r>
      <w:r>
        <w:rPr>
          <w:rFonts w:hint="eastAsia" w:ascii="方正仿宋_GBK" w:hAnsi="方正仿宋_GBK" w:eastAsia="方正仿宋_GBK" w:cs="方正仿宋_GBK"/>
          <w:sz w:val="32"/>
          <w:szCs w:val="32"/>
          <w:highlight w:val="none"/>
        </w:rPr>
        <w:t>:</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你公司报批的《</w:t>
      </w:r>
      <w:r>
        <w:rPr>
          <w:rFonts w:hint="eastAsia" w:ascii="方正仿宋_GBK" w:hAnsi="方正仿宋_GBK" w:eastAsia="方正仿宋_GBK" w:cs="方正仿宋_GBK"/>
          <w:sz w:val="32"/>
          <w:szCs w:val="32"/>
          <w:highlight w:val="none"/>
          <w:lang w:eastAsia="zh-CN"/>
        </w:rPr>
        <w:t>盈江县昌祥新城乡杏坝村花岗石材加工厂建设项目</w:t>
      </w:r>
      <w:r>
        <w:rPr>
          <w:rFonts w:hint="eastAsia" w:ascii="方正仿宋_GBK" w:hAnsi="方正仿宋_GBK" w:eastAsia="方正仿宋_GBK" w:cs="方正仿宋_GBK"/>
          <w:sz w:val="32"/>
          <w:szCs w:val="32"/>
          <w:highlight w:val="none"/>
        </w:rPr>
        <w:t>环境影响报告表》已收悉，经研究，现批复如下：</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一、项目基本情况</w:t>
      </w:r>
    </w:p>
    <w:p>
      <w:pPr>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项目位于</w:t>
      </w:r>
      <w:r>
        <w:rPr>
          <w:rFonts w:hint="eastAsia" w:ascii="方正仿宋_GBK" w:hAnsi="方正仿宋_GBK" w:eastAsia="方正仿宋_GBK" w:cs="方正仿宋_GBK"/>
          <w:sz w:val="32"/>
          <w:szCs w:val="32"/>
          <w:highlight w:val="none"/>
          <w:lang w:val="en-US" w:eastAsia="zh-CN"/>
        </w:rPr>
        <w:t>盈江县新城乡杏坝村</w:t>
      </w:r>
      <w:r>
        <w:rPr>
          <w:rFonts w:hint="eastAsia" w:ascii="方正仿宋_GBK" w:hAnsi="方正仿宋_GBK" w:eastAsia="方正仿宋_GBK" w:cs="方正仿宋_GBK"/>
          <w:sz w:val="32"/>
          <w:szCs w:val="32"/>
          <w:highlight w:val="none"/>
          <w:lang w:eastAsia="zh-CN"/>
        </w:rPr>
        <w:t>，总占地面积</w:t>
      </w:r>
      <w:r>
        <w:rPr>
          <w:rFonts w:hint="eastAsia" w:ascii="方正仿宋_GBK" w:hAnsi="方正仿宋_GBK" w:eastAsia="方正仿宋_GBK" w:cs="方正仿宋_GBK"/>
          <w:sz w:val="32"/>
          <w:szCs w:val="32"/>
          <w:highlight w:val="none"/>
          <w:lang w:val="en-US" w:eastAsia="zh-CN"/>
        </w:rPr>
        <w:t>18666.76</w:t>
      </w:r>
      <w:r>
        <w:rPr>
          <w:rFonts w:hint="eastAsia" w:ascii="方正仿宋_GBK" w:hAnsi="方正仿宋_GBK" w:eastAsia="方正仿宋_GBK" w:cs="方正仿宋_GBK"/>
          <w:sz w:val="32"/>
          <w:szCs w:val="32"/>
          <w:highlight w:val="none"/>
          <w:lang w:eastAsia="zh-CN"/>
        </w:rPr>
        <w:t>平方米，总建筑面积</w:t>
      </w:r>
      <w:r>
        <w:rPr>
          <w:rFonts w:hint="eastAsia" w:ascii="方正仿宋_GBK" w:hAnsi="方正仿宋_GBK" w:eastAsia="方正仿宋_GBK" w:cs="方正仿宋_GBK"/>
          <w:sz w:val="32"/>
          <w:szCs w:val="32"/>
          <w:highlight w:val="none"/>
          <w:lang w:val="en-US" w:eastAsia="zh-CN"/>
        </w:rPr>
        <w:t>约</w:t>
      </w:r>
      <w:r>
        <w:rPr>
          <w:rFonts w:hint="eastAsia" w:ascii="方正仿宋_GBK" w:hAnsi="方正仿宋_GBK" w:eastAsia="方正仿宋_GBK" w:cs="方正仿宋_GBK"/>
          <w:sz w:val="32"/>
          <w:szCs w:val="32"/>
          <w:highlight w:val="none"/>
          <w:lang w:eastAsia="zh-CN"/>
        </w:rPr>
        <w:t>为</w:t>
      </w:r>
      <w:r>
        <w:rPr>
          <w:rFonts w:hint="eastAsia" w:ascii="方正仿宋_GBK" w:hAnsi="方正仿宋_GBK" w:eastAsia="方正仿宋_GBK" w:cs="方正仿宋_GBK"/>
          <w:sz w:val="32"/>
          <w:szCs w:val="32"/>
          <w:highlight w:val="none"/>
          <w:lang w:val="en-US" w:eastAsia="zh-CN"/>
        </w:rPr>
        <w:t>7840</w:t>
      </w:r>
      <w:r>
        <w:rPr>
          <w:rFonts w:hint="eastAsia" w:ascii="方正仿宋_GBK" w:hAnsi="方正仿宋_GBK" w:eastAsia="方正仿宋_GBK" w:cs="方正仿宋_GBK"/>
          <w:sz w:val="32"/>
          <w:szCs w:val="32"/>
          <w:highlight w:val="none"/>
          <w:lang w:eastAsia="zh-CN"/>
        </w:rPr>
        <w:t>平方米，建设</w:t>
      </w:r>
      <w:r>
        <w:rPr>
          <w:rFonts w:hint="eastAsia" w:ascii="方正仿宋_GBK" w:hAnsi="方正仿宋_GBK" w:eastAsia="方正仿宋_GBK" w:cs="方正仿宋_GBK"/>
          <w:sz w:val="32"/>
          <w:szCs w:val="32"/>
          <w:highlight w:val="none"/>
          <w:lang w:val="en-US" w:eastAsia="zh-CN"/>
        </w:rPr>
        <w:t>年产花岗石50万平方米生产线一条，</w:t>
      </w:r>
      <w:r>
        <w:rPr>
          <w:rFonts w:hint="eastAsia" w:ascii="方正仿宋_GBK" w:hAnsi="方正仿宋_GBK" w:eastAsia="方正仿宋_GBK" w:cs="方正仿宋_GBK"/>
          <w:sz w:val="32"/>
          <w:szCs w:val="32"/>
          <w:highlight w:val="none"/>
          <w:lang w:eastAsia="zh-CN"/>
        </w:rPr>
        <w:t>主要建设</w:t>
      </w:r>
      <w:r>
        <w:rPr>
          <w:rFonts w:hint="eastAsia" w:ascii="方正仿宋_GBK" w:hAnsi="方正仿宋_GBK" w:eastAsia="方正仿宋_GBK" w:cs="方正仿宋_GBK"/>
          <w:sz w:val="32"/>
          <w:szCs w:val="32"/>
          <w:highlight w:val="none"/>
          <w:lang w:val="en-US" w:eastAsia="zh-CN"/>
        </w:rPr>
        <w:t>内容包括荒料堆放区、大切车间、磨光和喷砂车间、切边和成品车间、办公生活区等，配套建设供电、给排水及环保工程等。项目总投资3210.00万元，其中环保投资25.7万元，占工程总投资的0.8%。</w:t>
      </w:r>
    </w:p>
    <w:p>
      <w:pPr>
        <w:overflowPunct w:val="0"/>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w:t>
      </w:r>
      <w:r>
        <w:rPr>
          <w:rFonts w:hint="eastAsia" w:eastAsia="方正仿宋_GBK"/>
          <w:sz w:val="32"/>
          <w:szCs w:val="32"/>
          <w:highlight w:val="none"/>
          <w:lang w:eastAsia="zh-CN"/>
        </w:rPr>
        <w:t>云南省生态保护红线、</w:t>
      </w:r>
      <w:r>
        <w:rPr>
          <w:rFonts w:hint="eastAsia" w:eastAsia="方正仿宋_GBK"/>
          <w:sz w:val="32"/>
          <w:szCs w:val="32"/>
          <w:highlight w:val="none"/>
        </w:rPr>
        <w:t>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ascii="方正仿宋_GBK" w:hAnsi="方正仿宋_GBK" w:eastAsia="方正仿宋_GBK" w:cs="方正仿宋_GBK"/>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hint="eastAsia" w:ascii="方正仿宋_GBK" w:hAnsi="方正仿宋_GBK" w:eastAsia="方正仿宋_GBK" w:cs="方正仿宋_GBK"/>
          <w:sz w:val="32"/>
          <w:szCs w:val="32"/>
          <w:highlight w:val="none"/>
        </w:rPr>
        <w:t>我局同意该项目按照环境影报告表中的性质、地点、采用的环境保护对策、措施</w:t>
      </w:r>
      <w:r>
        <w:rPr>
          <w:rFonts w:hint="eastAsia" w:ascii="方正仿宋_GBK" w:hAnsi="方正仿宋_GBK" w:eastAsia="方正仿宋_GBK" w:cs="方正仿宋_GBK"/>
          <w:sz w:val="32"/>
          <w:szCs w:val="32"/>
          <w:highlight w:val="none"/>
          <w:lang w:eastAsia="zh-CN"/>
        </w:rPr>
        <w:t>进行建设</w:t>
      </w:r>
      <w:r>
        <w:rPr>
          <w:rFonts w:hint="eastAsia" w:ascii="方正仿宋_GBK" w:hAnsi="方正仿宋_GBK" w:eastAsia="方正仿宋_GBK" w:cs="方正仿宋_GBK"/>
          <w:sz w:val="32"/>
          <w:szCs w:val="32"/>
          <w:highlight w:val="none"/>
        </w:rPr>
        <w:t>。</w:t>
      </w:r>
    </w:p>
    <w:p>
      <w:pPr>
        <w:topLinePunct/>
        <w:spacing w:line="560" w:lineRule="exact"/>
        <w:ind w:firstLine="632"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pacing w:val="-2"/>
          <w:sz w:val="32"/>
          <w:szCs w:val="32"/>
          <w:highlight w:val="none"/>
        </w:rPr>
        <w:t>二、项目</w:t>
      </w:r>
      <w:r>
        <w:rPr>
          <w:rFonts w:hint="eastAsia" w:ascii="方正仿宋_GBK" w:hAnsi="方正仿宋_GBK" w:eastAsia="方正仿宋_GBK" w:cs="方正仿宋_GBK"/>
          <w:spacing w:val="-2"/>
          <w:sz w:val="32"/>
          <w:szCs w:val="32"/>
          <w:highlight w:val="none"/>
          <w:lang w:eastAsia="zh-CN"/>
        </w:rPr>
        <w:t>建设和运营</w:t>
      </w:r>
      <w:r>
        <w:rPr>
          <w:rFonts w:hint="eastAsia" w:ascii="方正仿宋_GBK" w:hAnsi="方正仿宋_GBK" w:eastAsia="方正仿宋_GBK" w:cs="方正仿宋_GBK"/>
          <w:spacing w:val="-2"/>
          <w:sz w:val="32"/>
          <w:szCs w:val="32"/>
          <w:highlight w:val="none"/>
        </w:rPr>
        <w:t>过程中应重点做好的工作</w:t>
      </w:r>
    </w:p>
    <w:p>
      <w:pPr>
        <w:topLinePunct/>
        <w:spacing w:line="560" w:lineRule="exact"/>
        <w:ind w:firstLine="640"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z w:val="32"/>
          <w:szCs w:val="32"/>
          <w:highlight w:val="none"/>
        </w:rPr>
        <w:t>㈠《</w:t>
      </w:r>
      <w:r>
        <w:rPr>
          <w:rFonts w:hint="eastAsia" w:ascii="方正仿宋_GBK" w:hAnsi="方正仿宋_GBK" w:eastAsia="方正仿宋_GBK" w:cs="方正仿宋_GBK"/>
          <w:sz w:val="32"/>
          <w:szCs w:val="32"/>
          <w:highlight w:val="none"/>
          <w:lang w:eastAsia="zh-CN"/>
        </w:rPr>
        <w:t>盈江县昌祥新城乡杏坝村花岗石材加工厂建设项目</w:t>
      </w:r>
      <w:r>
        <w:rPr>
          <w:rFonts w:hint="eastAsia" w:ascii="方正仿宋_GBK" w:hAnsi="方正仿宋_GBK" w:eastAsia="方正仿宋_GBK" w:cs="方正仿宋_GBK"/>
          <w:sz w:val="32"/>
          <w:szCs w:val="32"/>
          <w:highlight w:val="none"/>
        </w:rPr>
        <w:t>环境影响报告表》</w:t>
      </w:r>
      <w:r>
        <w:rPr>
          <w:rFonts w:hint="eastAsia" w:ascii="方正仿宋_GBK" w:hAnsi="方正仿宋_GBK" w:eastAsia="方正仿宋_GBK" w:cs="方正仿宋_GBK"/>
          <w:spacing w:val="-2"/>
          <w:sz w:val="32"/>
          <w:szCs w:val="32"/>
          <w:highlight w:val="none"/>
        </w:rPr>
        <w:t>作为该项目</w:t>
      </w:r>
      <w:r>
        <w:rPr>
          <w:rFonts w:hint="eastAsia" w:ascii="方正仿宋_GBK" w:hAnsi="方正仿宋_GBK" w:eastAsia="方正仿宋_GBK" w:cs="方正仿宋_GBK"/>
          <w:spacing w:val="-2"/>
          <w:sz w:val="32"/>
          <w:szCs w:val="32"/>
          <w:highlight w:val="none"/>
          <w:lang w:eastAsia="zh-CN"/>
        </w:rPr>
        <w:t>建设和运营期</w:t>
      </w:r>
      <w:r>
        <w:rPr>
          <w:rFonts w:hint="eastAsia" w:ascii="方正仿宋_GBK" w:hAnsi="方正仿宋_GBK" w:eastAsia="方正仿宋_GBK" w:cs="方正仿宋_GBK"/>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㈡</w:t>
      </w:r>
      <w:r>
        <w:rPr>
          <w:rFonts w:hint="eastAsia" w:ascii="方正仿宋_GBK" w:hAnsi="方正仿宋_GBK" w:eastAsia="方正仿宋_GBK" w:cs="方正仿宋_GBK"/>
          <w:bCs/>
          <w:sz w:val="32"/>
          <w:szCs w:val="32"/>
          <w:highlight w:val="none"/>
          <w:lang w:eastAsia="zh-CN"/>
        </w:rPr>
        <w:t>施工期必须加强管理。场地平整过程中</w:t>
      </w:r>
      <w:r>
        <w:rPr>
          <w:rFonts w:hint="eastAsia" w:eastAsia="方正仿宋_GBK"/>
          <w:bCs/>
          <w:sz w:val="32"/>
          <w:szCs w:val="32"/>
          <w:highlight w:val="none"/>
          <w:lang w:eastAsia="zh-CN"/>
        </w:rPr>
        <w:t>采取不定期洒水降尘减少扬尘产生；施工场地设置临时沉淀池，施工</w:t>
      </w:r>
      <w:r>
        <w:rPr>
          <w:rFonts w:hint="eastAsia" w:ascii="方正仿宋_GBK" w:hAnsi="方正仿宋_GBK" w:eastAsia="方正仿宋_GBK" w:cs="方正仿宋_GBK"/>
          <w:bCs/>
          <w:sz w:val="32"/>
          <w:szCs w:val="32"/>
          <w:highlight w:val="none"/>
          <w:lang w:eastAsia="zh-CN"/>
        </w:rPr>
        <w:t>废水经沉淀池处理后回用，严禁外排；合理安排施工时间，</w:t>
      </w:r>
      <w:r>
        <w:rPr>
          <w:rFonts w:hint="eastAsia" w:ascii="方正仿宋_GBK" w:hAnsi="方正仿宋_GBK" w:eastAsia="方正仿宋_GBK" w:cs="方正仿宋_GBK"/>
          <w:bCs/>
          <w:sz w:val="32"/>
          <w:szCs w:val="32"/>
          <w:highlight w:val="none"/>
        </w:rPr>
        <w:t>施工场界噪声执行《建筑施工场界环境噪声排放标准》（GB12523-2011）</w:t>
      </w:r>
      <w:r>
        <w:rPr>
          <w:rFonts w:hint="eastAsia" w:ascii="方正仿宋_GBK" w:hAnsi="方正仿宋_GBK" w:eastAsia="方正仿宋_GBK" w:cs="方正仿宋_GBK"/>
          <w:bCs/>
          <w:sz w:val="32"/>
          <w:szCs w:val="32"/>
          <w:highlight w:val="none"/>
          <w:lang w:eastAsia="zh-CN"/>
        </w:rPr>
        <w:t>；施工产生的建筑垃圾必须妥善堆放，可回收部分回收利用，不可回收部分</w:t>
      </w:r>
      <w:r>
        <w:rPr>
          <w:rFonts w:hint="eastAsia" w:ascii="方正仿宋_GBK" w:hAnsi="方正仿宋_GBK" w:eastAsia="方正仿宋_GBK" w:cs="方正仿宋_GBK"/>
          <w:bCs/>
          <w:sz w:val="32"/>
          <w:szCs w:val="32"/>
          <w:highlight w:val="none"/>
        </w:rPr>
        <w:t>及时清运至</w:t>
      </w:r>
      <w:r>
        <w:rPr>
          <w:rFonts w:hint="eastAsia" w:ascii="方正仿宋_GBK" w:hAnsi="方正仿宋_GBK" w:eastAsia="方正仿宋_GBK" w:cs="方正仿宋_GBK"/>
          <w:bCs/>
          <w:sz w:val="32"/>
          <w:szCs w:val="32"/>
          <w:highlight w:val="none"/>
          <w:lang w:eastAsia="zh-CN"/>
        </w:rPr>
        <w:t>新城乡指定地点堆放，严禁随意丢弃；</w:t>
      </w:r>
      <w:r>
        <w:rPr>
          <w:rFonts w:hint="eastAsia" w:ascii="方正仿宋_GBK" w:hAnsi="方正仿宋_GBK" w:eastAsia="方正仿宋_GBK" w:cs="方正仿宋_GBK"/>
          <w:bCs/>
          <w:sz w:val="32"/>
          <w:szCs w:val="32"/>
          <w:highlight w:val="none"/>
        </w:rPr>
        <w:t>加强运输车辆管理，</w:t>
      </w:r>
      <w:r>
        <w:rPr>
          <w:rFonts w:hint="eastAsia" w:ascii="方正仿宋_GBK" w:hAnsi="方正仿宋_GBK" w:eastAsia="方正仿宋_GBK" w:cs="方正仿宋_GBK"/>
          <w:bCs/>
          <w:sz w:val="32"/>
          <w:szCs w:val="32"/>
          <w:highlight w:val="none"/>
          <w:lang w:eastAsia="zh-CN"/>
        </w:rPr>
        <w:t>物料运输必须加盖篷布，防止遗撒，车辆经过敏感点时必须减速慢行</w:t>
      </w:r>
      <w:r>
        <w:rPr>
          <w:rFonts w:hint="eastAsia" w:ascii="方正仿宋_GBK" w:hAnsi="方正仿宋_GBK" w:eastAsia="方正仿宋_GBK" w:cs="方正仿宋_GBK"/>
          <w:bCs/>
          <w:sz w:val="32"/>
          <w:szCs w:val="32"/>
          <w:highlight w:val="none"/>
        </w:rPr>
        <w:t>。</w:t>
      </w:r>
    </w:p>
    <w:p>
      <w:pPr>
        <w:pStyle w:val="4"/>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㈢</w:t>
      </w:r>
      <w:r>
        <w:rPr>
          <w:rFonts w:hint="eastAsia" w:ascii="方正仿宋_GBK" w:hAnsi="方正仿宋_GBK" w:eastAsia="方正仿宋_GBK" w:cs="方正仿宋_GBK"/>
          <w:sz w:val="32"/>
          <w:szCs w:val="32"/>
          <w:highlight w:val="none"/>
          <w:lang w:eastAsia="zh-CN"/>
        </w:rPr>
        <w:t>项目必须实施雨污分流，配套建设三级沉淀池、化粪池、隔油池、污水收集池、雨水收集池等，并采取相应的防雨措施，避免雨水进入。项目区雨水经雨水沟收集后排入雨水收集池，经沉淀后外排；生活废水经隔油池、化粪池处理后排入收集池，用于厂区洒水或周边林地浇灌；生产废水经三级沉淀池处理后回用，严禁外排。</w:t>
      </w:r>
    </w:p>
    <w:p>
      <w:pPr>
        <w:pStyle w:val="4"/>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㈣</w:t>
      </w:r>
      <w:r>
        <w:rPr>
          <w:rFonts w:hint="eastAsia" w:ascii="方正仿宋_GBK" w:hAnsi="方正仿宋_GBK" w:eastAsia="方正仿宋_GBK" w:cs="方正仿宋_GBK"/>
          <w:sz w:val="32"/>
          <w:szCs w:val="32"/>
          <w:highlight w:val="none"/>
          <w:lang w:eastAsia="zh-CN"/>
        </w:rPr>
        <w:t>运营期加强大气污染防治，项目车间</w:t>
      </w:r>
      <w:r>
        <w:rPr>
          <w:rFonts w:hint="eastAsia" w:ascii="方正仿宋_GBK" w:hAnsi="方正仿宋_GBK" w:eastAsia="方正仿宋_GBK" w:cs="方正仿宋_GBK"/>
          <w:sz w:val="32"/>
          <w:szCs w:val="32"/>
          <w:highlight w:val="none"/>
          <w:lang w:val="en-US" w:eastAsia="zh-CN"/>
        </w:rPr>
        <w:t>切割、磨光、精切等工序采用湿</w:t>
      </w:r>
      <w:r>
        <w:rPr>
          <w:rFonts w:hint="eastAsia" w:ascii="方正仿宋_GBK" w:hAnsi="方正仿宋_GBK" w:eastAsia="方正仿宋_GBK" w:cs="方正仿宋_GBK"/>
          <w:sz w:val="32"/>
          <w:szCs w:val="32"/>
          <w:highlight w:val="none"/>
          <w:lang w:eastAsia="zh-CN"/>
        </w:rPr>
        <w:t>式</w:t>
      </w:r>
      <w:r>
        <w:rPr>
          <w:rFonts w:hint="eastAsia" w:ascii="方正仿宋_GBK" w:hAnsi="方正仿宋_GBK" w:eastAsia="方正仿宋_GBK" w:cs="方正仿宋_GBK"/>
          <w:sz w:val="32"/>
          <w:szCs w:val="32"/>
          <w:highlight w:val="none"/>
          <w:lang w:val="en-US" w:eastAsia="zh-CN"/>
        </w:rPr>
        <w:t>作业，</w:t>
      </w:r>
      <w:r>
        <w:rPr>
          <w:rFonts w:hint="eastAsia" w:ascii="方正仿宋_GBK" w:hAnsi="方正仿宋_GBK" w:eastAsia="方正仿宋_GBK" w:cs="方正仿宋_GBK"/>
          <w:sz w:val="32"/>
          <w:szCs w:val="32"/>
          <w:highlight w:val="none"/>
          <w:lang w:eastAsia="zh-CN"/>
        </w:rPr>
        <w:t>减少粉尘的产生，项目区</w:t>
      </w:r>
      <w:r>
        <w:rPr>
          <w:rFonts w:hint="eastAsia" w:ascii="方正仿宋_GBK" w:hAnsi="方正仿宋_GBK" w:eastAsia="方正仿宋_GBK" w:cs="方正仿宋_GBK"/>
          <w:sz w:val="32"/>
          <w:szCs w:val="32"/>
          <w:highlight w:val="none"/>
          <w:lang w:val="en-US" w:eastAsia="zh-CN"/>
        </w:rPr>
        <w:t>无组织粉尘执行</w:t>
      </w:r>
      <w:r>
        <w:rPr>
          <w:rFonts w:hint="eastAsia" w:ascii="方正仿宋_GBK" w:hAnsi="方正仿宋_GBK" w:eastAsia="方正仿宋_GBK" w:cs="方正仿宋_GBK"/>
          <w:sz w:val="32"/>
          <w:szCs w:val="32"/>
          <w:highlight w:val="none"/>
          <w:lang w:eastAsia="zh-CN"/>
        </w:rPr>
        <w:t>《大气污染物综合排放标准》（GB16297-1996）二级标准；对成品堆放区及进厂道路进行硬化，采取定期清扫、洒水降尘等方式减少扬尘产生；</w:t>
      </w:r>
      <w:r>
        <w:rPr>
          <w:rFonts w:hint="eastAsia" w:eastAsia="方正仿宋_GBK"/>
          <w:sz w:val="32"/>
          <w:szCs w:val="32"/>
          <w:highlight w:val="none"/>
          <w:lang w:val="en-US" w:eastAsia="zh-CN"/>
        </w:rPr>
        <w:t>食堂必须安装油烟净化设施，食堂油烟经处理后排放。</w:t>
      </w:r>
    </w:p>
    <w:p>
      <w:pPr>
        <w:pStyle w:val="4"/>
        <w:spacing w:line="56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sz w:val="32"/>
          <w:szCs w:val="32"/>
          <w:highlight w:val="none"/>
        </w:rPr>
        <w:t>㈤</w:t>
      </w:r>
      <w:r>
        <w:rPr>
          <w:rFonts w:hint="eastAsia" w:ascii="方正仿宋_GBK" w:hAnsi="方正仿宋_GBK" w:eastAsia="方正仿宋_GBK" w:cs="方正仿宋_GBK"/>
          <w:sz w:val="32"/>
          <w:szCs w:val="32"/>
          <w:highlight w:val="none"/>
          <w:lang w:eastAsia="zh-CN"/>
        </w:rPr>
        <w:t>运营期加强噪声污染防治，优先采用低噪声设备，合理布置，对高噪声设备进行基础减震，减少噪声影响</w:t>
      </w:r>
      <w:r>
        <w:rPr>
          <w:rFonts w:hint="eastAsia" w:ascii="方正仿宋_GBK" w:hAnsi="方正仿宋_GBK" w:eastAsia="方正仿宋_GBK" w:cs="方正仿宋_GBK"/>
          <w:bCs/>
          <w:sz w:val="32"/>
          <w:szCs w:val="32"/>
          <w:highlight w:val="none"/>
          <w:lang w:eastAsia="zh-CN"/>
        </w:rPr>
        <w:t>，项目运营期噪声执行《工业企业厂界环境噪声排放标准》（GB12348-2008）2类标准；加强对运输车辆管理，途经敏感点时必须限速禁鸣</w:t>
      </w:r>
      <w:r>
        <w:rPr>
          <w:rFonts w:hint="eastAsia" w:ascii="方正仿宋_GBK" w:hAnsi="方正仿宋_GBK" w:eastAsia="方正仿宋_GBK" w:cs="方正仿宋_GBK"/>
          <w:sz w:val="32"/>
          <w:szCs w:val="32"/>
          <w:highlight w:val="none"/>
          <w:lang w:eastAsia="zh-CN"/>
        </w:rPr>
        <w:t>。</w:t>
      </w:r>
    </w:p>
    <w:p>
      <w:pPr>
        <w:pStyle w:val="4"/>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㈥</w:t>
      </w:r>
      <w:r>
        <w:rPr>
          <w:rFonts w:hint="eastAsia" w:ascii="方正仿宋_GBK" w:hAnsi="方正仿宋_GBK" w:eastAsia="方正仿宋_GBK" w:cs="方正仿宋_GBK"/>
          <w:sz w:val="32"/>
          <w:szCs w:val="32"/>
          <w:highlight w:val="none"/>
          <w:lang w:eastAsia="zh-CN"/>
        </w:rPr>
        <w:t>加强固废管理，设置防雨、防渗的污泥暂存间，溢流废水必须排入沉淀池，生产过程中产生的边角废料及沉淀池污泥集中收集后外售，严禁随意堆放、丢弃；生活垃圾集中收集后，清运至当地垃圾收集点，交环卫部门处置；定期委托周边农户清掏化粪池污泥，用作农肥。</w:t>
      </w:r>
    </w:p>
    <w:p>
      <w:pPr>
        <w:pStyle w:val="4"/>
        <w:spacing w:line="56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sz w:val="32"/>
          <w:szCs w:val="32"/>
          <w:highlight w:val="none"/>
          <w:lang w:eastAsia="zh-CN"/>
        </w:rPr>
        <w:t>㈦</w:t>
      </w:r>
      <w:r>
        <w:rPr>
          <w:rFonts w:hint="eastAsia" w:ascii="方正仿宋_GBK" w:hAnsi="方正仿宋_GBK" w:eastAsia="方正仿宋_GBK" w:cs="方正仿宋_GBK"/>
          <w:bCs/>
          <w:sz w:val="32"/>
          <w:szCs w:val="32"/>
          <w:highlight w:val="none"/>
          <w:lang w:val="en-US" w:eastAsia="zh-CN"/>
        </w:rPr>
        <w:t>项目运营期必须加强环境风险防范，严格按照GB18597-2001《危险废物贮存污染控制标准》要求，建设规范的危险废物暂存间暂存产生的废机油，并委托有资质的单位清运处置，建立危险废物转移台账，执行转移联单制度；建设单位必须按照《突发环境事件应急预案管理办法》（部令第34号），编制突发环境应急预案，报生态环境主管部门备案。</w:t>
      </w:r>
    </w:p>
    <w:p>
      <w:pPr>
        <w:pStyle w:val="4"/>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㈧本项目不设污染物排放总量控制指标。</w:t>
      </w:r>
    </w:p>
    <w:p>
      <w:pPr>
        <w:numPr>
          <w:ilvl w:val="0"/>
          <w:numId w:val="1"/>
        </w:num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加强管理，健全机构，严格执行环保“三同时”制度，积极配合环境保护行政主管部门的环境监察工作。项目</w:t>
      </w:r>
      <w:r>
        <w:rPr>
          <w:rFonts w:hint="eastAsia" w:ascii="方正仿宋_GBK" w:hAnsi="方正仿宋_GBK" w:eastAsia="方正仿宋_GBK" w:cs="方正仿宋_GBK"/>
          <w:sz w:val="32"/>
          <w:szCs w:val="32"/>
          <w:highlight w:val="none"/>
          <w:lang w:eastAsia="zh-CN"/>
        </w:rPr>
        <w:t>建设</w:t>
      </w:r>
      <w:r>
        <w:rPr>
          <w:rFonts w:hint="eastAsia" w:ascii="方正仿宋_GBK" w:hAnsi="方正仿宋_GBK" w:eastAsia="方正仿宋_GBK" w:cs="方正仿宋_GBK"/>
          <w:sz w:val="32"/>
          <w:szCs w:val="32"/>
          <w:highlight w:val="none"/>
        </w:rPr>
        <w:t>完成</w:t>
      </w:r>
      <w:r>
        <w:rPr>
          <w:rFonts w:hint="eastAsia" w:ascii="方正仿宋_GBK" w:hAnsi="方正仿宋_GBK" w:eastAsia="方正仿宋_GBK" w:cs="方正仿宋_GBK"/>
          <w:sz w:val="32"/>
          <w:szCs w:val="32"/>
          <w:highlight w:val="none"/>
          <w:lang w:eastAsia="zh-CN"/>
        </w:rPr>
        <w:t>后，及时报告我局，并按规定自主开展竣工环保验收，验收合格后方可正式投入运行</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项目必须严格按照环境监测计划开展运营期环境监测，确保污染物达标排放。</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eastAsia="zh-CN"/>
        </w:rPr>
        <w:t>德宏州生态环境局盈江分局</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201</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27</w:t>
      </w:r>
      <w:r>
        <w:rPr>
          <w:rFonts w:hint="eastAsia" w:ascii="方正仿宋_GBK" w:hAnsi="方正仿宋_GBK" w:eastAsia="方正仿宋_GBK" w:cs="方正仿宋_GBK"/>
          <w:sz w:val="32"/>
          <w:szCs w:val="32"/>
          <w:highlight w:val="none"/>
        </w:rPr>
        <w:t>日</w:t>
      </w:r>
    </w:p>
    <w:p>
      <w:pPr>
        <w:spacing w:line="540" w:lineRule="exact"/>
        <w:rPr>
          <w:rFonts w:hint="eastAsia" w:ascii="方正仿宋_GBK" w:hAnsi="方正仿宋_GBK" w:eastAsia="方正仿宋_GBK" w:cs="方正仿宋_GBK"/>
          <w:sz w:val="32"/>
          <w:szCs w:val="32"/>
          <w:highlight w:val="none"/>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Bdr>
          <w:top w:val="single" w:color="auto" w:sz="4" w:space="1"/>
          <w:bottom w:val="single" w:color="auto" w:sz="4" w:space="1"/>
        </w:pBdr>
        <w:rPr>
          <w:rFonts w:hint="eastAsia" w:ascii="方正仿宋_GBK" w:hAnsi="方正仿宋_GBK" w:eastAsia="方正仿宋_GBK" w:cs="方正仿宋_GBK"/>
          <w:spacing w:val="-4"/>
          <w:sz w:val="32"/>
          <w:szCs w:val="32"/>
          <w:u w:val="single"/>
        </w:rPr>
      </w:pPr>
      <w:r>
        <w:rPr>
          <w:rFonts w:hint="eastAsia" w:ascii="方正仿宋_GBK" w:hAnsi="方正仿宋_GBK" w:eastAsia="方正仿宋_GBK" w:cs="方正仿宋_GBK"/>
          <w:sz w:val="28"/>
          <w:szCs w:val="28"/>
          <w:lang w:eastAsia="zh-CN"/>
        </w:rPr>
        <w:t>德宏州生态环境局</w:t>
      </w:r>
      <w:r>
        <w:rPr>
          <w:rFonts w:hint="eastAsia" w:ascii="方正仿宋_GBK" w:hAnsi="方正仿宋_GBK" w:eastAsia="方正仿宋_GBK" w:cs="方正仿宋_GBK"/>
          <w:sz w:val="28"/>
          <w:szCs w:val="28"/>
        </w:rPr>
        <w:t>盈江</w:t>
      </w:r>
      <w:r>
        <w:rPr>
          <w:rFonts w:hint="eastAsia" w:ascii="方正仿宋_GBK" w:hAnsi="方正仿宋_GBK" w:eastAsia="方正仿宋_GBK" w:cs="方正仿宋_GBK"/>
          <w:sz w:val="28"/>
          <w:szCs w:val="28"/>
          <w:lang w:eastAsia="zh-CN"/>
        </w:rPr>
        <w:t>分</w:t>
      </w:r>
      <w:r>
        <w:rPr>
          <w:rFonts w:hint="eastAsia" w:ascii="方正仿宋_GBK" w:hAnsi="方正仿宋_GBK" w:eastAsia="方正仿宋_GBK" w:cs="方正仿宋_GBK"/>
          <w:sz w:val="28"/>
          <w:szCs w:val="28"/>
        </w:rPr>
        <w:t xml:space="preserve">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201</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27</w:t>
      </w:r>
      <w:r>
        <w:rPr>
          <w:rFonts w:hint="eastAsia" w:ascii="方正仿宋_GBK" w:hAnsi="方正仿宋_GBK" w:eastAsia="方正仿宋_GBK" w:cs="方正仿宋_GBK"/>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5A33466"/>
    <w:rsid w:val="0623579D"/>
    <w:rsid w:val="0792183A"/>
    <w:rsid w:val="07BA64B2"/>
    <w:rsid w:val="0C9E10F5"/>
    <w:rsid w:val="0F212AFA"/>
    <w:rsid w:val="13976BBF"/>
    <w:rsid w:val="1ABC497B"/>
    <w:rsid w:val="222A1595"/>
    <w:rsid w:val="24066D77"/>
    <w:rsid w:val="2607286A"/>
    <w:rsid w:val="26C82928"/>
    <w:rsid w:val="28546A26"/>
    <w:rsid w:val="29A95A02"/>
    <w:rsid w:val="2A19064E"/>
    <w:rsid w:val="2BE72BFB"/>
    <w:rsid w:val="2F545078"/>
    <w:rsid w:val="30C66626"/>
    <w:rsid w:val="33363FD7"/>
    <w:rsid w:val="39212F0D"/>
    <w:rsid w:val="3DBB54A0"/>
    <w:rsid w:val="454324CA"/>
    <w:rsid w:val="45440E54"/>
    <w:rsid w:val="486552BA"/>
    <w:rsid w:val="4A760509"/>
    <w:rsid w:val="4AAF227A"/>
    <w:rsid w:val="4C666170"/>
    <w:rsid w:val="4C7B786F"/>
    <w:rsid w:val="4E1A3BA0"/>
    <w:rsid w:val="51E53FAB"/>
    <w:rsid w:val="53C42D61"/>
    <w:rsid w:val="599F1913"/>
    <w:rsid w:val="618E25E8"/>
    <w:rsid w:val="64C24B14"/>
    <w:rsid w:val="72F27725"/>
    <w:rsid w:val="73B303ED"/>
    <w:rsid w:val="7561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0</TotalTime>
  <ScaleCrop>false</ScaleCrop>
  <LinksUpToDate>false</LinksUpToDate>
  <CharactersWithSpaces>1490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cp:lastPrinted>2019-05-20T09:05:00Z</cp:lastPrinted>
  <dcterms:modified xsi:type="dcterms:W3CDTF">2020-11-13T02:25:24Z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