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艺术字 4" o:spid="_x0000_s1026" o:spt="136" type="#_x0000_t136" style="position:absolute;left:0pt;margin-left:9.75pt;margin-top:32.05pt;height:42.75pt;width:416.95pt;mso-wrap-distance-bottom:0pt;mso-wrap-distance-left:9pt;mso-wrap-distance-right:9pt;mso-wrap-distance-top:0pt;z-index:251659264;mso-width-relative:page;mso-height-relative:page;" fillcolor="#FF0000" filled="t" stroked="f" coordsize="21600,21600" adj="10800">
            <v:path/>
            <v:fill on="t" color2="#FFFFFF" focussize="0,0"/>
            <v:stroke on="f"/>
            <v:imagedata o:title=""/>
            <o:lock v:ext="edit" aspectratio="f"/>
            <v:textpath on="t" fitshape="t" fitpath="t" trim="t" xscale="f" string="德宏州生态环境局盈江分局文件" style="font-family:方正小标宋简体;font-size:36pt;v-text-align:center;"/>
            <w10:wrap type="square"/>
          </v:shape>
        </w:pict>
      </w:r>
    </w:p>
    <w:p>
      <w:pPr>
        <w:rPr>
          <w:rFonts w:hint="default" w:ascii="Times New Roman" w:hAnsi="Times New Roman" w:cs="Times New Roman"/>
          <w:color w:val="FF0000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盈复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jc w:val="center"/>
        <w:rPr>
          <w:rFonts w:hint="default" w:ascii="Times New Roman" w:hAnsi="Times New Roman" w:cs="Times New Roman"/>
          <w:color w:val="FF0000"/>
          <w:sz w:val="24"/>
          <w:lang w:val="en-US" w:eastAsia="zh-CN"/>
        </w:rPr>
      </w:pPr>
      <w:r>
        <w:rPr>
          <w:rFonts w:hint="default" w:ascii="Times New Roman" w:hAnsi="Times New Roman" w:cs="Times New Roman"/>
          <w:color w:val="FF0000"/>
          <w:sz w:val="24"/>
          <w:lang w:val="en-US" w:eastAsia="zh-CN"/>
        </w:rPr>
        <w:t>_____________________________________________________________________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4"/>
          <w:sz w:val="44"/>
          <w:szCs w:val="44"/>
          <w:highlight w:val="none"/>
          <w:lang w:eastAsia="zh-CN"/>
        </w:rPr>
      </w:pP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4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highlight w:val="none"/>
          <w:lang w:eastAsia="zh-CN"/>
        </w:rPr>
        <w:t>德宏州生态环境局盈江分局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highlight w:val="none"/>
        </w:rPr>
        <w:t>关于</w:t>
      </w:r>
    </w:p>
    <w:p>
      <w:pPr>
        <w:spacing w:line="600" w:lineRule="exact"/>
        <w:jc w:val="center"/>
        <w:rPr>
          <w:rFonts w:hint="default" w:ascii="Times New Roman" w:hAnsi="Times New Roman" w:eastAsia="方正小标宋简体" w:cs="Times New Roman"/>
          <w:spacing w:val="-4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highlight w:val="none"/>
          <w:lang w:eastAsia="zh-CN"/>
        </w:rPr>
        <w:t xml:space="preserve"> </w:t>
      </w:r>
      <w:r>
        <w:rPr>
          <w:rFonts w:hint="eastAsia" w:eastAsia="方正小标宋简体" w:cs="Times New Roman"/>
          <w:spacing w:val="-4"/>
          <w:sz w:val="44"/>
          <w:szCs w:val="44"/>
          <w:highlight w:val="none"/>
          <w:lang w:eastAsia="zh-CN"/>
        </w:rPr>
        <w:t>盈江县合力氧气厂充装站建设项目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highlight w:val="none"/>
        </w:rPr>
        <w:t>环境影响报告表的批复</w:t>
      </w: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盈江县合力氧气厂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: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报批的《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盈江县合力氧气厂充装站建设项目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环境影响报告表》已收悉，经研究，现批复如下：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一、项目基本情况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项目位于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盈江县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平原镇姐满一社旁，总用地面积5560.06 平方米（8.34 亩），总建筑面积 1389.08 平方米，包括充装车间（氧气、氩气及二氧化碳）、乙炔仓库、工程楼、值班室、4 套压力容器储存槽（其中 1 套 20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立方米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氩气储存槽、1 套 20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立方米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二氧化碳储存槽、1 套 100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立方米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液氧储存槽、1 套 15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立方米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闲置储存槽）及相应配套工程。项目生产规模为年充装及销售氧气54万瓶、年充装及销售氩气12万瓶、年充装及销售二氧化碳15万瓶，年销售乙炔 9000瓶。项目总投资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00万元，其中环保投资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22.8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万元，占总投资的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23.7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%。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2020年11月16日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，德宏州生态环境局对该项目“未验先投”违法行为下发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《德宏州生态环境局行政处罚决定书》（德环罚字[2020]60号），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处罚款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21万元，责令限期改正违法行为。</w:t>
      </w:r>
    </w:p>
    <w:p>
      <w:pPr>
        <w:overflowPunct w:val="0"/>
        <w:topLinePunct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本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项目</w:t>
      </w:r>
      <w:r>
        <w:rPr>
          <w:rFonts w:hint="eastAsia" w:eastAsia="方正仿宋_GBK"/>
          <w:sz w:val="32"/>
          <w:szCs w:val="32"/>
          <w:highlight w:val="none"/>
        </w:rPr>
        <w:t>符合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国家产业政策，根据《盈江县瑞丽江—大盈江国家级风景名胜区管理局关于核查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盈江县合力氧气厂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项目土地范围位置意见</w:t>
      </w:r>
      <w:r>
        <w:rPr>
          <w:rFonts w:hint="eastAsia" w:eastAsia="方正仿宋_GBK"/>
          <w:sz w:val="32"/>
          <w:szCs w:val="32"/>
          <w:highlight w:val="none"/>
          <w:lang w:eastAsia="zh-CN"/>
        </w:rPr>
        <w:t>》，项目不在风景名胜区法定区域；项目不涉及文物保护区、自然保护区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在全面落实环境影响报告表提出的各项污染防治和生态保护措施后，项目污染物可达标排放，项目建设和运营的不良环境影响可以得到减缓和控制，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鉴于建设单位已缴纳罚款，违法行为得到查处，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我局同意该项目按照环境影报告表中的性质、地点、采用的环境保护对策、措施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补办环评手续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topLinePunct/>
        <w:spacing w:line="560" w:lineRule="exact"/>
        <w:ind w:firstLine="632" w:firstLineChars="200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二、项目</w:t>
      </w:r>
      <w:r>
        <w:rPr>
          <w:rFonts w:hint="eastAsia" w:eastAsia="方正仿宋_GBK" w:cs="Times New Roman"/>
          <w:spacing w:val="-2"/>
          <w:sz w:val="32"/>
          <w:szCs w:val="32"/>
          <w:highlight w:val="none"/>
          <w:lang w:eastAsia="zh-CN"/>
        </w:rPr>
        <w:t>整改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和运营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过程中应重点做好的工作</w:t>
      </w:r>
    </w:p>
    <w:p>
      <w:pPr>
        <w:topLinePunct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㈠《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盈江县合力氧气厂充装站建设项目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环境影响报告表》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作为该项目</w:t>
      </w:r>
      <w:r>
        <w:rPr>
          <w:rFonts w:hint="eastAsia" w:eastAsia="方正仿宋_GBK" w:cs="Times New Roman"/>
          <w:spacing w:val="-2"/>
          <w:sz w:val="32"/>
          <w:szCs w:val="32"/>
          <w:highlight w:val="none"/>
          <w:lang w:eastAsia="zh-CN"/>
        </w:rPr>
        <w:t>整改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  <w:lang w:eastAsia="zh-CN"/>
        </w:rPr>
        <w:t>和运营期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  <w:highlight w:val="none"/>
        </w:rPr>
        <w:t>环境管理的依据，必须认真落实《报告表》提出的各项环保对策措施，严格按提出的环保投资概算执行。</w:t>
      </w:r>
    </w:p>
    <w:p>
      <w:pPr>
        <w:topLinePunct/>
        <w:spacing w:line="560" w:lineRule="exact"/>
        <w:ind w:firstLine="640" w:firstLineChars="200"/>
        <w:rPr>
          <w:rFonts w:hint="eastAsia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㈡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/>
        </w:rPr>
        <w:t>项目整改过程中必须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加强管理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/>
        </w:rPr>
        <w:t>，采取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洒水降尘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/>
        </w:rPr>
        <w:t>措施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减少扬尘产生；施工废水经沉淀处理后回用，严禁外排；产生的建筑垃圾妥善堆放，可回收部分回收利用，不可回收部分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及时清运至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/>
        </w:rPr>
        <w:t>住建部门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指定地点堆放，严禁随意丢弃；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</w:rPr>
        <w:t>施工场界噪声执行《建筑施工场界环境噪声排放标准》（GB12523-2011）</w:t>
      </w:r>
      <w:r>
        <w:rPr>
          <w:rFonts w:hint="eastAsia" w:eastAsia="方正仿宋_GBK" w:cs="Times New Roman"/>
          <w:bCs/>
          <w:sz w:val="32"/>
          <w:szCs w:val="32"/>
          <w:highlight w:val="none"/>
          <w:lang w:eastAsia="zh-CN"/>
        </w:rPr>
        <w:t>。</w:t>
      </w:r>
    </w:p>
    <w:p>
      <w:pPr>
        <w:pStyle w:val="4"/>
        <w:spacing w:line="560" w:lineRule="exact"/>
        <w:ind w:firstLine="640" w:firstLineChars="200"/>
        <w:rPr>
          <w:rFonts w:hint="eastAsia" w:eastAsia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㈢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项目必须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完善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雨污分流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系统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厨房设置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1个油水分离器（不小于0.1立方米），并对化粪池进行防渗处理，增设1个收集池，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项目生活污水经</w:t>
      </w:r>
      <w:r>
        <w:rPr>
          <w:rFonts w:hint="eastAsia"/>
          <w:szCs w:val="21"/>
          <w:lang w:val="en-US" w:eastAsia="zh-CN"/>
        </w:rPr>
        <w:t>油水分离器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、化粪池处理后排入收集池，用于林地、菜地浇灌，严禁外排。</w:t>
      </w:r>
    </w:p>
    <w:p>
      <w:pPr>
        <w:pStyle w:val="4"/>
        <w:spacing w:line="560" w:lineRule="exact"/>
        <w:ind w:firstLine="640" w:firstLineChars="200"/>
        <w:rPr>
          <w:rFonts w:hint="default" w:eastAsia="方正仿宋_GBK"/>
          <w:sz w:val="32"/>
          <w:szCs w:val="32"/>
          <w:highlight w:val="none"/>
          <w:lang w:val="en-US" w:eastAsia="zh-CN"/>
        </w:rPr>
      </w:pPr>
      <w:r>
        <w:rPr>
          <w:rFonts w:hint="default" w:eastAsia="方正仿宋_GBK"/>
          <w:sz w:val="32"/>
          <w:szCs w:val="32"/>
          <w:highlight w:val="none"/>
          <w:lang w:val="en-US" w:eastAsia="zh-CN"/>
        </w:rPr>
        <w:t>㈣运营期加强大气污染防治，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充装过程中加强管理，</w:t>
      </w:r>
      <w:r>
        <w:rPr>
          <w:rFonts w:hint="default" w:eastAsia="方正仿宋_GBK"/>
          <w:sz w:val="32"/>
          <w:szCs w:val="32"/>
          <w:highlight w:val="none"/>
          <w:lang w:val="en-US" w:eastAsia="zh-CN"/>
        </w:rPr>
        <w:t>充装人员应严格遵守工艺细则，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避免发生</w:t>
      </w:r>
      <w:r>
        <w:rPr>
          <w:rFonts w:hint="default" w:eastAsia="方正仿宋_GBK"/>
          <w:sz w:val="32"/>
          <w:szCs w:val="32"/>
          <w:highlight w:val="none"/>
          <w:lang w:val="en-US" w:eastAsia="zh-CN"/>
        </w:rPr>
        <w:t>“跑、冒、滴、漏”</w:t>
      </w:r>
      <w:r>
        <w:rPr>
          <w:rFonts w:hint="eastAsia" w:eastAsia="方正仿宋_GBK"/>
          <w:sz w:val="32"/>
          <w:szCs w:val="32"/>
          <w:highlight w:val="none"/>
          <w:lang w:val="en-US" w:eastAsia="zh-CN"/>
        </w:rPr>
        <w:t>现象；</w:t>
      </w:r>
      <w:r>
        <w:rPr>
          <w:rFonts w:hint="default" w:eastAsia="方正仿宋_GBK" w:cs="Times New Roman"/>
          <w:sz w:val="32"/>
          <w:szCs w:val="32"/>
          <w:highlight w:val="none"/>
          <w:lang w:val="en-US" w:eastAsia="zh-CN"/>
        </w:rPr>
        <w:t>食堂必须安装油烟净化设施，食堂油烟经处理后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达标</w:t>
      </w:r>
      <w:r>
        <w:rPr>
          <w:rFonts w:hint="default" w:eastAsia="方正仿宋_GBK" w:cs="Times New Roman"/>
          <w:sz w:val="32"/>
          <w:szCs w:val="32"/>
          <w:highlight w:val="none"/>
          <w:lang w:val="en-US" w:eastAsia="zh-CN"/>
        </w:rPr>
        <w:t>排放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。</w:t>
      </w:r>
    </w:p>
    <w:p>
      <w:pPr>
        <w:pStyle w:val="4"/>
        <w:spacing w:line="560" w:lineRule="exact"/>
        <w:ind w:firstLine="640" w:firstLineChars="200"/>
        <w:rPr>
          <w:rFonts w:hint="default" w:eastAsia="方正仿宋_GBK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㈤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运营期加强噪声污染防治，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采取设备基础减震、厂房隔声等措施减少噪声影响，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  <w:t>项目运营期噪声执行《工业企业厂界环境噪声排放标准》（GB12348-2008）2类标准；加强运输车辆管理，途经</w:t>
      </w:r>
      <w:r>
        <w:rPr>
          <w:rFonts w:hint="default" w:eastAsia="方正仿宋_GBK"/>
          <w:sz w:val="32"/>
          <w:szCs w:val="32"/>
          <w:highlight w:val="none"/>
          <w:lang w:val="en-US" w:eastAsia="zh-CN"/>
        </w:rPr>
        <w:t>敏感点时须限速禁鸣。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eastAsia="方正仿宋_GBK"/>
          <w:sz w:val="32"/>
          <w:szCs w:val="32"/>
          <w:highlight w:val="none"/>
          <w:lang w:val="en-US" w:eastAsia="zh-CN"/>
        </w:rPr>
        <w:t>㈥加强固废管理，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生活垃圾集中收集后交当地环卫部门处置；食堂泔水收集后按照住建部门要求妥善处置；委托周边村民定期清掏化粪池污泥，用作农肥。</w:t>
      </w:r>
    </w:p>
    <w:p>
      <w:pPr>
        <w:pStyle w:val="4"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㈦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加强环境风险防范，定期检修，避免因管道老化、阀门故障等发生事故排放；</w:t>
      </w:r>
      <w:r>
        <w:rPr>
          <w:rFonts w:hint="default" w:ascii="Times New Roman" w:hAnsi="Times New Roman" w:eastAsia="方正仿宋_GBK" w:cs="Times New Roman"/>
          <w:bCs/>
          <w:sz w:val="32"/>
          <w:szCs w:val="32"/>
          <w:highlight w:val="none"/>
          <w:lang w:val="en-US" w:eastAsia="zh-CN"/>
        </w:rPr>
        <w:t>建设单位必须按照《突发环境事件应急预案管理办法》（部令第34号），编制突发环境应急预案，报生态环境主管部门备案。</w:t>
      </w:r>
    </w:p>
    <w:p>
      <w:pPr>
        <w:numPr>
          <w:ilvl w:val="0"/>
          <w:numId w:val="1"/>
        </w:numPr>
        <w:topLinePunct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加强管理，健全机构，严格执行环保“三同时”制度，积极配合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生态环境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行政主管部门的环境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执法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工作。项目建设完成后，建设单位应当在启动生产设施或者发生实际排污前，根据《固定污染源排污许可分类管理名录》，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在全国排污许可证管理信息平台填报排污登记表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必须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按《竣工环境保护验收暂行办法》相关规定，自主开展竣工环保验收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工作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，经验收合格后方可正式投入运行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。</w:t>
      </w:r>
    </w:p>
    <w:p>
      <w:pPr>
        <w:topLinePunct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四、项目的性质、规模、地点、采用的生产工艺或者防治污染、防治生态破坏的措施发生重大变化的，经调查属于重大变动的应当重新报批项目的环境影响评价文件，不属于重大变动的纳入竣工环境保护验收管理。</w:t>
      </w:r>
    </w:p>
    <w:p>
      <w:pPr>
        <w:topLinePunct/>
        <w:spacing w:line="56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五、</w:t>
      </w:r>
      <w:r>
        <w:rPr>
          <w:rFonts w:eastAsia="方正仿宋_GBK"/>
          <w:sz w:val="32"/>
          <w:szCs w:val="32"/>
        </w:rPr>
        <w:t>请德宏州生态环境局盈江分局执法大队加强对该项目</w:t>
      </w:r>
      <w:r>
        <w:rPr>
          <w:rFonts w:hint="eastAsia" w:eastAsia="方正仿宋_GBK"/>
          <w:sz w:val="32"/>
          <w:szCs w:val="32"/>
          <w:lang w:eastAsia="zh-CN"/>
        </w:rPr>
        <w:t>整改</w:t>
      </w:r>
      <w:bookmarkStart w:id="0" w:name="_GoBack"/>
      <w:bookmarkEnd w:id="0"/>
      <w:r>
        <w:rPr>
          <w:rFonts w:eastAsia="方正仿宋_GBK"/>
          <w:sz w:val="32"/>
          <w:szCs w:val="32"/>
        </w:rPr>
        <w:t>期和运营期的环境执法现场检查和监督管理工作。</w:t>
      </w:r>
    </w:p>
    <w:p>
      <w:pPr>
        <w:spacing w:line="560" w:lineRule="exact"/>
        <w:ind w:right="64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</w:t>
      </w:r>
    </w:p>
    <w:p>
      <w:pPr>
        <w:spacing w:line="560" w:lineRule="exact"/>
        <w:ind w:right="64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</w:t>
      </w:r>
    </w:p>
    <w:p>
      <w:pPr>
        <w:spacing w:line="560" w:lineRule="exact"/>
        <w:ind w:right="64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</w:t>
      </w:r>
    </w:p>
    <w:p>
      <w:pPr>
        <w:spacing w:line="560" w:lineRule="exact"/>
        <w:ind w:right="64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德宏州生态环境局盈江分局</w:t>
      </w:r>
    </w:p>
    <w:p>
      <w:pPr>
        <w:spacing w:line="560" w:lineRule="exact"/>
        <w:ind w:right="640" w:firstLine="640" w:firstLineChars="200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 xml:space="preserve">            </w:t>
      </w:r>
      <w:r>
        <w:rPr>
          <w:rFonts w:eastAsia="方正仿宋_GBK"/>
          <w:sz w:val="32"/>
          <w:szCs w:val="32"/>
        </w:rPr>
        <w:t xml:space="preserve">  20</w:t>
      </w:r>
      <w:r>
        <w:rPr>
          <w:rFonts w:hint="eastAsia" w:eastAsia="方正仿宋_GBK"/>
          <w:sz w:val="32"/>
          <w:szCs w:val="32"/>
        </w:rPr>
        <w:t>2</w:t>
      </w:r>
      <w:r>
        <w:rPr>
          <w:rFonts w:hint="eastAsia" w:eastAsia="方正仿宋_GBK"/>
          <w:sz w:val="32"/>
          <w:szCs w:val="32"/>
          <w:lang w:val="en-US" w:eastAsia="zh-CN"/>
        </w:rPr>
        <w:t>1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26</w:t>
      </w:r>
      <w:r>
        <w:rPr>
          <w:rFonts w:eastAsia="方正仿宋_GBK"/>
          <w:sz w:val="32"/>
          <w:szCs w:val="32"/>
        </w:rPr>
        <w:t>日</w:t>
      </w:r>
    </w:p>
    <w:p>
      <w:pPr>
        <w:spacing w:line="540" w:lineRule="exac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Bdr>
          <w:top w:val="single" w:color="auto" w:sz="4" w:space="1"/>
          <w:bottom w:val="single" w:color="auto" w:sz="4" w:space="1"/>
        </w:pBdr>
        <w:rPr>
          <w:rFonts w:hint="default" w:ascii="Times New Roman" w:hAnsi="Times New Roman" w:eastAsia="方正仿宋_GBK" w:cs="Times New Roman"/>
          <w:spacing w:val="-4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德宏州生态环境局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盈江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分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局办公室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20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日印发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sz w:val="21"/>
      </w:rPr>
    </w:pPr>
    <w:r>
      <w:rPr>
        <w:rStyle w:val="9"/>
        <w:sz w:val="21"/>
      </w:rPr>
      <w:fldChar w:fldCharType="begin"/>
    </w:r>
    <w:r>
      <w:rPr>
        <w:rStyle w:val="9"/>
        <w:sz w:val="21"/>
      </w:rPr>
      <w:instrText xml:space="preserve">PAGE  </w:instrText>
    </w:r>
    <w:r>
      <w:rPr>
        <w:rStyle w:val="9"/>
        <w:sz w:val="21"/>
      </w:rPr>
      <w:fldChar w:fldCharType="separate"/>
    </w:r>
    <w:r>
      <w:rPr>
        <w:rStyle w:val="9"/>
        <w:sz w:val="21"/>
      </w:rPr>
      <w:t>3</w:t>
    </w:r>
    <w:r>
      <w:rPr>
        <w:rStyle w:val="9"/>
        <w:sz w:val="21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  <w:sz w:val="21"/>
      </w:rPr>
    </w:pPr>
    <w:r>
      <w:rPr>
        <w:rStyle w:val="9"/>
        <w:sz w:val="21"/>
      </w:rPr>
      <w:fldChar w:fldCharType="begin"/>
    </w:r>
    <w:r>
      <w:rPr>
        <w:rStyle w:val="9"/>
        <w:sz w:val="21"/>
      </w:rPr>
      <w:instrText xml:space="preserve">PAGE  </w:instrText>
    </w:r>
    <w:r>
      <w:rPr>
        <w:rStyle w:val="9"/>
        <w:sz w:val="21"/>
      </w:rPr>
      <w:fldChar w:fldCharType="end"/>
    </w:r>
  </w:p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DDE930"/>
    <w:multiLevelType w:val="singleLevel"/>
    <w:tmpl w:val="59DDE930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324CA"/>
    <w:rsid w:val="00002200"/>
    <w:rsid w:val="00135CA3"/>
    <w:rsid w:val="005D2B03"/>
    <w:rsid w:val="00A249F3"/>
    <w:rsid w:val="00A5605E"/>
    <w:rsid w:val="00AE3237"/>
    <w:rsid w:val="00BA1D04"/>
    <w:rsid w:val="00D544D1"/>
    <w:rsid w:val="00D659D8"/>
    <w:rsid w:val="00E3677B"/>
    <w:rsid w:val="00E620F0"/>
    <w:rsid w:val="01807422"/>
    <w:rsid w:val="05611312"/>
    <w:rsid w:val="05A33466"/>
    <w:rsid w:val="0623579D"/>
    <w:rsid w:val="0792183A"/>
    <w:rsid w:val="07BA64B2"/>
    <w:rsid w:val="0AF67BC6"/>
    <w:rsid w:val="0C9E10F5"/>
    <w:rsid w:val="0F212AFA"/>
    <w:rsid w:val="120426A5"/>
    <w:rsid w:val="13976BBF"/>
    <w:rsid w:val="14A73517"/>
    <w:rsid w:val="1A3D2CEB"/>
    <w:rsid w:val="1ABC497B"/>
    <w:rsid w:val="222A1595"/>
    <w:rsid w:val="24066D77"/>
    <w:rsid w:val="25E06341"/>
    <w:rsid w:val="2607286A"/>
    <w:rsid w:val="26C82928"/>
    <w:rsid w:val="28546A26"/>
    <w:rsid w:val="29A95A02"/>
    <w:rsid w:val="2A19064E"/>
    <w:rsid w:val="2BE72BFB"/>
    <w:rsid w:val="2F545078"/>
    <w:rsid w:val="2F83708C"/>
    <w:rsid w:val="30C66626"/>
    <w:rsid w:val="33363FD7"/>
    <w:rsid w:val="39212F0D"/>
    <w:rsid w:val="3A1C33C6"/>
    <w:rsid w:val="3AE1642C"/>
    <w:rsid w:val="3DBB54A0"/>
    <w:rsid w:val="454324CA"/>
    <w:rsid w:val="45440E54"/>
    <w:rsid w:val="486552BA"/>
    <w:rsid w:val="4A760509"/>
    <w:rsid w:val="4AAF227A"/>
    <w:rsid w:val="4C666170"/>
    <w:rsid w:val="4C7B786F"/>
    <w:rsid w:val="4E1A3BA0"/>
    <w:rsid w:val="51E53FAB"/>
    <w:rsid w:val="53C42D61"/>
    <w:rsid w:val="599F1913"/>
    <w:rsid w:val="5A247C92"/>
    <w:rsid w:val="64C24B14"/>
    <w:rsid w:val="6BA24D70"/>
    <w:rsid w:val="6E1F5DBD"/>
    <w:rsid w:val="72284864"/>
    <w:rsid w:val="72F27725"/>
    <w:rsid w:val="734D15CA"/>
    <w:rsid w:val="73B303ED"/>
    <w:rsid w:val="75612B9A"/>
    <w:rsid w:val="7DA44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 w:locked="1"/>
    <w:lsdException w:qFormat="1" w:unhideWhenUsed="0" w:uiPriority="0" w:semiHidden="0" w:name="footer" w:locked="1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 w:locked="1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 w:locked="1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1"/>
    <w:qFormat/>
    <w:locked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宋体"/>
      <w:b/>
      <w:bCs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ody Text Indent"/>
    <w:basedOn w:val="1"/>
    <w:unhideWhenUsed/>
    <w:qFormat/>
    <w:uiPriority w:val="99"/>
    <w:pPr>
      <w:spacing w:line="460" w:lineRule="exact"/>
      <w:ind w:firstLine="600"/>
    </w:pPr>
    <w:rPr>
      <w:rFonts w:eastAsia="仿宋_GB2312"/>
      <w:sz w:val="28"/>
    </w:rPr>
  </w:style>
  <w:style w:type="paragraph" w:styleId="5">
    <w:name w:val="footer"/>
    <w:basedOn w:val="1"/>
    <w:link w:val="12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qFormat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locked/>
    <w:uiPriority w:val="0"/>
    <w:rPr>
      <w:rFonts w:ascii="Calibri" w:hAnsi="Calibri" w:eastAsia="宋体" w:cs="Times New Roman"/>
      <w:kern w:val="2"/>
      <w:sz w:val="22"/>
      <w:szCs w:val="22"/>
      <w:lang w:val="en-US" w:eastAsia="zh-CN" w:bidi="ar-SA"/>
    </w:rPr>
  </w:style>
  <w:style w:type="character" w:styleId="10">
    <w:name w:val="Hyperlink"/>
    <w:basedOn w:val="8"/>
    <w:qFormat/>
    <w:locked/>
    <w:uiPriority w:val="0"/>
    <w:rPr>
      <w:rFonts w:ascii="Calibri" w:hAnsi="Calibri" w:eastAsia="宋体" w:cs="Times New Roman"/>
      <w:color w:val="0000FF"/>
      <w:kern w:val="2"/>
      <w:sz w:val="22"/>
      <w:szCs w:val="22"/>
      <w:u w:val="single"/>
      <w:lang w:val="en-US" w:eastAsia="zh-CN" w:bidi="ar-SA"/>
    </w:rPr>
  </w:style>
  <w:style w:type="character" w:customStyle="1" w:styleId="11">
    <w:name w:val="标题 2 Char"/>
    <w:basedOn w:val="8"/>
    <w:link w:val="3"/>
    <w:qFormat/>
    <w:locked/>
    <w:uiPriority w:val="99"/>
    <w:rPr>
      <w:rFonts w:ascii="Arial" w:hAnsi="Arial" w:eastAsia="黑体" w:cs="宋体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页脚 Char"/>
    <w:basedOn w:val="8"/>
    <w:link w:val="5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3">
    <w:name w:val="页眉 Char"/>
    <w:basedOn w:val="8"/>
    <w:link w:val="6"/>
    <w:qFormat/>
    <w:locked/>
    <w:uiPriority w:val="99"/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customStyle="1" w:styleId="14">
    <w:name w:val="样式 仿宋_GB2312 三号"/>
    <w:basedOn w:val="8"/>
    <w:qFormat/>
    <w:uiPriority w:val="99"/>
    <w:rPr>
      <w:rFonts w:ascii="仿宋_GB2312" w:hAnsi="Calibri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15">
    <w:name w:val="Char1"/>
    <w:basedOn w:val="1"/>
    <w:qFormat/>
    <w:uiPriority w:val="99"/>
    <w:pPr>
      <w:autoSpaceDE w:val="0"/>
      <w:autoSpaceDN w:val="0"/>
      <w:adjustRightInd w:val="0"/>
      <w:snapToGrid w:val="0"/>
      <w:spacing w:before="50" w:after="50" w:line="360" w:lineRule="auto"/>
      <w:ind w:firstLine="560" w:firstLineChars="177"/>
    </w:pPr>
    <w:rPr>
      <w:rFonts w:ascii="宋体" w:hAnsi="宋体" w:eastAsia="仿宋_GB2312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222</Words>
  <Characters>1270</Characters>
  <Lines>10</Lines>
  <Paragraphs>2</Paragraphs>
  <TotalTime>2</TotalTime>
  <ScaleCrop>false</ScaleCrop>
  <LinksUpToDate>false</LinksUpToDate>
  <CharactersWithSpaces>1490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2018-06-08T03:04:00Z</dcterms:created>
  <dc:creator>HP</dc:creator>
  <cp:lastModifiedBy>树林的林</cp:lastModifiedBy>
  <cp:lastPrinted>2019-05-20T09:05:00Z</cp:lastPrinted>
  <dcterms:modified xsi:type="dcterms:W3CDTF">2021-04-29T09:14:36Z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docranid">
    <vt:lpwstr>8A8F286660E44908B7404D219F1E6CA7</vt:lpwstr>
  </property>
  <property fmtid="{D5CDD505-2E9C-101B-9397-08002B2CF9AE}" pid="4" name="KSOSaveFontToCloudKey">
    <vt:lpwstr>246297582_cloud</vt:lpwstr>
  </property>
  <property fmtid="{D5CDD505-2E9C-101B-9397-08002B2CF9AE}" pid="5" name="ICV">
    <vt:lpwstr>72259B447E0B4826AB2653E2C068E058</vt:lpwstr>
  </property>
</Properties>
</file>