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盈江县旧城镇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lang w:val="en-US" w:eastAsia="zh-CN"/>
        </w:rPr>
      </w:pPr>
      <w:bookmarkStart w:id="0" w:name="_GoBack"/>
      <w:r>
        <w:rPr>
          <w:rFonts w:hint="eastAsia" w:ascii="方正小标宋_GBK" w:hAnsi="方正小标宋_GBK" w:eastAsia="方正小标宋_GBK" w:cs="方正小标宋_GBK"/>
          <w:b w:val="0"/>
          <w:bCs w:val="0"/>
          <w:sz w:val="44"/>
          <w:szCs w:val="44"/>
          <w:lang w:val="en-US" w:eastAsia="zh-CN"/>
        </w:rPr>
        <w:t>2017年部门决算公开重点绩效评价结果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情况说明</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b/>
          <w:bCs/>
          <w:sz w:val="36"/>
          <w:szCs w:val="36"/>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旧城镇旧城村村委会基础设施改造项目资金（边转）</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资金来源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盈财预[2017]1172号中央补助旧城镇旧城村村委会基础设施改造项目资金（边转）</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按照盈江县总体规划、土地利用总体规划的要求， 盈江县旧城镇旧城村委会基础设施改造项目，项目占地面积980平方米，总建筑面积161.93平方米，一层层框架结构，建筑结构安全等级二级，抗震设防烈度为7 级。其中，项目新建业务用房135.52平方米，为一层框架结构，建筑结构安全等级二级，抗震设防烈度为7 级；拆除重建围墙45m；新建公厕26.41平方米；新建钢架楼梯15平方米；铁艺大门一座；活动室、接待大厅改造150平方米。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产生的绩效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由于本项目作为盈江县旧城镇旧城村委会基础设施改造项目，本身不产生任何直接的经济效益。因此，只对项目实施产生的社会效益和间接带来的经济效益作定性分析：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1、项目建设能够全面提升盈江县旧城镇旧城村为群众服务水平的高度。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2、项目建设能够完善盈江县旧城镇旧城村的为民服务体系，增强盈江县旧城镇旧城村基础配套设施的能力。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3、项目建设能够满足盈江县旧城镇旧城村为民服务的工作要求，进一步强化街道内环境，更好地为社会服务。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4、本项目的建设一方面能刺激建筑业、建材业等相关行业的发展，促进农村发展，另一方面对于实施扩容提质战略，加快农村建设亦将产生积极的作用。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5、本项目的主要建筑是三级用房，属中小型建筑，技术上成熟。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6、本项目建成后既有利于项目区域的发展，又有利于社会经济的发展，具有很好的间接经济效益。因此，该项目发展和经济建设从经济角度上看是合理的。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综合所述，该项目的建成实施可增强旧城镇的为民服务水平从而提高全社会的整体水平，具有良好的社会效益。本项目建设符合国家政策，经济上、技术上可行。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916DD"/>
    <w:multiLevelType w:val="singleLevel"/>
    <w:tmpl w:val="5C4916D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675DD"/>
    <w:rsid w:val="0B4675DD"/>
    <w:rsid w:val="1D9B489E"/>
    <w:rsid w:val="1F542A37"/>
    <w:rsid w:val="5E806003"/>
    <w:rsid w:val="756578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2019-01-24T01:31:00Z</dcterms:created>
  <dc:creator>Administrator</dc:creator>
  <cp:lastModifiedBy>yx</cp:lastModifiedBy>
  <dcterms:modified xsi:type="dcterms:W3CDTF">2019-01-24T07:38:39Z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