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outlineLvl w:val="9"/>
        <w:rPr>
          <w:rFonts w:hint="default" w:ascii="Times New Roman" w:hAnsi="Times New Roman" w:eastAsia="黑体" w:cs="Times New Roman"/>
          <w:sz w:val="30"/>
          <w:szCs w:val="30"/>
        </w:rPr>
      </w:pPr>
      <w:r>
        <w:rPr>
          <w:rFonts w:hint="default" w:ascii="Times New Roman" w:hAnsi="Times New Roman" w:eastAsia="黑体" w:cs="Times New Roman"/>
          <w:sz w:val="36"/>
          <w:szCs w:val="36"/>
        </w:rPr>
        <w:t>盈江县旧城镇人民政府2017年度部门决算</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第一部分 旧城镇人民政府概况</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一、主要职能</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二、部门基本情况</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黑体" w:cs="Times New Roman"/>
          <w:sz w:val="30"/>
          <w:szCs w:val="30"/>
        </w:rPr>
      </w:pPr>
      <w:r>
        <w:rPr>
          <w:rFonts w:hint="default" w:ascii="Times New Roman" w:hAnsi="Times New Roman" w:eastAsia="黑体" w:cs="Times New Roman"/>
          <w:sz w:val="30"/>
          <w:szCs w:val="30"/>
        </w:rPr>
        <w:t xml:space="preserve">第二部分 </w:t>
      </w:r>
      <w:r>
        <w:rPr>
          <w:rFonts w:hint="default" w:ascii="Times New Roman" w:hAnsi="Times New Roman" w:eastAsia="黑体" w:cs="Times New Roman"/>
          <w:color w:val="7030A0"/>
          <w:sz w:val="30"/>
          <w:szCs w:val="30"/>
        </w:rPr>
        <w:t xml:space="preserve"> </w:t>
      </w:r>
      <w:r>
        <w:rPr>
          <w:rFonts w:hint="default" w:ascii="Times New Roman" w:hAnsi="Times New Roman" w:eastAsia="黑体" w:cs="Times New Roman"/>
          <w:sz w:val="30"/>
          <w:szCs w:val="30"/>
        </w:rPr>
        <w:t>2017年度部门决算表</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一、收入支出决算总表</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二、收入决算表</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三、支出决算表</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四、财政拨款收入支出决算总表</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五、一般公共预算财政拨款收入支出决算表</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六、一般公共预算财政拨款基本支出决算表</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七、政府性基金预算财政拨款收入支出决算表</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八、财政专户管理资金收入支出决算表</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九、“三公”经费、行政参公单位机关运行经费情况表</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第三部分 2017年度部门决算情况说明</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一、收入决算情况说明</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二、支出决算情况说明</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三、一般公共预算财政拨款支出决算情况说明</w:t>
      </w:r>
    </w:p>
    <w:p>
      <w:pPr>
        <w:keepNext w:val="0"/>
        <w:keepLines w:val="0"/>
        <w:pageBreakBefore w:val="0"/>
        <w:widowControl/>
        <w:kinsoku/>
        <w:wordWrap/>
        <w:overflowPunct/>
        <w:topLinePunct w:val="0"/>
        <w:autoSpaceDE/>
        <w:autoSpaceDN/>
        <w:bidi w:val="0"/>
        <w:snapToGrid w:val="0"/>
        <w:spacing w:before="100" w:after="100" w:line="560" w:lineRule="exact"/>
        <w:jc w:val="left"/>
        <w:outlineLvl w:val="9"/>
        <w:rPr>
          <w:rFonts w:hint="default" w:ascii="Times New Roman" w:hAnsi="Times New Roman" w:eastAsia="楷体" w:cs="Times New Roman"/>
          <w:sz w:val="30"/>
          <w:szCs w:val="30"/>
        </w:rPr>
      </w:pPr>
      <w:r>
        <w:rPr>
          <w:rFonts w:hint="default" w:ascii="Times New Roman" w:hAnsi="Times New Roman" w:eastAsia="楷体" w:cs="Times New Roman"/>
          <w:sz w:val="30"/>
          <w:szCs w:val="30"/>
        </w:rPr>
        <w:t>四、一般公共预算财政拨款“三公”经费支出决算情况说明</w:t>
      </w:r>
    </w:p>
    <w:p>
      <w:pPr>
        <w:keepNext w:val="0"/>
        <w:keepLines w:val="0"/>
        <w:pageBreakBefore w:val="0"/>
        <w:widowControl/>
        <w:kinsoku/>
        <w:wordWrap/>
        <w:overflowPunct/>
        <w:topLinePunct w:val="0"/>
        <w:autoSpaceDE/>
        <w:autoSpaceDN/>
        <w:bidi w:val="0"/>
        <w:snapToGrid w:val="0"/>
        <w:spacing w:before="100" w:after="100" w:line="560" w:lineRule="exact"/>
        <w:jc w:val="left"/>
        <w:outlineLvl w:val="9"/>
        <w:rPr>
          <w:rFonts w:hint="default" w:ascii="Times New Roman" w:hAnsi="Times New Roman" w:eastAsia="楷体" w:cs="Times New Roman"/>
          <w:sz w:val="30"/>
          <w:szCs w:val="30"/>
        </w:rPr>
      </w:pPr>
      <w:r>
        <w:rPr>
          <w:rFonts w:hint="default" w:ascii="Times New Roman" w:hAnsi="Times New Roman" w:eastAsia="楷体" w:cs="Times New Roman"/>
          <w:sz w:val="30"/>
          <w:szCs w:val="30"/>
        </w:rPr>
        <w:t>五、其他重要事项及相关口径情况说明</w:t>
      </w:r>
    </w:p>
    <w:p>
      <w:pPr>
        <w:keepNext w:val="0"/>
        <w:keepLines w:val="0"/>
        <w:pageBreakBefore w:val="0"/>
        <w:widowControl/>
        <w:kinsoku/>
        <w:wordWrap/>
        <w:overflowPunct/>
        <w:topLinePunct w:val="0"/>
        <w:autoSpaceDE/>
        <w:autoSpaceDN/>
        <w:bidi w:val="0"/>
        <w:snapToGrid w:val="0"/>
        <w:spacing w:before="100" w:after="100" w:line="560" w:lineRule="exact"/>
        <w:jc w:val="left"/>
        <w:outlineLvl w:val="9"/>
        <w:rPr>
          <w:rFonts w:hint="default" w:ascii="Times New Roman" w:hAnsi="Times New Roman" w:eastAsia="黑体" w:cs="Times New Roman"/>
          <w:sz w:val="32"/>
          <w:szCs w:val="32"/>
        </w:rPr>
      </w:pPr>
      <w:r>
        <w:rPr>
          <w:rFonts w:hint="default" w:ascii="Times New Roman" w:hAnsi="Times New Roman" w:eastAsia="黑体" w:cs="Times New Roman"/>
          <w:sz w:val="30"/>
          <w:szCs w:val="30"/>
        </w:rPr>
        <w:t>第四部分  名词解释</w:t>
      </w:r>
    </w:p>
    <w:p>
      <w:pPr>
        <w:keepNext w:val="0"/>
        <w:keepLines w:val="0"/>
        <w:pageBreakBefore w:val="0"/>
        <w:kinsoku/>
        <w:wordWrap/>
        <w:overflowPunct/>
        <w:topLinePunct w:val="0"/>
        <w:autoSpaceDE/>
        <w:autoSpaceDN/>
        <w:bidi w:val="0"/>
        <w:spacing w:line="560" w:lineRule="exact"/>
        <w:jc w:val="center"/>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第一部分  盈江县旧城镇人民政府概况</w:t>
      </w:r>
    </w:p>
    <w:p>
      <w:pPr>
        <w:keepNext w:val="0"/>
        <w:keepLines w:val="0"/>
        <w:pageBreakBefore w:val="0"/>
        <w:kinsoku/>
        <w:wordWrap/>
        <w:overflowPunct/>
        <w:topLinePunct w:val="0"/>
        <w:autoSpaceDE/>
        <w:autoSpaceDN/>
        <w:bidi w:val="0"/>
        <w:spacing w:line="560" w:lineRule="exact"/>
        <w:ind w:firstLine="640" w:firstLineChars="200"/>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一、主要职能</w:t>
      </w:r>
    </w:p>
    <w:p>
      <w:pPr>
        <w:keepNext w:val="0"/>
        <w:keepLines w:val="0"/>
        <w:pageBreakBefore w:val="0"/>
        <w:kinsoku/>
        <w:wordWrap/>
        <w:overflowPunct/>
        <w:topLinePunct w:val="0"/>
        <w:autoSpaceDE/>
        <w:autoSpaceDN/>
        <w:bidi w:val="0"/>
        <w:spacing w:line="560" w:lineRule="exact"/>
        <w:ind w:firstLine="640" w:firstLineChars="200"/>
        <w:outlineLvl w:val="9"/>
        <w:rPr>
          <w:rFonts w:hint="default" w:ascii="Times New Roman" w:hAnsi="Times New Roman" w:eastAsia="楷体" w:cs="Times New Roman"/>
          <w:sz w:val="32"/>
          <w:szCs w:val="32"/>
        </w:rPr>
      </w:pPr>
      <w:r>
        <w:rPr>
          <w:rFonts w:hint="default" w:ascii="Times New Roman" w:hAnsi="Times New Roman" w:eastAsia="楷体" w:cs="Times New Roman"/>
          <w:bCs/>
          <w:sz w:val="32"/>
          <w:szCs w:val="32"/>
        </w:rPr>
        <w:t>（一）主要职能</w:t>
      </w:r>
    </w:p>
    <w:p>
      <w:pPr>
        <w:pStyle w:val="2"/>
        <w:keepNext w:val="0"/>
        <w:keepLines w:val="0"/>
        <w:pageBreakBefore w:val="0"/>
        <w:kinsoku/>
        <w:wordWrap/>
        <w:overflowPunct/>
        <w:topLinePunct w:val="0"/>
        <w:autoSpaceDE/>
        <w:autoSpaceDN/>
        <w:bidi w:val="0"/>
        <w:adjustRightInd w:val="0"/>
        <w:snapToGrid w:val="0"/>
        <w:spacing w:line="560" w:lineRule="exact"/>
        <w:ind w:firstLine="672" w:firstLineChars="210"/>
        <w:outlineLvl w:val="9"/>
        <w:rPr>
          <w:rFonts w:hint="default" w:ascii="Times New Roman" w:hAnsi="Times New Roman" w:cs="Times New Roman"/>
          <w:bCs/>
          <w:sz w:val="32"/>
          <w:szCs w:val="32"/>
        </w:rPr>
      </w:pPr>
      <w:r>
        <w:rPr>
          <w:rFonts w:hint="default" w:ascii="Times New Roman" w:hAnsi="Times New Roman" w:cs="Times New Roman"/>
          <w:bCs/>
          <w:sz w:val="32"/>
          <w:szCs w:val="32"/>
        </w:rPr>
        <w:t>1．主要职能</w:t>
      </w:r>
    </w:p>
    <w:p>
      <w:pPr>
        <w:pStyle w:val="2"/>
        <w:keepNext w:val="0"/>
        <w:keepLines w:val="0"/>
        <w:pageBreakBefore w:val="0"/>
        <w:kinsoku/>
        <w:wordWrap/>
        <w:overflowPunct/>
        <w:topLinePunct w:val="0"/>
        <w:autoSpaceDE/>
        <w:autoSpaceDN/>
        <w:bidi w:val="0"/>
        <w:adjustRightInd w:val="0"/>
        <w:snapToGrid w:val="0"/>
        <w:spacing w:line="560" w:lineRule="exact"/>
        <w:ind w:firstLine="672" w:firstLineChars="210"/>
        <w:outlineLvl w:val="9"/>
        <w:rPr>
          <w:rFonts w:hint="default" w:ascii="Times New Roman" w:hAnsi="Times New Roman" w:cs="Times New Roman"/>
          <w:bCs/>
          <w:sz w:val="32"/>
          <w:szCs w:val="32"/>
        </w:rPr>
      </w:pPr>
      <w:r>
        <w:rPr>
          <w:rFonts w:hint="default" w:ascii="Times New Roman" w:hAnsi="Times New Roman" w:cs="Times New Roman"/>
          <w:bCs/>
          <w:sz w:val="32"/>
          <w:szCs w:val="32"/>
        </w:rPr>
        <w:t>根据盈发[2011]43号文件规定，主要职能是：</w:t>
      </w:r>
    </w:p>
    <w:p>
      <w:pPr>
        <w:pStyle w:val="2"/>
        <w:keepNext w:val="0"/>
        <w:keepLines w:val="0"/>
        <w:pageBreakBefore w:val="0"/>
        <w:kinsoku/>
        <w:wordWrap/>
        <w:overflowPunct/>
        <w:topLinePunct w:val="0"/>
        <w:autoSpaceDE/>
        <w:autoSpaceDN/>
        <w:bidi w:val="0"/>
        <w:adjustRightInd w:val="0"/>
        <w:snapToGrid w:val="0"/>
        <w:spacing w:line="560" w:lineRule="exact"/>
        <w:ind w:firstLine="672" w:firstLineChars="210"/>
        <w:outlineLvl w:val="9"/>
        <w:rPr>
          <w:rFonts w:hint="default" w:ascii="Times New Roman" w:hAnsi="Times New Roman" w:cs="Times New Roman"/>
          <w:bCs/>
          <w:sz w:val="32"/>
          <w:szCs w:val="32"/>
        </w:rPr>
      </w:pPr>
      <w:r>
        <w:rPr>
          <w:rFonts w:hint="default" w:ascii="Times New Roman" w:hAnsi="Times New Roman" w:cs="Times New Roman"/>
          <w:bCs/>
          <w:sz w:val="32"/>
          <w:szCs w:val="32"/>
        </w:rPr>
        <w:t>（1）贯彻执行党和国家的路线、方针、政策和法律法规。</w:t>
      </w:r>
    </w:p>
    <w:p>
      <w:pPr>
        <w:pStyle w:val="2"/>
        <w:keepNext w:val="0"/>
        <w:keepLines w:val="0"/>
        <w:pageBreakBefore w:val="0"/>
        <w:kinsoku/>
        <w:wordWrap/>
        <w:overflowPunct/>
        <w:topLinePunct w:val="0"/>
        <w:autoSpaceDE/>
        <w:autoSpaceDN/>
        <w:bidi w:val="0"/>
        <w:adjustRightInd w:val="0"/>
        <w:snapToGrid w:val="0"/>
        <w:spacing w:line="560" w:lineRule="exact"/>
        <w:ind w:firstLine="672" w:firstLineChars="210"/>
        <w:outlineLvl w:val="9"/>
        <w:rPr>
          <w:rFonts w:hint="default" w:ascii="Times New Roman" w:hAnsi="Times New Roman" w:cs="Times New Roman"/>
          <w:bCs/>
          <w:sz w:val="32"/>
          <w:szCs w:val="32"/>
        </w:rPr>
      </w:pPr>
      <w:r>
        <w:rPr>
          <w:rFonts w:hint="default" w:ascii="Times New Roman" w:hAnsi="Times New Roman" w:cs="Times New Roman"/>
          <w:bCs/>
          <w:sz w:val="32"/>
          <w:szCs w:val="32"/>
        </w:rPr>
        <w:t>（2）在镇党委的领导、镇人大的监督下，制定并执行本级人民代表大会的决议和上级国家行政机关的决定和命令，执行本行政区内的经济和社会发展计划、规划，按期组织实施。管理本行政区域内的经济、教育、科学、文化、卫生、体育和财政、民政、公安、司法、计划生育、土地城建等行政工作。</w:t>
      </w:r>
    </w:p>
    <w:p>
      <w:pPr>
        <w:pStyle w:val="2"/>
        <w:keepNext w:val="0"/>
        <w:keepLines w:val="0"/>
        <w:pageBreakBefore w:val="0"/>
        <w:kinsoku/>
        <w:wordWrap/>
        <w:overflowPunct/>
        <w:topLinePunct w:val="0"/>
        <w:autoSpaceDE/>
        <w:autoSpaceDN/>
        <w:bidi w:val="0"/>
        <w:adjustRightInd w:val="0"/>
        <w:snapToGrid w:val="0"/>
        <w:spacing w:line="560" w:lineRule="exact"/>
        <w:ind w:firstLine="672" w:firstLineChars="210"/>
        <w:outlineLvl w:val="9"/>
        <w:rPr>
          <w:rFonts w:hint="default" w:ascii="Times New Roman" w:hAnsi="Times New Roman" w:cs="Times New Roman"/>
          <w:bCs/>
          <w:sz w:val="32"/>
          <w:szCs w:val="32"/>
        </w:rPr>
      </w:pPr>
      <w:r>
        <w:rPr>
          <w:rFonts w:hint="default" w:ascii="Times New Roman" w:hAnsi="Times New Roman" w:cs="Times New Roman"/>
          <w:bCs/>
          <w:sz w:val="32"/>
          <w:szCs w:val="32"/>
        </w:rPr>
        <w:t>（3）保护社会主义的全民所有财产和劳动群众集体所有财产，保护公民么人所有的合法财产，维护社会秩序，保障公民的人身权利、民主权利和其它权利，保护各种经济的合法权益。</w:t>
      </w:r>
    </w:p>
    <w:p>
      <w:pPr>
        <w:pStyle w:val="2"/>
        <w:keepNext w:val="0"/>
        <w:keepLines w:val="0"/>
        <w:pageBreakBefore w:val="0"/>
        <w:kinsoku/>
        <w:wordWrap/>
        <w:overflowPunct/>
        <w:topLinePunct w:val="0"/>
        <w:autoSpaceDE/>
        <w:autoSpaceDN/>
        <w:bidi w:val="0"/>
        <w:adjustRightInd w:val="0"/>
        <w:snapToGrid w:val="0"/>
        <w:spacing w:line="560" w:lineRule="exact"/>
        <w:ind w:firstLine="672" w:firstLineChars="210"/>
        <w:outlineLvl w:val="9"/>
        <w:rPr>
          <w:rFonts w:hint="default" w:ascii="Times New Roman" w:hAnsi="Times New Roman" w:cs="Times New Roman"/>
          <w:bCs/>
          <w:sz w:val="32"/>
          <w:szCs w:val="32"/>
        </w:rPr>
      </w:pPr>
      <w:r>
        <w:rPr>
          <w:rFonts w:hint="default" w:ascii="Times New Roman" w:hAnsi="Times New Roman" w:cs="Times New Roman"/>
          <w:bCs/>
          <w:sz w:val="32"/>
          <w:szCs w:val="32"/>
        </w:rPr>
        <w:t>（4）切实推行政务、财务公开，使政务、财务公开走入法制化轨道。</w:t>
      </w:r>
    </w:p>
    <w:p>
      <w:pPr>
        <w:pStyle w:val="2"/>
        <w:keepNext w:val="0"/>
        <w:keepLines w:val="0"/>
        <w:pageBreakBefore w:val="0"/>
        <w:kinsoku/>
        <w:wordWrap/>
        <w:overflowPunct/>
        <w:topLinePunct w:val="0"/>
        <w:autoSpaceDE/>
        <w:autoSpaceDN/>
        <w:bidi w:val="0"/>
        <w:adjustRightInd w:val="0"/>
        <w:snapToGrid w:val="0"/>
        <w:spacing w:line="560" w:lineRule="exact"/>
        <w:ind w:firstLine="672" w:firstLineChars="210"/>
        <w:outlineLvl w:val="9"/>
        <w:rPr>
          <w:rFonts w:hint="default" w:ascii="Times New Roman" w:hAnsi="Times New Roman" w:cs="Times New Roman"/>
          <w:bCs/>
          <w:sz w:val="32"/>
          <w:szCs w:val="32"/>
        </w:rPr>
      </w:pPr>
      <w:r>
        <w:rPr>
          <w:rFonts w:hint="default" w:ascii="Times New Roman" w:hAnsi="Times New Roman" w:cs="Times New Roman"/>
          <w:bCs/>
          <w:sz w:val="32"/>
          <w:szCs w:val="32"/>
        </w:rPr>
        <w:t>（5）有计划、有目标地组织实施好本镇的经济发展、基础设施建设、社会公益事业建设；开展好社会福利活动；保障少数民族权利和尊重少数民族的风俗习惯；保障宪法和法律赋予妇女儿童残疾人的正当权益；实行男女平等、婚姻自由；保障劳工经商的合法权益，做到同工同酬。</w:t>
      </w:r>
    </w:p>
    <w:p>
      <w:pPr>
        <w:pStyle w:val="2"/>
        <w:keepNext w:val="0"/>
        <w:keepLines w:val="0"/>
        <w:pageBreakBefore w:val="0"/>
        <w:kinsoku/>
        <w:wordWrap/>
        <w:overflowPunct/>
        <w:topLinePunct w:val="0"/>
        <w:autoSpaceDE/>
        <w:autoSpaceDN/>
        <w:bidi w:val="0"/>
        <w:adjustRightInd w:val="0"/>
        <w:snapToGrid w:val="0"/>
        <w:spacing w:line="560" w:lineRule="exact"/>
        <w:ind w:firstLine="672" w:firstLineChars="210"/>
        <w:outlineLvl w:val="9"/>
        <w:rPr>
          <w:rFonts w:hint="default" w:ascii="Times New Roman" w:hAnsi="Times New Roman" w:cs="Times New Roman"/>
          <w:bCs/>
          <w:sz w:val="32"/>
          <w:szCs w:val="32"/>
        </w:rPr>
      </w:pPr>
      <w:r>
        <w:rPr>
          <w:rFonts w:hint="default" w:ascii="Times New Roman" w:hAnsi="Times New Roman" w:cs="Times New Roman"/>
          <w:bCs/>
          <w:sz w:val="32"/>
          <w:szCs w:val="32"/>
        </w:rPr>
        <w:t>（6）围绕财政增收、农民致富，搞好产业结构调整，带领群众脱贫致富。</w:t>
      </w:r>
    </w:p>
    <w:p>
      <w:pPr>
        <w:pStyle w:val="2"/>
        <w:keepNext w:val="0"/>
        <w:keepLines w:val="0"/>
        <w:pageBreakBefore w:val="0"/>
        <w:kinsoku/>
        <w:wordWrap/>
        <w:overflowPunct/>
        <w:topLinePunct w:val="0"/>
        <w:autoSpaceDE/>
        <w:autoSpaceDN/>
        <w:bidi w:val="0"/>
        <w:adjustRightInd w:val="0"/>
        <w:snapToGrid w:val="0"/>
        <w:spacing w:line="560" w:lineRule="exact"/>
        <w:ind w:firstLine="672" w:firstLineChars="210"/>
        <w:outlineLvl w:val="9"/>
        <w:rPr>
          <w:rFonts w:hint="default" w:ascii="Times New Roman" w:hAnsi="Times New Roman" w:cs="Times New Roman"/>
          <w:bCs/>
          <w:sz w:val="32"/>
          <w:szCs w:val="32"/>
        </w:rPr>
      </w:pPr>
      <w:r>
        <w:rPr>
          <w:rFonts w:hint="default" w:ascii="Times New Roman" w:hAnsi="Times New Roman" w:cs="Times New Roman"/>
          <w:bCs/>
          <w:sz w:val="32"/>
          <w:szCs w:val="32"/>
        </w:rPr>
        <w:t>2．机构情况，包括当年变动情况及原因。</w:t>
      </w:r>
    </w:p>
    <w:p>
      <w:pPr>
        <w:pStyle w:val="2"/>
        <w:keepNext w:val="0"/>
        <w:keepLines w:val="0"/>
        <w:pageBreakBefore w:val="0"/>
        <w:kinsoku/>
        <w:wordWrap/>
        <w:overflowPunct/>
        <w:topLinePunct w:val="0"/>
        <w:autoSpaceDE/>
        <w:autoSpaceDN/>
        <w:bidi w:val="0"/>
        <w:adjustRightInd w:val="0"/>
        <w:snapToGrid w:val="0"/>
        <w:spacing w:line="560" w:lineRule="exact"/>
        <w:ind w:firstLine="672" w:firstLineChars="210"/>
        <w:outlineLvl w:val="9"/>
        <w:rPr>
          <w:rFonts w:hint="default" w:ascii="Times New Roman" w:hAnsi="Times New Roman" w:cs="Times New Roman"/>
          <w:bCs/>
          <w:sz w:val="32"/>
          <w:szCs w:val="32"/>
        </w:rPr>
      </w:pPr>
      <w:r>
        <w:rPr>
          <w:rFonts w:hint="default" w:ascii="Times New Roman" w:hAnsi="Times New Roman" w:cs="Times New Roman"/>
          <w:bCs/>
          <w:sz w:val="32"/>
          <w:szCs w:val="32"/>
        </w:rPr>
        <w:t>盈江县旧城镇人民政府内设 4 个职能科室，下辖农业综合服务中心、文化广播电视服务中心、村镇规划建设服务中心、社会保障服务中心、财政所、农村经济经营管理站等6 个预算单位。</w:t>
      </w:r>
    </w:p>
    <w:p>
      <w:pPr>
        <w:pStyle w:val="2"/>
        <w:keepNext w:val="0"/>
        <w:keepLines w:val="0"/>
        <w:pageBreakBefore w:val="0"/>
        <w:kinsoku/>
        <w:wordWrap/>
        <w:overflowPunct/>
        <w:topLinePunct w:val="0"/>
        <w:autoSpaceDE/>
        <w:autoSpaceDN/>
        <w:bidi w:val="0"/>
        <w:adjustRightInd w:val="0"/>
        <w:snapToGrid w:val="0"/>
        <w:spacing w:line="560" w:lineRule="exact"/>
        <w:ind w:firstLine="672" w:firstLineChars="210"/>
        <w:outlineLvl w:val="9"/>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（二）2017年度重点工作任务介绍</w:t>
      </w:r>
    </w:p>
    <w:p>
      <w:pPr>
        <w:pStyle w:val="2"/>
        <w:keepNext w:val="0"/>
        <w:keepLines w:val="0"/>
        <w:pageBreakBefore w:val="0"/>
        <w:kinsoku/>
        <w:wordWrap/>
        <w:overflowPunct/>
        <w:topLinePunct w:val="0"/>
        <w:autoSpaceDE/>
        <w:autoSpaceDN/>
        <w:bidi w:val="0"/>
        <w:adjustRightInd w:val="0"/>
        <w:snapToGrid w:val="0"/>
        <w:spacing w:line="560" w:lineRule="exact"/>
        <w:ind w:firstLine="672" w:firstLineChars="210"/>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1、实施精准扶贫，促进脱贫攻坚全面推进；</w:t>
      </w:r>
    </w:p>
    <w:p>
      <w:pPr>
        <w:pStyle w:val="2"/>
        <w:keepNext w:val="0"/>
        <w:keepLines w:val="0"/>
        <w:pageBreakBefore w:val="0"/>
        <w:kinsoku/>
        <w:wordWrap/>
        <w:overflowPunct/>
        <w:topLinePunct w:val="0"/>
        <w:autoSpaceDE/>
        <w:autoSpaceDN/>
        <w:bidi w:val="0"/>
        <w:adjustRightInd w:val="0"/>
        <w:snapToGrid w:val="0"/>
        <w:spacing w:line="560" w:lineRule="exact"/>
        <w:ind w:firstLine="672" w:firstLineChars="210"/>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2、加强自身建设，深入开展学习党的十九大精神，并纳入“两学一做”学习教育；深入开展党风廉政建设和反腐工作。</w:t>
      </w:r>
    </w:p>
    <w:p>
      <w:pPr>
        <w:pStyle w:val="2"/>
        <w:keepNext w:val="0"/>
        <w:keepLines w:val="0"/>
        <w:pageBreakBefore w:val="0"/>
        <w:kinsoku/>
        <w:wordWrap/>
        <w:overflowPunct/>
        <w:topLinePunct w:val="0"/>
        <w:autoSpaceDE/>
        <w:autoSpaceDN/>
        <w:bidi w:val="0"/>
        <w:adjustRightInd w:val="0"/>
        <w:snapToGrid w:val="0"/>
        <w:spacing w:line="560" w:lineRule="exact"/>
        <w:ind w:firstLine="672" w:firstLineChars="210"/>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3、提升工业、农业、旅游业发展质量。</w:t>
      </w:r>
    </w:p>
    <w:p>
      <w:pPr>
        <w:pStyle w:val="2"/>
        <w:keepNext w:val="0"/>
        <w:keepLines w:val="0"/>
        <w:pageBreakBefore w:val="0"/>
        <w:kinsoku/>
        <w:wordWrap/>
        <w:overflowPunct/>
        <w:topLinePunct w:val="0"/>
        <w:autoSpaceDE/>
        <w:autoSpaceDN/>
        <w:bidi w:val="0"/>
        <w:adjustRightInd w:val="0"/>
        <w:snapToGrid w:val="0"/>
        <w:spacing w:line="560" w:lineRule="exact"/>
        <w:ind w:firstLine="672" w:firstLineChars="210"/>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4、着力发展社会事业，加强综治维稳工作。</w:t>
      </w:r>
    </w:p>
    <w:p>
      <w:pPr>
        <w:pStyle w:val="2"/>
        <w:keepNext w:val="0"/>
        <w:keepLines w:val="0"/>
        <w:pageBreakBefore w:val="0"/>
        <w:kinsoku/>
        <w:wordWrap/>
        <w:overflowPunct/>
        <w:topLinePunct w:val="0"/>
        <w:autoSpaceDE/>
        <w:autoSpaceDN/>
        <w:bidi w:val="0"/>
        <w:adjustRightInd w:val="0"/>
        <w:snapToGrid w:val="0"/>
        <w:spacing w:line="560" w:lineRule="exact"/>
        <w:ind w:firstLine="672" w:firstLineChars="210"/>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5、完善基础设施建设。</w:t>
      </w:r>
    </w:p>
    <w:p>
      <w:pPr>
        <w:keepNext w:val="0"/>
        <w:keepLines w:val="0"/>
        <w:pageBreakBefore w:val="0"/>
        <w:kinsoku/>
        <w:wordWrap/>
        <w:overflowPunct/>
        <w:topLinePunct w:val="0"/>
        <w:autoSpaceDE/>
        <w:autoSpaceDN/>
        <w:bidi w:val="0"/>
        <w:spacing w:line="560" w:lineRule="exact"/>
        <w:ind w:firstLine="640" w:firstLineChars="200"/>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二、部门基本情况</w:t>
      </w:r>
    </w:p>
    <w:p>
      <w:pPr>
        <w:keepNext w:val="0"/>
        <w:keepLines w:val="0"/>
        <w:pageBreakBefore w:val="0"/>
        <w:kinsoku/>
        <w:wordWrap/>
        <w:overflowPunct/>
        <w:topLinePunct w:val="0"/>
        <w:autoSpaceDE/>
        <w:autoSpaceDN/>
        <w:bidi w:val="0"/>
        <w:spacing w:line="560" w:lineRule="exact"/>
        <w:ind w:firstLine="640" w:firstLineChars="200"/>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（一）部门决算单位构成</w:t>
      </w:r>
    </w:p>
    <w:p>
      <w:pPr>
        <w:keepNext w:val="0"/>
        <w:keepLines w:val="0"/>
        <w:pageBreakBefore w:val="0"/>
        <w:kinsoku/>
        <w:wordWrap/>
        <w:overflowPunct/>
        <w:topLinePunct w:val="0"/>
        <w:autoSpaceDE/>
        <w:autoSpaceDN/>
        <w:bidi w:val="0"/>
        <w:spacing w:line="560" w:lineRule="exact"/>
        <w:ind w:firstLine="640" w:firstLineChars="200"/>
        <w:outlineLvl w:val="9"/>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纳入盈江县旧城镇人民政府2017年度部门决算编报的单位共6个。其中：行政单位2个</w:t>
      </w:r>
      <w:r>
        <w:rPr>
          <w:rFonts w:hint="eastAsia" w:ascii="Times New Roman" w:hAnsi="Times New Roman" w:eastAsia="仿宋_GB2312" w:cs="Times New Roman"/>
          <w:sz w:val="32"/>
          <w:szCs w:val="32"/>
          <w:lang w:eastAsia="zh-CN"/>
        </w:rPr>
        <w:t>，分别是：共产党机关、政府机关；</w:t>
      </w:r>
      <w:r>
        <w:rPr>
          <w:rFonts w:hint="default" w:ascii="Times New Roman" w:hAnsi="Times New Roman" w:eastAsia="仿宋_GB2312" w:cs="Times New Roman"/>
          <w:sz w:val="32"/>
          <w:szCs w:val="32"/>
        </w:rPr>
        <w:t>参照公务员法管理的事业单位</w:t>
      </w:r>
      <w:r>
        <w:rPr>
          <w:rFonts w:hint="default" w:ascii="Times New Roman" w:hAnsi="Times New Roman" w:eastAsia="仿宋_GB2312" w:cs="Times New Roman"/>
          <w:bCs/>
          <w:sz w:val="32"/>
          <w:szCs w:val="32"/>
        </w:rPr>
        <w:t>0</w:t>
      </w:r>
      <w:r>
        <w:rPr>
          <w:rFonts w:hint="default" w:ascii="Times New Roman" w:hAnsi="Times New Roman" w:eastAsia="仿宋_GB2312" w:cs="Times New Roman"/>
          <w:sz w:val="32"/>
          <w:szCs w:val="32"/>
        </w:rPr>
        <w:t>个</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其他事业单位4个</w:t>
      </w:r>
      <w:r>
        <w:rPr>
          <w:rFonts w:hint="eastAsia" w:ascii="Times New Roman" w:hAnsi="Times New Roman" w:eastAsia="仿宋_GB2312" w:cs="Times New Roman"/>
          <w:sz w:val="32"/>
          <w:szCs w:val="32"/>
          <w:lang w:eastAsia="zh-CN"/>
        </w:rPr>
        <w:t>，分别是：文化广播服务中心、农业服务中心、村镇规划建设服务中心、社会保障服务中心</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spacing w:line="560" w:lineRule="exact"/>
        <w:ind w:firstLine="640" w:firstLineChars="200"/>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 xml:space="preserve">（二）部门人员和车辆的编制及实有情况 </w:t>
      </w:r>
    </w:p>
    <w:p>
      <w:pPr>
        <w:keepNext w:val="0"/>
        <w:keepLines w:val="0"/>
        <w:pageBreakBefore w:val="0"/>
        <w:kinsoku/>
        <w:wordWrap/>
        <w:overflowPunct/>
        <w:topLinePunct w:val="0"/>
        <w:autoSpaceDE/>
        <w:autoSpaceDN/>
        <w:bidi w:val="0"/>
        <w:spacing w:line="560" w:lineRule="exact"/>
        <w:ind w:firstLine="640" w:firstLineChars="200"/>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盈江县旧城镇人民政府2017年末实有人员编制67</w:t>
      </w:r>
      <w:r>
        <w:rPr>
          <w:rFonts w:hint="default" w:ascii="Times New Roman" w:hAnsi="Times New Roman" w:eastAsia="仿宋_GB2312" w:cs="Times New Roman"/>
          <w:kern w:val="0"/>
          <w:sz w:val="32"/>
          <w:szCs w:val="32"/>
        </w:rPr>
        <w:t>人。其中：行政编制</w:t>
      </w:r>
      <w:r>
        <w:rPr>
          <w:rFonts w:hint="default" w:ascii="Times New Roman" w:hAnsi="Times New Roman" w:eastAsia="仿宋_GB2312" w:cs="Times New Roman"/>
          <w:sz w:val="32"/>
          <w:szCs w:val="32"/>
        </w:rPr>
        <w:t>31</w:t>
      </w:r>
      <w:r>
        <w:rPr>
          <w:rFonts w:hint="default" w:ascii="Times New Roman" w:hAnsi="Times New Roman" w:eastAsia="仿宋_GB2312" w:cs="Times New Roman"/>
          <w:kern w:val="0"/>
          <w:sz w:val="32"/>
          <w:szCs w:val="32"/>
        </w:rPr>
        <w:t>人（含行政工勤编制</w:t>
      </w: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人），事业编制</w:t>
      </w:r>
      <w:r>
        <w:rPr>
          <w:rFonts w:hint="default" w:ascii="Times New Roman" w:hAnsi="Times New Roman" w:eastAsia="仿宋_GB2312" w:cs="Times New Roman"/>
          <w:sz w:val="32"/>
          <w:szCs w:val="32"/>
        </w:rPr>
        <w:t>36</w:t>
      </w:r>
      <w:r>
        <w:rPr>
          <w:rFonts w:hint="default" w:ascii="Times New Roman" w:hAnsi="Times New Roman" w:eastAsia="仿宋_GB2312" w:cs="Times New Roman"/>
          <w:kern w:val="0"/>
          <w:sz w:val="32"/>
          <w:szCs w:val="32"/>
        </w:rPr>
        <w:t>人（含参公管理事业编制</w:t>
      </w:r>
      <w:r>
        <w:rPr>
          <w:rFonts w:hint="default" w:ascii="Times New Roman" w:hAnsi="Times New Roman" w:eastAsia="仿宋_GB2312" w:cs="Times New Roman"/>
          <w:sz w:val="32"/>
          <w:szCs w:val="32"/>
        </w:rPr>
        <w:t>8</w:t>
      </w:r>
      <w:r>
        <w:rPr>
          <w:rFonts w:hint="default" w:ascii="Times New Roman" w:hAnsi="Times New Roman" w:eastAsia="仿宋_GB2312" w:cs="Times New Roman"/>
          <w:kern w:val="0"/>
          <w:sz w:val="32"/>
          <w:szCs w:val="32"/>
        </w:rPr>
        <w:t>人）；在职在编实有行政人员</w:t>
      </w:r>
      <w:r>
        <w:rPr>
          <w:rFonts w:hint="default" w:ascii="Times New Roman" w:hAnsi="Times New Roman" w:eastAsia="仿宋_GB2312" w:cs="Times New Roman"/>
          <w:sz w:val="32"/>
          <w:szCs w:val="32"/>
        </w:rPr>
        <w:t>33</w:t>
      </w:r>
      <w:r>
        <w:rPr>
          <w:rFonts w:hint="default" w:ascii="Times New Roman" w:hAnsi="Times New Roman" w:eastAsia="仿宋_GB2312" w:cs="Times New Roman"/>
          <w:kern w:val="0"/>
          <w:sz w:val="32"/>
          <w:szCs w:val="32"/>
        </w:rPr>
        <w:t>人（含行政工勤人员</w:t>
      </w:r>
      <w:r>
        <w:rPr>
          <w:rFonts w:hint="default" w:ascii="Times New Roman" w:hAnsi="Times New Roman" w:eastAsia="仿宋_GB2312" w:cs="Times New Roman"/>
          <w:sz w:val="32"/>
          <w:szCs w:val="32"/>
        </w:rPr>
        <w:t>7</w:t>
      </w:r>
      <w:r>
        <w:rPr>
          <w:rFonts w:hint="default" w:ascii="Times New Roman" w:hAnsi="Times New Roman" w:eastAsia="仿宋_GB2312" w:cs="Times New Roman"/>
          <w:kern w:val="0"/>
          <w:sz w:val="32"/>
          <w:szCs w:val="32"/>
        </w:rPr>
        <w:t>人），事业人员</w:t>
      </w:r>
      <w:r>
        <w:rPr>
          <w:rFonts w:hint="default" w:ascii="Times New Roman" w:hAnsi="Times New Roman" w:eastAsia="仿宋_GB2312" w:cs="Times New Roman"/>
          <w:sz w:val="32"/>
          <w:szCs w:val="32"/>
        </w:rPr>
        <w:t>27</w:t>
      </w:r>
      <w:r>
        <w:rPr>
          <w:rFonts w:hint="default" w:ascii="Times New Roman" w:hAnsi="Times New Roman" w:eastAsia="仿宋_GB2312" w:cs="Times New Roman"/>
          <w:kern w:val="0"/>
          <w:sz w:val="32"/>
          <w:szCs w:val="32"/>
        </w:rPr>
        <w:t>人（含参公管理事业人员</w:t>
      </w:r>
      <w:r>
        <w:rPr>
          <w:rFonts w:hint="default" w:ascii="Times New Roman" w:hAnsi="Times New Roman" w:eastAsia="仿宋_GB2312" w:cs="Times New Roman"/>
          <w:sz w:val="32"/>
          <w:szCs w:val="32"/>
        </w:rPr>
        <w:t>0</w:t>
      </w:r>
      <w:r>
        <w:rPr>
          <w:rFonts w:hint="default" w:ascii="Times New Roman" w:hAnsi="Times New Roman" w:eastAsia="仿宋_GB2312" w:cs="Times New Roman"/>
          <w:kern w:val="0"/>
          <w:sz w:val="32"/>
          <w:szCs w:val="32"/>
        </w:rPr>
        <w:t>人）。</w:t>
      </w:r>
    </w:p>
    <w:p>
      <w:pPr>
        <w:keepNext w:val="0"/>
        <w:keepLines w:val="0"/>
        <w:pageBreakBefore w:val="0"/>
        <w:kinsoku/>
        <w:wordWrap/>
        <w:overflowPunct/>
        <w:topLinePunct w:val="0"/>
        <w:autoSpaceDE/>
        <w:autoSpaceDN/>
        <w:bidi w:val="0"/>
        <w:spacing w:line="560" w:lineRule="exact"/>
        <w:ind w:firstLine="640" w:firstLineChars="200"/>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离退休人员</w:t>
      </w:r>
      <w:r>
        <w:rPr>
          <w:rFonts w:hint="default" w:ascii="Times New Roman" w:hAnsi="Times New Roman" w:eastAsia="仿宋_GB2312" w:cs="Times New Roman"/>
          <w:sz w:val="32"/>
          <w:szCs w:val="32"/>
        </w:rPr>
        <w:t>0</w:t>
      </w:r>
      <w:r>
        <w:rPr>
          <w:rFonts w:hint="default" w:ascii="Times New Roman" w:hAnsi="Times New Roman" w:eastAsia="仿宋_GB2312" w:cs="Times New Roman"/>
          <w:kern w:val="0"/>
          <w:sz w:val="32"/>
          <w:szCs w:val="32"/>
        </w:rPr>
        <w:t>人。其中：离休</w:t>
      </w:r>
      <w:r>
        <w:rPr>
          <w:rFonts w:hint="default" w:ascii="Times New Roman" w:hAnsi="Times New Roman" w:eastAsia="仿宋_GB2312" w:cs="Times New Roman"/>
          <w:sz w:val="32"/>
          <w:szCs w:val="32"/>
        </w:rPr>
        <w:t>0</w:t>
      </w:r>
      <w:r>
        <w:rPr>
          <w:rFonts w:hint="default" w:ascii="Times New Roman" w:hAnsi="Times New Roman" w:eastAsia="仿宋_GB2312" w:cs="Times New Roman"/>
          <w:kern w:val="0"/>
          <w:sz w:val="32"/>
          <w:szCs w:val="32"/>
        </w:rPr>
        <w:t>人，退休</w:t>
      </w:r>
      <w:r>
        <w:rPr>
          <w:rFonts w:hint="default" w:ascii="Times New Roman" w:hAnsi="Times New Roman" w:eastAsia="仿宋_GB2312" w:cs="Times New Roman"/>
          <w:sz w:val="32"/>
          <w:szCs w:val="32"/>
        </w:rPr>
        <w:t>0</w:t>
      </w:r>
      <w:r>
        <w:rPr>
          <w:rFonts w:hint="default" w:ascii="Times New Roman" w:hAnsi="Times New Roman" w:eastAsia="仿宋_GB2312" w:cs="Times New Roman"/>
          <w:kern w:val="0"/>
          <w:sz w:val="32"/>
          <w:szCs w:val="32"/>
        </w:rPr>
        <w:t>人（已纳入社保）。</w:t>
      </w:r>
    </w:p>
    <w:p>
      <w:pPr>
        <w:keepNext w:val="0"/>
        <w:keepLines w:val="0"/>
        <w:pageBreakBefore w:val="0"/>
        <w:kinsoku/>
        <w:wordWrap/>
        <w:overflowPunct/>
        <w:topLinePunct w:val="0"/>
        <w:autoSpaceDE/>
        <w:autoSpaceDN/>
        <w:bidi w:val="0"/>
        <w:spacing w:line="560" w:lineRule="exact"/>
        <w:ind w:firstLine="640" w:firstLineChars="200"/>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实有车辆编制</w:t>
      </w: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辆，在编实有车辆</w:t>
      </w: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辆。</w:t>
      </w:r>
    </w:p>
    <w:p>
      <w:pPr>
        <w:keepNext w:val="0"/>
        <w:keepLines w:val="0"/>
        <w:pageBreakBefore w:val="0"/>
        <w:kinsoku/>
        <w:wordWrap/>
        <w:overflowPunct/>
        <w:topLinePunct w:val="0"/>
        <w:autoSpaceDE/>
        <w:autoSpaceDN/>
        <w:bidi w:val="0"/>
        <w:spacing w:line="560" w:lineRule="exact"/>
        <w:jc w:val="center"/>
        <w:outlineLvl w:val="9"/>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jc w:val="center"/>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第二部分  2017年度部门决算表</w:t>
      </w:r>
    </w:p>
    <w:p>
      <w:pPr>
        <w:keepNext w:val="0"/>
        <w:keepLines w:val="0"/>
        <w:pageBreakBefore w:val="0"/>
        <w:kinsoku/>
        <w:wordWrap/>
        <w:overflowPunct/>
        <w:topLinePunct w:val="0"/>
        <w:autoSpaceDE/>
        <w:autoSpaceDN/>
        <w:bidi w:val="0"/>
        <w:spacing w:line="560" w:lineRule="exact"/>
        <w:ind w:firstLine="640" w:firstLineChars="200"/>
        <w:jc w:val="center"/>
        <w:outlineLvl w:val="9"/>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（详见附件）</w:t>
      </w:r>
    </w:p>
    <w:p>
      <w:pPr>
        <w:keepNext w:val="0"/>
        <w:keepLines w:val="0"/>
        <w:pageBreakBefore w:val="0"/>
        <w:kinsoku/>
        <w:wordWrap/>
        <w:overflowPunct/>
        <w:topLinePunct w:val="0"/>
        <w:autoSpaceDE/>
        <w:autoSpaceDN/>
        <w:bidi w:val="0"/>
        <w:spacing w:line="560" w:lineRule="exact"/>
        <w:jc w:val="center"/>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第三部门  2017年度部门决算情况说明</w:t>
      </w:r>
    </w:p>
    <w:p>
      <w:pPr>
        <w:keepNext w:val="0"/>
        <w:keepLines w:val="0"/>
        <w:pageBreakBefore w:val="0"/>
        <w:kinsoku/>
        <w:wordWrap/>
        <w:overflowPunct/>
        <w:topLinePunct w:val="0"/>
        <w:autoSpaceDE/>
        <w:autoSpaceDN/>
        <w:bidi w:val="0"/>
        <w:spacing w:line="560" w:lineRule="exact"/>
        <w:ind w:firstLine="640" w:firstLineChars="200"/>
        <w:jc w:val="left"/>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一、收入决算情况说明</w:t>
      </w:r>
    </w:p>
    <w:p>
      <w:pPr>
        <w:keepNext w:val="0"/>
        <w:keepLines w:val="0"/>
        <w:pageBreakBefore w:val="0"/>
        <w:widowControl/>
        <w:kinsoku/>
        <w:wordWrap/>
        <w:overflowPunct/>
        <w:topLinePunct w:val="0"/>
        <w:autoSpaceDE/>
        <w:autoSpaceDN/>
        <w:bidi w:val="0"/>
        <w:snapToGrid w:val="0"/>
        <w:spacing w:before="100" w:after="100" w:line="560" w:lineRule="exact"/>
        <w:ind w:firstLine="538"/>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盈江县旧城镇人民政府2017年度收入合计2228.82万元。其中：财政拨款收入2228.82万元，占总收入的100%；上级补助收入0万元，占总收入的0%；事业收入0万元，占总收入的0%；经营收入0万元，占总收入的0%；附属单位缴款收入0万元，占总收入的0%；其他收入0万元，占总收入的0%。与上年1437.13对比，增加791.69万元，增长55%。主要原因：1</w:t>
      </w:r>
      <w:bookmarkStart w:id="0" w:name="OLE_LINK9"/>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人员经费增加，调资增资25.30万元</w:t>
      </w:r>
      <w:bookmarkEnd w:id="0"/>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脱贫攻坚项目</w:t>
      </w:r>
      <w:r>
        <w:rPr>
          <w:rFonts w:hint="default" w:ascii="Times New Roman" w:hAnsi="Times New Roman" w:eastAsia="仿宋_GB2312" w:cs="Times New Roman"/>
          <w:sz w:val="32"/>
          <w:szCs w:val="32"/>
        </w:rPr>
        <w:t>增加451.39万元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highlight w:val="none"/>
          <w:lang w:val="en-US" w:eastAsia="zh-CN"/>
        </w:rPr>
        <w:t>盈财预[2017]1557号中央补助旧城镇贺勐村芒克村民小组脱贫攻坚示范村建设项目资金（边转）280万元，</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盈财预[2017]1557号中央补助旧城镇东丙村拜掌自然村人畜饮水工程缺口资金（边转）40万元，</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盈财建[2017]52号省级第三批基建投资项目21个村民小组活动室建设资52.50万元，</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以及部分产业税收返还款78.89万元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6.</w:t>
      </w:r>
      <w:bookmarkStart w:id="8" w:name="_GoBack"/>
      <w:bookmarkEnd w:id="8"/>
      <w:r>
        <w:rPr>
          <w:rFonts w:hint="default" w:ascii="Times New Roman" w:hAnsi="Times New Roman" w:eastAsia="仿宋_GB2312" w:cs="Times New Roman"/>
          <w:sz w:val="32"/>
          <w:szCs w:val="32"/>
        </w:rPr>
        <w:t>旧城镇基层党建及21活动室村民小组建设资金315万元。</w:t>
      </w:r>
    </w:p>
    <w:p>
      <w:pPr>
        <w:keepNext w:val="0"/>
        <w:keepLines w:val="0"/>
        <w:pageBreakBefore w:val="0"/>
        <w:kinsoku/>
        <w:wordWrap/>
        <w:overflowPunct/>
        <w:topLinePunct w:val="0"/>
        <w:autoSpaceDE/>
        <w:autoSpaceDN/>
        <w:bidi w:val="0"/>
        <w:spacing w:line="560" w:lineRule="exact"/>
        <w:ind w:firstLine="640" w:firstLineChars="200"/>
        <w:jc w:val="left"/>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二、支出决算情况说明</w:t>
      </w:r>
    </w:p>
    <w:p>
      <w:pPr>
        <w:keepNext w:val="0"/>
        <w:keepLines w:val="0"/>
        <w:pageBreakBefore w:val="0"/>
        <w:kinsoku/>
        <w:wordWrap/>
        <w:overflowPunct/>
        <w:topLinePunct w:val="0"/>
        <w:autoSpaceDE/>
        <w:autoSpaceDN/>
        <w:bidi w:val="0"/>
        <w:spacing w:line="560" w:lineRule="exact"/>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盈江县旧城镇人民政府2017年度支出合计</w:t>
      </w:r>
      <w:bookmarkStart w:id="1" w:name="OLE_LINK8"/>
      <w:r>
        <w:rPr>
          <w:rFonts w:hint="default" w:ascii="Times New Roman" w:hAnsi="Times New Roman" w:eastAsia="仿宋_GB2312" w:cs="Times New Roman"/>
          <w:sz w:val="32"/>
          <w:szCs w:val="32"/>
        </w:rPr>
        <w:t>1649.83</w:t>
      </w:r>
      <w:bookmarkEnd w:id="1"/>
      <w:r>
        <w:rPr>
          <w:rFonts w:hint="default" w:ascii="Times New Roman" w:hAnsi="Times New Roman" w:eastAsia="仿宋_GB2312" w:cs="Times New Roman"/>
          <w:sz w:val="32"/>
          <w:szCs w:val="32"/>
        </w:rPr>
        <w:t>万元。其中：</w:t>
      </w:r>
      <w:r>
        <w:rPr>
          <w:rFonts w:hint="default" w:ascii="Times New Roman" w:hAnsi="Times New Roman" w:eastAsia="仿宋_GB2312" w:cs="Times New Roman"/>
          <w:kern w:val="0"/>
          <w:sz w:val="32"/>
          <w:szCs w:val="32"/>
        </w:rPr>
        <w:t>基本支出</w:t>
      </w:r>
      <w:r>
        <w:rPr>
          <w:rFonts w:hint="default" w:ascii="Times New Roman" w:hAnsi="Times New Roman" w:eastAsia="仿宋_GB2312" w:cs="Times New Roman"/>
          <w:sz w:val="32"/>
          <w:szCs w:val="32"/>
        </w:rPr>
        <w:t>1163.64</w:t>
      </w:r>
      <w:r>
        <w:rPr>
          <w:rFonts w:hint="default" w:ascii="Times New Roman" w:hAnsi="Times New Roman" w:eastAsia="仿宋_GB2312" w:cs="Times New Roman"/>
          <w:kern w:val="0"/>
          <w:sz w:val="32"/>
          <w:szCs w:val="32"/>
        </w:rPr>
        <w:t>万元，占总支出的</w:t>
      </w:r>
      <w:r>
        <w:rPr>
          <w:rFonts w:hint="default" w:ascii="Times New Roman" w:hAnsi="Times New Roman" w:eastAsia="仿宋_GB2312" w:cs="Times New Roman"/>
          <w:sz w:val="32"/>
          <w:szCs w:val="32"/>
        </w:rPr>
        <w:t>70.53</w:t>
      </w:r>
      <w:r>
        <w:rPr>
          <w:rFonts w:hint="default" w:ascii="Times New Roman" w:hAnsi="Times New Roman" w:eastAsia="仿宋_GB2312" w:cs="Times New Roman"/>
          <w:kern w:val="0"/>
          <w:sz w:val="32"/>
          <w:szCs w:val="32"/>
        </w:rPr>
        <w:t>％；项目支出</w:t>
      </w:r>
      <w:r>
        <w:rPr>
          <w:rFonts w:hint="default" w:ascii="Times New Roman" w:hAnsi="Times New Roman" w:eastAsia="仿宋_GB2312" w:cs="Times New Roman"/>
          <w:sz w:val="32"/>
          <w:szCs w:val="32"/>
        </w:rPr>
        <w:t>486.19</w:t>
      </w:r>
      <w:r>
        <w:rPr>
          <w:rFonts w:hint="default" w:ascii="Times New Roman" w:hAnsi="Times New Roman" w:eastAsia="仿宋_GB2312" w:cs="Times New Roman"/>
          <w:kern w:val="0"/>
          <w:sz w:val="32"/>
          <w:szCs w:val="32"/>
        </w:rPr>
        <w:t>万元，占总支出的</w:t>
      </w:r>
      <w:r>
        <w:rPr>
          <w:rFonts w:hint="default" w:ascii="Times New Roman" w:hAnsi="Times New Roman" w:eastAsia="仿宋_GB2312" w:cs="Times New Roman"/>
          <w:sz w:val="32"/>
          <w:szCs w:val="32"/>
        </w:rPr>
        <w:t>29.47</w:t>
      </w:r>
      <w:r>
        <w:rPr>
          <w:rFonts w:hint="default" w:ascii="Times New Roman" w:hAnsi="Times New Roman" w:eastAsia="仿宋_GB2312" w:cs="Times New Roman"/>
          <w:kern w:val="0"/>
          <w:sz w:val="32"/>
          <w:szCs w:val="32"/>
        </w:rPr>
        <w:t>％；上缴上级支出、经营支出、对附属单位补助支出共</w:t>
      </w:r>
      <w:r>
        <w:rPr>
          <w:rFonts w:hint="default" w:ascii="Times New Roman" w:hAnsi="Times New Roman" w:eastAsia="仿宋_GB2312" w:cs="Times New Roman"/>
          <w:sz w:val="32"/>
          <w:szCs w:val="32"/>
        </w:rPr>
        <w:t>0</w:t>
      </w:r>
      <w:r>
        <w:rPr>
          <w:rFonts w:hint="default" w:ascii="Times New Roman" w:hAnsi="Times New Roman" w:eastAsia="仿宋_GB2312" w:cs="Times New Roman"/>
          <w:kern w:val="0"/>
          <w:sz w:val="32"/>
          <w:szCs w:val="32"/>
        </w:rPr>
        <w:t>万元，占总支出的</w:t>
      </w:r>
      <w:r>
        <w:rPr>
          <w:rFonts w:hint="default" w:ascii="Times New Roman" w:hAnsi="Times New Roman" w:eastAsia="仿宋_GB2312" w:cs="Times New Roman"/>
          <w:sz w:val="32"/>
          <w:szCs w:val="32"/>
        </w:rPr>
        <w:t>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与上年总支出1704.82 万元对比，减少54.99万元，减少3%，主要原因是：2017年彩票公益金项目支出比2016年少54.99万元。</w:t>
      </w:r>
    </w:p>
    <w:p>
      <w:pPr>
        <w:keepNext w:val="0"/>
        <w:keepLines w:val="0"/>
        <w:pageBreakBefore w:val="0"/>
        <w:widowControl/>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（一）基本支出情况</w:t>
      </w:r>
    </w:p>
    <w:p>
      <w:pPr>
        <w:keepNext w:val="0"/>
        <w:keepLines w:val="0"/>
        <w:pageBreakBefore w:val="0"/>
        <w:widowControl/>
        <w:kinsoku/>
        <w:wordWrap/>
        <w:overflowPunct/>
        <w:topLinePunct w:val="0"/>
        <w:autoSpaceDE/>
        <w:autoSpaceDN/>
        <w:bidi w:val="0"/>
        <w:snapToGrid w:val="0"/>
        <w:spacing w:before="100" w:after="100" w:line="560" w:lineRule="exact"/>
        <w:ind w:firstLine="538"/>
        <w:jc w:val="left"/>
        <w:outlineLvl w:val="9"/>
        <w:rPr>
          <w:rFonts w:hint="default" w:ascii="Times New Roman" w:hAnsi="Times New Roman" w:eastAsia="仿宋_GB2312" w:cs="Times New Roman"/>
          <w:color w:val="FF0000"/>
          <w:sz w:val="32"/>
          <w:szCs w:val="32"/>
          <w:highlight w:val="none"/>
        </w:rPr>
      </w:pPr>
      <w:r>
        <w:rPr>
          <w:rFonts w:hint="default" w:ascii="Times New Roman" w:hAnsi="Times New Roman" w:eastAsia="仿宋_GB2312" w:cs="Times New Roman"/>
          <w:sz w:val="32"/>
          <w:szCs w:val="32"/>
        </w:rPr>
        <w:t>2017年度用于保障盈江县旧城镇人民政府正常运转的日常支出1163.64万元。与上年对比增加110.52万元，增长10.49%,主要原因：1、各项工作开展频繁且密集，比如</w:t>
      </w:r>
      <w:r>
        <w:rPr>
          <w:rFonts w:hint="eastAsia" w:ascii="Times New Roman" w:hAnsi="Times New Roman" w:eastAsia="仿宋_GB2312" w:cs="Times New Roman"/>
          <w:sz w:val="32"/>
          <w:szCs w:val="32"/>
          <w:lang w:val="en-US" w:eastAsia="zh-CN"/>
        </w:rPr>
        <w:t>脱贫</w:t>
      </w:r>
      <w:r>
        <w:rPr>
          <w:rFonts w:hint="default" w:ascii="Times New Roman" w:hAnsi="Times New Roman" w:eastAsia="仿宋_GB2312" w:cs="Times New Roman"/>
          <w:sz w:val="32"/>
          <w:szCs w:val="32"/>
        </w:rPr>
        <w:t>攻坚、农林水事业及其他政府性社会服务的开展，从而导致工作经费支出增加85.22万元；2、人员经费增加，调资增资25.30万元。包括基本工资、津贴补贴等人员经费支出957.95万元，占基本支出的82.32％；办公费、印刷费、水电费、办公设备购置等日常公用经费205.69占基本支出的17.68％</w:t>
      </w:r>
      <w:r>
        <w:rPr>
          <w:rFonts w:hint="default" w:ascii="Times New Roman" w:hAnsi="Times New Roman" w:eastAsia="仿宋_GB2312" w:cs="Times New Roman"/>
          <w:sz w:val="32"/>
          <w:szCs w:val="32"/>
          <w:highlight w:val="none"/>
        </w:rPr>
        <w:t>。人均日常公用支出2.36万元（含村委会人员</w:t>
      </w:r>
      <w:r>
        <w:rPr>
          <w:rFonts w:hint="default" w:ascii="Times New Roman" w:hAnsi="Times New Roman" w:eastAsia="仿宋_GB2312" w:cs="Times New Roman"/>
          <w:sz w:val="32"/>
          <w:szCs w:val="32"/>
          <w:highlight w:val="none"/>
          <w:lang w:val="en-US" w:eastAsia="zh-CN"/>
        </w:rPr>
        <w:t>27</w:t>
      </w:r>
      <w:r>
        <w:rPr>
          <w:rFonts w:hint="default" w:ascii="Times New Roman" w:hAnsi="Times New Roman" w:eastAsia="仿宋_GB2312" w:cs="Times New Roman"/>
          <w:sz w:val="32"/>
          <w:szCs w:val="32"/>
          <w:highlight w:val="none"/>
        </w:rPr>
        <w:t>人）。</w:t>
      </w:r>
    </w:p>
    <w:p>
      <w:pPr>
        <w:keepNext w:val="0"/>
        <w:keepLines w:val="0"/>
        <w:pageBreakBefore w:val="0"/>
        <w:widowControl/>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（二）项目支出情况</w:t>
      </w:r>
    </w:p>
    <w:p>
      <w:pPr>
        <w:keepNext w:val="0"/>
        <w:keepLines w:val="0"/>
        <w:pageBreakBefore w:val="0"/>
        <w:widowControl/>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2017年度用于保障盈江县旧城镇人民政府为完成特定的行政工作任务或事业发展目标，用于专项业务工作的经费支出486.19万元。与上年651.70万元对比，减少165.51万元，减少25.40%，</w:t>
      </w:r>
      <w:r>
        <w:rPr>
          <w:rFonts w:hint="default" w:ascii="Times New Roman" w:hAnsi="Times New Roman" w:eastAsia="仿宋_GB2312" w:cs="Times New Roman"/>
          <w:sz w:val="32"/>
          <w:szCs w:val="32"/>
          <w:highlight w:val="none"/>
        </w:rPr>
        <w:t>原因是：</w:t>
      </w:r>
      <w:r>
        <w:rPr>
          <w:rFonts w:hint="default" w:ascii="Times New Roman" w:hAnsi="Times New Roman" w:eastAsia="仿宋_GB2312" w:cs="Times New Roman"/>
          <w:sz w:val="32"/>
          <w:szCs w:val="32"/>
          <w:highlight w:val="none"/>
          <w:lang w:eastAsia="zh-CN"/>
        </w:rPr>
        <w:t>虽然</w:t>
      </w:r>
      <w:r>
        <w:rPr>
          <w:rFonts w:hint="default" w:ascii="Times New Roman" w:hAnsi="Times New Roman" w:eastAsia="仿宋_GB2312" w:cs="Times New Roman"/>
          <w:sz w:val="32"/>
          <w:szCs w:val="32"/>
          <w:highlight w:val="none"/>
          <w:lang w:val="en-US" w:eastAsia="zh-CN"/>
        </w:rPr>
        <w:t>2017年新增项目支出比2016年多，但由于工程数额较大工期较长，在没有完成相应的手续时，旧城镇财政所并未支付相应的资金。比如：盈财预[2017]1557号中央补助旧城镇贺勐村芒克村民小组脱贫攻坚示范村建设项目资金（边转）280万元；盈财预[2017]1557号中央补助旧城镇东丙村拜掌自然村人畜饮水工程缺口资金（边转）40万元等。</w:t>
      </w:r>
    </w:p>
    <w:p>
      <w:pPr>
        <w:keepNext w:val="0"/>
        <w:keepLines w:val="0"/>
        <w:pageBreakBefore w:val="0"/>
        <w:widowControl/>
        <w:numPr>
          <w:ilvl w:val="0"/>
          <w:numId w:val="1"/>
        </w:numPr>
        <w:kinsoku/>
        <w:wordWrap/>
        <w:overflowPunct/>
        <w:topLinePunct w:val="0"/>
        <w:autoSpaceDE/>
        <w:autoSpaceDN/>
        <w:bidi w:val="0"/>
        <w:snapToGrid w:val="0"/>
        <w:spacing w:before="100" w:after="100" w:line="560" w:lineRule="exact"/>
        <w:ind w:firstLine="643" w:firstLineChars="200"/>
        <w:jc w:val="left"/>
        <w:outlineLvl w:val="9"/>
        <w:rPr>
          <w:rFonts w:hint="default" w:ascii="Times New Roman" w:hAnsi="Times New Roman" w:eastAsia="黑体" w:cs="Times New Roman"/>
          <w:sz w:val="32"/>
          <w:szCs w:val="32"/>
        </w:rPr>
      </w:pPr>
      <w:r>
        <w:rPr>
          <w:rFonts w:hint="default" w:ascii="Times New Roman" w:hAnsi="Times New Roman" w:eastAsia="黑体" w:cs="Times New Roman"/>
          <w:b/>
          <w:bCs/>
          <w:sz w:val="32"/>
          <w:szCs w:val="32"/>
        </w:rPr>
        <w:t>一般公共预算</w:t>
      </w:r>
      <w:r>
        <w:rPr>
          <w:rFonts w:hint="default" w:ascii="Times New Roman" w:hAnsi="Times New Roman" w:eastAsia="黑体" w:cs="Times New Roman"/>
          <w:sz w:val="32"/>
          <w:szCs w:val="32"/>
        </w:rPr>
        <w:t>财政拨款支出决算情况说明</w:t>
      </w:r>
    </w:p>
    <w:p>
      <w:pPr>
        <w:keepNext w:val="0"/>
        <w:keepLines w:val="0"/>
        <w:pageBreakBefore w:val="0"/>
        <w:widowControl/>
        <w:kinsoku/>
        <w:wordWrap/>
        <w:overflowPunct/>
        <w:topLinePunct w:val="0"/>
        <w:autoSpaceDE/>
        <w:autoSpaceDN/>
        <w:bidi w:val="0"/>
        <w:snapToGrid w:val="0"/>
        <w:spacing w:before="100" w:after="100" w:line="560" w:lineRule="exact"/>
        <w:ind w:firstLine="480" w:firstLineChars="150"/>
        <w:jc w:val="left"/>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（一）一般公共预算财政拨款支出决算总体情况</w:t>
      </w:r>
    </w:p>
    <w:p>
      <w:pPr>
        <w:keepNext w:val="0"/>
        <w:keepLines w:val="0"/>
        <w:pageBreakBefore w:val="0"/>
        <w:widowControl/>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盈江县旧城镇人民政府2017年度一般公共预算财政拨款支出</w:t>
      </w:r>
      <w:r>
        <w:rPr>
          <w:rFonts w:hint="default" w:ascii="Times New Roman" w:hAnsi="Times New Roman" w:eastAsia="仿宋_GB2312" w:cs="Times New Roman"/>
          <w:kern w:val="0"/>
          <w:sz w:val="32"/>
          <w:szCs w:val="32"/>
        </w:rPr>
        <w:t>1641.20万元,占本年支出合计的</w:t>
      </w:r>
      <w:r>
        <w:rPr>
          <w:rFonts w:hint="default" w:ascii="Times New Roman" w:hAnsi="Times New Roman" w:eastAsia="仿宋_GB2312" w:cs="Times New Roman"/>
          <w:sz w:val="32"/>
          <w:szCs w:val="32"/>
        </w:rPr>
        <w:t>99.48</w:t>
      </w:r>
      <w:r>
        <w:rPr>
          <w:rFonts w:hint="default" w:ascii="Times New Roman" w:hAnsi="Times New Roman" w:eastAsia="仿宋_GB2312" w:cs="Times New Roman"/>
          <w:kern w:val="0"/>
          <w:sz w:val="32"/>
          <w:szCs w:val="32"/>
        </w:rPr>
        <w:t>%。与上年1610.82 万元对比增加31万元，增长2%，主要原因是：</w:t>
      </w:r>
      <w:r>
        <w:rPr>
          <w:rFonts w:hint="default" w:ascii="Times New Roman" w:hAnsi="Times New Roman" w:eastAsia="仿宋_GB2312" w:cs="Times New Roman"/>
          <w:sz w:val="32"/>
          <w:szCs w:val="32"/>
        </w:rPr>
        <w:t>人员经费增加，调资增资31万元。</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p>
    <w:p>
      <w:pPr>
        <w:keepNext w:val="0"/>
        <w:keepLines w:val="0"/>
        <w:pageBreakBefore w:val="0"/>
        <w:widowControl/>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（二）一般公共预算财政拨款支出决算具体情况</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tab/>
      </w:r>
    </w:p>
    <w:p>
      <w:pPr>
        <w:keepNext w:val="0"/>
        <w:keepLines w:val="0"/>
        <w:pageBreakBefore w:val="0"/>
        <w:widowControl/>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1.一般公共服务（类）支出748.86万元，</w:t>
      </w:r>
      <w:r>
        <w:rPr>
          <w:rFonts w:hint="default" w:ascii="Times New Roman" w:hAnsi="Times New Roman" w:eastAsia="仿宋_GB2312" w:cs="Times New Roman"/>
          <w:sz w:val="32"/>
          <w:szCs w:val="32"/>
        </w:rPr>
        <w:t>占一般公共预算财政拨款总支出的45.63%。</w:t>
      </w:r>
      <w:r>
        <w:rPr>
          <w:rFonts w:hint="default" w:ascii="Times New Roman" w:hAnsi="Times New Roman" w:eastAsia="仿宋_GB2312" w:cs="Times New Roman"/>
          <w:kern w:val="0"/>
          <w:sz w:val="32"/>
          <w:szCs w:val="32"/>
        </w:rPr>
        <w:t>主要用于工资福利支出280.34万元，商品与服务支出102.56万元，对个人和家庭的补助支出110.96万元，其他资本性支出255万元。</w:t>
      </w:r>
    </w:p>
    <w:p>
      <w:pPr>
        <w:keepNext w:val="0"/>
        <w:keepLines w:val="0"/>
        <w:pageBreakBefore w:val="0"/>
        <w:widowControl/>
        <w:numPr>
          <w:ilvl w:val="0"/>
          <w:numId w:val="2"/>
        </w:numPr>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公共安全（类）支出</w:t>
      </w:r>
      <w:r>
        <w:rPr>
          <w:rFonts w:hint="default" w:ascii="Times New Roman" w:hAnsi="Times New Roman" w:eastAsia="仿宋_GB2312" w:cs="Times New Roman"/>
          <w:sz w:val="32"/>
          <w:szCs w:val="32"/>
        </w:rPr>
        <w:t>26.16</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sz w:val="32"/>
          <w:szCs w:val="32"/>
        </w:rPr>
        <w:t>占一般公共预算财政拨款总支出的1.59%。</w:t>
      </w:r>
      <w:r>
        <w:rPr>
          <w:rFonts w:hint="default" w:ascii="Times New Roman" w:hAnsi="Times New Roman" w:eastAsia="仿宋_GB2312" w:cs="Times New Roman"/>
          <w:kern w:val="0"/>
          <w:sz w:val="32"/>
          <w:szCs w:val="32"/>
        </w:rPr>
        <w:t>主要用于工资福利支出12.31万元，商品和服务支出13.85万元。</w:t>
      </w:r>
    </w:p>
    <w:p>
      <w:pPr>
        <w:keepNext w:val="0"/>
        <w:keepLines w:val="0"/>
        <w:pageBreakBefore w:val="0"/>
        <w:widowControl/>
        <w:numPr>
          <w:ilvl w:val="0"/>
          <w:numId w:val="2"/>
        </w:numPr>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文化体育与传媒支出（类）支出84.21万元，占一般公共预算财政拨款总支出的5.13%。主要用于工资福利支出47.68万元，商品和服务支出34.53万元，基本建设支出2万元。</w:t>
      </w:r>
    </w:p>
    <w:p>
      <w:pPr>
        <w:keepNext w:val="0"/>
        <w:keepLines w:val="0"/>
        <w:pageBreakBefore w:val="0"/>
        <w:widowControl/>
        <w:numPr>
          <w:ilvl w:val="0"/>
          <w:numId w:val="2"/>
        </w:numPr>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社会保障和就业支出（类）支出138.23万元，占一般公共预算财政拨款总支出的8.42%。主要用于工资福利支出101.38万元，商品和服务支出6.86万元，对个人和家庭的补助支出29.99万元。、</w:t>
      </w:r>
    </w:p>
    <w:p>
      <w:pPr>
        <w:keepNext w:val="0"/>
        <w:keepLines w:val="0"/>
        <w:pageBreakBefore w:val="0"/>
        <w:widowControl/>
        <w:numPr>
          <w:ilvl w:val="0"/>
          <w:numId w:val="2"/>
        </w:numPr>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医疗卫生与计划生育支出（类）支出19.46万元，占一般公共预算财政拨款总支出的1.19%。主要用于工资福利支出6.36万元，商品和服务支出1.55万元，对个人和家庭的补助支出11.55万元。</w:t>
      </w:r>
    </w:p>
    <w:p>
      <w:pPr>
        <w:keepNext w:val="0"/>
        <w:keepLines w:val="0"/>
        <w:pageBreakBefore w:val="0"/>
        <w:widowControl/>
        <w:numPr>
          <w:ilvl w:val="0"/>
          <w:numId w:val="2"/>
        </w:numPr>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节能环保支出（类）支出83万元，占一般公共预算财政拨款总支出的5.06%。主要用于基本建设支出20万元，其他资本性支出</w:t>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63万元。</w:t>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p>
    <w:p>
      <w:pPr>
        <w:keepNext w:val="0"/>
        <w:keepLines w:val="0"/>
        <w:pageBreakBefore w:val="0"/>
        <w:widowControl/>
        <w:numPr>
          <w:ilvl w:val="0"/>
          <w:numId w:val="2"/>
        </w:numPr>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城乡社区支出（类）支出13.09万元，占一般公共预算财政拨款总支出的0.80%。主要用于商品和服务支出2万元，基本建设支出8.59万元，其他资本性支出2.5万元。</w:t>
      </w:r>
    </w:p>
    <w:p>
      <w:pPr>
        <w:keepNext w:val="0"/>
        <w:keepLines w:val="0"/>
        <w:pageBreakBefore w:val="0"/>
        <w:widowControl/>
        <w:numPr>
          <w:ilvl w:val="0"/>
          <w:numId w:val="2"/>
        </w:numPr>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农林水支出</w:t>
      </w:r>
      <w:bookmarkStart w:id="2" w:name="OLE_LINK1"/>
      <w:r>
        <w:rPr>
          <w:rFonts w:hint="default" w:ascii="Times New Roman" w:hAnsi="Times New Roman" w:eastAsia="仿宋_GB2312" w:cs="Times New Roman"/>
          <w:kern w:val="0"/>
          <w:sz w:val="32"/>
          <w:szCs w:val="32"/>
        </w:rPr>
        <w:t>（类）支出466.20万元，占一般公共预算财政拨款总支出的28.42%。主要用于</w:t>
      </w:r>
      <w:bookmarkEnd w:id="2"/>
      <w:r>
        <w:rPr>
          <w:rFonts w:hint="default" w:ascii="Times New Roman" w:hAnsi="Times New Roman" w:eastAsia="仿宋_GB2312" w:cs="Times New Roman"/>
          <w:kern w:val="0"/>
          <w:sz w:val="32"/>
          <w:szCs w:val="32"/>
        </w:rPr>
        <w:t>工资福利支出258.85万元，商品和服务支出54.85万元，对个人和家庭的补助支出47.10万元，其他资本性支出105.4万元。</w:t>
      </w:r>
      <w:r>
        <w:rPr>
          <w:rFonts w:hint="default" w:ascii="Times New Roman" w:hAnsi="Times New Roman" w:eastAsia="仿宋_GB2312" w:cs="Times New Roman"/>
          <w:kern w:val="0"/>
          <w:sz w:val="32"/>
          <w:szCs w:val="32"/>
        </w:rPr>
        <w:tab/>
      </w:r>
    </w:p>
    <w:p>
      <w:pPr>
        <w:keepNext w:val="0"/>
        <w:keepLines w:val="0"/>
        <w:pageBreakBefore w:val="0"/>
        <w:widowControl/>
        <w:numPr>
          <w:ilvl w:val="0"/>
          <w:numId w:val="2"/>
        </w:numPr>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资源勘探信息等支出（类）支出3万元，</w:t>
      </w:r>
      <w:bookmarkStart w:id="3" w:name="OLE_LINK2"/>
      <w:r>
        <w:rPr>
          <w:rFonts w:hint="default" w:ascii="Times New Roman" w:hAnsi="Times New Roman" w:eastAsia="仿宋_GB2312" w:cs="Times New Roman"/>
          <w:kern w:val="0"/>
          <w:sz w:val="32"/>
          <w:szCs w:val="32"/>
        </w:rPr>
        <w:t>占一般公共预算财政拨款总支出的0.18%。主要用于其他资本性支出3万元。</w:t>
      </w:r>
      <w:bookmarkEnd w:id="3"/>
    </w:p>
    <w:p>
      <w:pPr>
        <w:keepNext w:val="0"/>
        <w:keepLines w:val="0"/>
        <w:pageBreakBefore w:val="0"/>
        <w:widowControl/>
        <w:numPr>
          <w:ilvl w:val="0"/>
          <w:numId w:val="2"/>
        </w:numPr>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商业服务业等支出7.57万元，</w:t>
      </w:r>
      <w:bookmarkStart w:id="4" w:name="OLE_LINK3"/>
      <w:r>
        <w:rPr>
          <w:rFonts w:hint="default" w:ascii="Times New Roman" w:hAnsi="Times New Roman" w:eastAsia="仿宋_GB2312" w:cs="Times New Roman"/>
          <w:kern w:val="0"/>
          <w:sz w:val="32"/>
          <w:szCs w:val="32"/>
        </w:rPr>
        <w:t>占一般公共预算财政拨款总支出的0.45%。主要用于其他资本性支出</w:t>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7.57万元</w:t>
      </w:r>
      <w:bookmarkEnd w:id="4"/>
      <w:r>
        <w:rPr>
          <w:rFonts w:hint="default" w:ascii="Times New Roman" w:hAnsi="Times New Roman" w:eastAsia="仿宋_GB2312" w:cs="Times New Roman"/>
          <w:kern w:val="0"/>
          <w:sz w:val="32"/>
          <w:szCs w:val="32"/>
        </w:rPr>
        <w:t>。</w:t>
      </w:r>
    </w:p>
    <w:p>
      <w:pPr>
        <w:keepNext w:val="0"/>
        <w:keepLines w:val="0"/>
        <w:pageBreakBefore w:val="0"/>
        <w:widowControl/>
        <w:numPr>
          <w:ilvl w:val="0"/>
          <w:numId w:val="2"/>
        </w:numPr>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住房保障支出（类）支出51.43万元，占一般公共预算财政拨款总支出的3.13 %。主要用于对个人和家庭的补助支出51.43万元.</w:t>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ab/>
      </w:r>
    </w:p>
    <w:p>
      <w:pPr>
        <w:keepNext w:val="0"/>
        <w:keepLines w:val="0"/>
        <w:pageBreakBefore w:val="0"/>
        <w:widowControl/>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四、一般公共预算财政拨款“三公”经费支出决算情况说明</w:t>
      </w:r>
    </w:p>
    <w:p>
      <w:pPr>
        <w:keepNext w:val="0"/>
        <w:keepLines w:val="0"/>
        <w:pageBreakBefore w:val="0"/>
        <w:widowControl/>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w:t>
      </w:r>
      <w:r>
        <w:rPr>
          <w:rFonts w:hint="default" w:ascii="Times New Roman" w:hAnsi="Times New Roman" w:eastAsia="黑体" w:cs="Times New Roman"/>
          <w:sz w:val="32"/>
          <w:szCs w:val="32"/>
        </w:rPr>
        <w:t xml:space="preserve"> </w:t>
      </w:r>
      <w:r>
        <w:rPr>
          <w:rFonts w:hint="default" w:ascii="Times New Roman" w:hAnsi="Times New Roman" w:eastAsia="楷体" w:cs="Times New Roman"/>
          <w:sz w:val="32"/>
          <w:szCs w:val="32"/>
        </w:rPr>
        <w:t>一般公共预算财政拨款“三公”经费支出决算总体情况</w:t>
      </w:r>
    </w:p>
    <w:p>
      <w:pPr>
        <w:keepNext w:val="0"/>
        <w:keepLines w:val="0"/>
        <w:pageBreakBefore w:val="0"/>
        <w:widowControl/>
        <w:kinsoku/>
        <w:wordWrap/>
        <w:overflowPunct/>
        <w:topLinePunct w:val="0"/>
        <w:autoSpaceDE/>
        <w:autoSpaceDN/>
        <w:bidi w:val="0"/>
        <w:snapToGrid w:val="0"/>
        <w:spacing w:line="560" w:lineRule="exact"/>
        <w:ind w:firstLine="800" w:firstLineChars="250"/>
        <w:jc w:val="left"/>
        <w:outlineLvl w:val="9"/>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盈江县旧城镇人民政府2017年度</w:t>
      </w:r>
      <w:bookmarkStart w:id="5" w:name="OLE_LINK5"/>
      <w:r>
        <w:rPr>
          <w:rFonts w:hint="default" w:ascii="Times New Roman" w:hAnsi="Times New Roman" w:eastAsia="仿宋_GB2312" w:cs="Times New Roman"/>
          <w:sz w:val="32"/>
          <w:szCs w:val="32"/>
        </w:rPr>
        <w:t>一般公共预算财政拨款</w:t>
      </w:r>
      <w:bookmarkEnd w:id="5"/>
      <w:r>
        <w:rPr>
          <w:rFonts w:hint="default" w:ascii="Times New Roman" w:hAnsi="Times New Roman" w:eastAsia="仿宋_GB2312" w:cs="Times New Roman"/>
          <w:sz w:val="32"/>
          <w:szCs w:val="32"/>
        </w:rPr>
        <w:t>“三公”经费支出预算为23万元，支出决算为16.24万元，完成预算的70.60%。其中：因公出国（境）费支出决算为0万元，完成预算的0%；公务用车购置及运行费支出决算为14.33万元，完成预算的95.53%；</w:t>
      </w:r>
      <w:bookmarkStart w:id="6" w:name="OLE_LINK4"/>
      <w:r>
        <w:rPr>
          <w:rFonts w:hint="default" w:ascii="Times New Roman" w:hAnsi="Times New Roman" w:eastAsia="仿宋_GB2312" w:cs="Times New Roman"/>
          <w:sz w:val="32"/>
          <w:szCs w:val="32"/>
        </w:rPr>
        <w:t>公务接待费支出</w:t>
      </w:r>
      <w:bookmarkEnd w:id="6"/>
      <w:r>
        <w:rPr>
          <w:rFonts w:hint="default" w:ascii="Times New Roman" w:hAnsi="Times New Roman" w:eastAsia="仿宋_GB2312" w:cs="Times New Roman"/>
          <w:sz w:val="32"/>
          <w:szCs w:val="32"/>
        </w:rPr>
        <w:t>决算为1.91万元，完成预算的23.87%。2017年度一般公共预算财政拨款“三公”经费支出决算数小于预算数6.76万元，主要原因：</w:t>
      </w:r>
      <w:r>
        <w:rPr>
          <w:rFonts w:hint="eastAsia" w:ascii="仿宋_GB2312" w:hAnsi="仿宋_GB2312" w:eastAsia="仿宋_GB2312" w:cs="仿宋_GB2312"/>
          <w:sz w:val="32"/>
          <w:szCs w:val="32"/>
        </w:rPr>
        <w:t>严格贯彻落实中央八项规定精神和党政机关厉行节约的有关要求，从严控制和压缩“三公”经费支出，规范因公出国（境）和公务接待活动，加强公务用车管理，减少了相关支出。</w:t>
      </w:r>
    </w:p>
    <w:p>
      <w:pPr>
        <w:keepNext w:val="0"/>
        <w:keepLines w:val="0"/>
        <w:pageBreakBefore w:val="0"/>
        <w:widowControl/>
        <w:kinsoku/>
        <w:wordWrap/>
        <w:overflowPunct/>
        <w:topLinePunct w:val="0"/>
        <w:autoSpaceDE/>
        <w:autoSpaceDN/>
        <w:bidi w:val="0"/>
        <w:snapToGrid w:val="0"/>
        <w:spacing w:line="560" w:lineRule="exact"/>
        <w:ind w:firstLine="800" w:firstLineChars="250"/>
        <w:jc w:val="left"/>
        <w:outlineLvl w:val="9"/>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2017年度一般公共预算财政拨款“三公”经费支出决算数比2016年减少7.49万元，下降31.56%。其中：因公出国（境）费支出决算增加/减少0万元，增长/下降0%；公务用车购置及运行费支出决算减少1.35万元，下降8.6%；公务接待费支出决算减少6.14万元，下降76.27%。2017年度一般公共预算财政拨款“三公”经费支出决算减少的主要原因是：</w:t>
      </w:r>
      <w:r>
        <w:rPr>
          <w:rFonts w:hint="eastAsia" w:ascii="仿宋_GB2312" w:hAnsi="仿宋_GB2312" w:eastAsia="仿宋_GB2312" w:cs="仿宋_GB2312"/>
          <w:sz w:val="32"/>
          <w:szCs w:val="32"/>
        </w:rPr>
        <w:t>格贯彻落实中央八项规定精神和党政机关厉行节约的有关要求，从严控制和压缩“三公”经费支出，规范因公出国（境）和公务接待活动，加强公务用车管理，减少了相关支出。</w:t>
      </w:r>
    </w:p>
    <w:p>
      <w:pPr>
        <w:keepNext w:val="0"/>
        <w:keepLines w:val="0"/>
        <w:pageBreakBefore w:val="0"/>
        <w:widowControl/>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楷体" w:cs="Times New Roman"/>
          <w:color w:val="7030A0"/>
          <w:sz w:val="32"/>
          <w:szCs w:val="32"/>
        </w:rPr>
      </w:pPr>
      <w:r>
        <w:rPr>
          <w:rFonts w:hint="default" w:ascii="Times New Roman" w:hAnsi="Times New Roman" w:eastAsia="楷体" w:cs="Times New Roman"/>
          <w:sz w:val="32"/>
          <w:szCs w:val="32"/>
        </w:rPr>
        <w:t xml:space="preserve"> (二)</w:t>
      </w:r>
      <w:r>
        <w:rPr>
          <w:rFonts w:hint="default" w:ascii="Times New Roman" w:hAnsi="Times New Roman" w:eastAsia="仿宋_GB2312" w:cs="Times New Roman"/>
          <w:sz w:val="32"/>
          <w:szCs w:val="32"/>
        </w:rPr>
        <w:t xml:space="preserve"> </w:t>
      </w:r>
      <w:r>
        <w:rPr>
          <w:rFonts w:hint="default" w:ascii="Times New Roman" w:hAnsi="Times New Roman" w:eastAsia="楷体" w:cs="Times New Roman"/>
          <w:sz w:val="32"/>
          <w:szCs w:val="32"/>
        </w:rPr>
        <w:t>一般公共预算财政拨款“三公”经费支出决算具体情况</w:t>
      </w:r>
    </w:p>
    <w:p>
      <w:pPr>
        <w:keepNext w:val="0"/>
        <w:keepLines w:val="0"/>
        <w:pageBreakBefore w:val="0"/>
        <w:widowControl/>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2017年度一般公共预算财政拨款“三公”经费支出决算中，因公出国（境）费支出0万元，占0%；公务用车购置及运行维护费支出14.33万元，占88.24%；公务接待费支出1.91万元，占11.76%。具体情况如下：</w:t>
      </w:r>
    </w:p>
    <w:p>
      <w:pPr>
        <w:keepNext w:val="0"/>
        <w:keepLines w:val="0"/>
        <w:pageBreakBefore w:val="0"/>
        <w:widowControl/>
        <w:numPr>
          <w:ilvl w:val="0"/>
          <w:numId w:val="3"/>
        </w:numPr>
        <w:kinsoku/>
        <w:wordWrap/>
        <w:overflowPunct/>
        <w:topLinePunct w:val="0"/>
        <w:autoSpaceDE/>
        <w:autoSpaceDN/>
        <w:bidi w:val="0"/>
        <w:snapToGrid w:val="0"/>
        <w:spacing w:before="100" w:after="100" w:line="560" w:lineRule="exact"/>
        <w:ind w:firstLine="643" w:firstLineChars="200"/>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因公出国（境）费</w:t>
      </w:r>
      <w:r>
        <w:rPr>
          <w:rFonts w:hint="default" w:ascii="Times New Roman" w:hAnsi="Times New Roman" w:eastAsia="仿宋_GB2312" w:cs="Times New Roman"/>
          <w:sz w:val="32"/>
          <w:szCs w:val="32"/>
        </w:rPr>
        <w:t>支出0万元，共安排因公出国（境）团组X0个，累计0人次。</w:t>
      </w:r>
    </w:p>
    <w:p>
      <w:pPr>
        <w:keepNext w:val="0"/>
        <w:keepLines w:val="0"/>
        <w:pageBreakBefore w:val="0"/>
        <w:widowControl/>
        <w:kinsoku/>
        <w:wordWrap/>
        <w:overflowPunct/>
        <w:topLinePunct w:val="0"/>
        <w:autoSpaceDE/>
        <w:autoSpaceDN/>
        <w:bidi w:val="0"/>
        <w:snapToGrid w:val="0"/>
        <w:spacing w:before="100" w:after="100" w:line="560" w:lineRule="exact"/>
        <w:ind w:left="602"/>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2. 公务用车购置及运行维护费</w:t>
      </w:r>
      <w:r>
        <w:rPr>
          <w:rFonts w:hint="default" w:ascii="Times New Roman" w:hAnsi="Times New Roman" w:eastAsia="仿宋_GB2312" w:cs="Times New Roman"/>
          <w:sz w:val="32"/>
          <w:szCs w:val="32"/>
        </w:rPr>
        <w:t>支出14.33万元。其中：</w:t>
      </w:r>
    </w:p>
    <w:p>
      <w:pPr>
        <w:keepNext w:val="0"/>
        <w:keepLines w:val="0"/>
        <w:pageBreakBefore w:val="0"/>
        <w:widowControl/>
        <w:kinsoku/>
        <w:wordWrap/>
        <w:overflowPunct/>
        <w:topLinePunct w:val="0"/>
        <w:autoSpaceDE/>
        <w:autoSpaceDN/>
        <w:bidi w:val="0"/>
        <w:snapToGrid w:val="0"/>
        <w:spacing w:before="100" w:after="100" w:line="560" w:lineRule="exact"/>
        <w:ind w:firstLine="643" w:firstLineChars="200"/>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公务用车购置</w:t>
      </w:r>
      <w:r>
        <w:rPr>
          <w:rFonts w:hint="default" w:ascii="Times New Roman" w:hAnsi="Times New Roman" w:eastAsia="仿宋_GB2312" w:cs="Times New Roman"/>
          <w:sz w:val="32"/>
          <w:szCs w:val="32"/>
        </w:rPr>
        <w:t>支出0万元，购置车辆0辆。</w:t>
      </w:r>
    </w:p>
    <w:p>
      <w:pPr>
        <w:keepNext w:val="0"/>
        <w:keepLines w:val="0"/>
        <w:pageBreakBefore w:val="0"/>
        <w:widowControl/>
        <w:kinsoku/>
        <w:wordWrap/>
        <w:overflowPunct/>
        <w:topLinePunct w:val="0"/>
        <w:autoSpaceDE/>
        <w:autoSpaceDN/>
        <w:bidi w:val="0"/>
        <w:snapToGrid w:val="0"/>
        <w:spacing w:before="100" w:after="100" w:line="560" w:lineRule="exact"/>
        <w:ind w:firstLine="643" w:firstLineChars="200"/>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公务用车运行维护</w:t>
      </w:r>
      <w:r>
        <w:rPr>
          <w:rFonts w:hint="default" w:ascii="Times New Roman" w:hAnsi="Times New Roman" w:eastAsia="仿宋_GB2312" w:cs="Times New Roman"/>
          <w:sz w:val="32"/>
          <w:szCs w:val="32"/>
        </w:rPr>
        <w:t>支出14.33万元，开支一般公共预算财政拨款的公务用车保有量为3辆。主要用于高速公路征地拆迁、大寨新村搬迁点建设及老麻撒红坡田搬迁点建设所需车辆燃料费、维修费、保险费等。</w:t>
      </w:r>
    </w:p>
    <w:p>
      <w:pPr>
        <w:keepNext w:val="0"/>
        <w:keepLines w:val="0"/>
        <w:pageBreakBefore w:val="0"/>
        <w:widowControl/>
        <w:kinsoku/>
        <w:wordWrap/>
        <w:overflowPunct/>
        <w:topLinePunct w:val="0"/>
        <w:autoSpaceDE/>
        <w:autoSpaceDN/>
        <w:bidi w:val="0"/>
        <w:snapToGrid w:val="0"/>
        <w:spacing w:before="100" w:after="100" w:line="560" w:lineRule="exact"/>
        <w:ind w:firstLine="643" w:firstLineChars="200"/>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3.公务接待费</w:t>
      </w:r>
      <w:r>
        <w:rPr>
          <w:rFonts w:hint="default" w:ascii="Times New Roman" w:hAnsi="Times New Roman" w:eastAsia="仿宋_GB2312" w:cs="Times New Roman"/>
          <w:sz w:val="32"/>
          <w:szCs w:val="32"/>
        </w:rPr>
        <w:t>支出1.91万元。其中：</w:t>
      </w:r>
    </w:p>
    <w:p>
      <w:pPr>
        <w:keepNext w:val="0"/>
        <w:keepLines w:val="0"/>
        <w:pageBreakBefore w:val="0"/>
        <w:widowControl/>
        <w:kinsoku/>
        <w:wordWrap/>
        <w:overflowPunct/>
        <w:topLinePunct w:val="0"/>
        <w:autoSpaceDE/>
        <w:autoSpaceDN/>
        <w:bidi w:val="0"/>
        <w:snapToGrid w:val="0"/>
        <w:spacing w:before="100" w:after="100" w:line="560" w:lineRule="exact"/>
        <w:ind w:firstLine="643" w:firstLineChars="200"/>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国内接待费</w:t>
      </w:r>
      <w:r>
        <w:rPr>
          <w:rFonts w:hint="default" w:ascii="Times New Roman" w:hAnsi="Times New Roman" w:eastAsia="仿宋_GB2312" w:cs="Times New Roman"/>
          <w:sz w:val="32"/>
          <w:szCs w:val="32"/>
        </w:rPr>
        <w:t>支出1.91万元（其中：外事接待费支出0万元），共安排国内公务接待104批次（其中：外事接待0批次），接待人次380人（其中：外事接待人次0人）。主要用于州级县级对旧城镇烟叶发展、甘蔗发展考察、两个搬迁点项目建设调研等工作发生的接待支出。</w:t>
      </w:r>
    </w:p>
    <w:p>
      <w:pPr>
        <w:keepNext w:val="0"/>
        <w:keepLines w:val="0"/>
        <w:pageBreakBefore w:val="0"/>
        <w:widowControl/>
        <w:kinsoku/>
        <w:wordWrap/>
        <w:overflowPunct/>
        <w:topLinePunct w:val="0"/>
        <w:autoSpaceDE/>
        <w:autoSpaceDN/>
        <w:bidi w:val="0"/>
        <w:snapToGrid w:val="0"/>
        <w:spacing w:before="100" w:after="100" w:line="560" w:lineRule="exact"/>
        <w:ind w:firstLine="643" w:firstLineChars="200"/>
        <w:jc w:val="left"/>
        <w:outlineLvl w:val="9"/>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b/>
          <w:sz w:val="32"/>
          <w:szCs w:val="32"/>
        </w:rPr>
        <w:t>国（境）外接待费</w:t>
      </w:r>
      <w:r>
        <w:rPr>
          <w:rFonts w:hint="default" w:ascii="Times New Roman" w:hAnsi="Times New Roman" w:eastAsia="仿宋_GB2312" w:cs="Times New Roman"/>
          <w:sz w:val="32"/>
          <w:szCs w:val="32"/>
        </w:rPr>
        <w:t>支出0万元，共安排国（境）外公务接待0批次，接待人次0人。</w:t>
      </w:r>
    </w:p>
    <w:p>
      <w:pPr>
        <w:keepNext w:val="0"/>
        <w:keepLines w:val="0"/>
        <w:pageBreakBefore w:val="0"/>
        <w:widowControl/>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五、其他重要事项及相关口径情况说明</w:t>
      </w:r>
    </w:p>
    <w:p>
      <w:pPr>
        <w:keepNext w:val="0"/>
        <w:keepLines w:val="0"/>
        <w:pageBreakBefore w:val="0"/>
        <w:kinsoku/>
        <w:wordWrap/>
        <w:overflowPunct/>
        <w:topLinePunct w:val="0"/>
        <w:autoSpaceDE/>
        <w:autoSpaceDN/>
        <w:bidi w:val="0"/>
        <w:spacing w:line="560" w:lineRule="exact"/>
        <w:ind w:firstLine="640" w:firstLineChars="200"/>
        <w:jc w:val="left"/>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(一)机关运行经费支出情况</w:t>
      </w:r>
    </w:p>
    <w:p>
      <w:pPr>
        <w:keepNext w:val="0"/>
        <w:keepLines w:val="0"/>
        <w:pageBreakBefore w:val="0"/>
        <w:widowControl/>
        <w:kinsoku/>
        <w:wordWrap/>
        <w:overflowPunct/>
        <w:topLinePunct w:val="0"/>
        <w:autoSpaceDE/>
        <w:autoSpaceDN/>
        <w:bidi w:val="0"/>
        <w:snapToGrid w:val="0"/>
        <w:spacing w:before="100" w:after="100" w:line="560" w:lineRule="exact"/>
        <w:ind w:firstLine="640" w:firstLineChars="200"/>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盈江县旧城镇人民政府2017年机关运行经费支出196.69万元，与上年174.33万元对比增加22.36万元，增长12.83%,主要原：2017年度各项工作及脱贫攻坚工作增多，公务支出相应增大。部门机关运行经费主要用于为维持机关、事业单位公务正常运转所产生的办公经费、印刷费、水电费、车辆燃修保险费等日常公用经费开支。</w:t>
      </w:r>
    </w:p>
    <w:p>
      <w:pPr>
        <w:keepNext w:val="0"/>
        <w:keepLines w:val="0"/>
        <w:pageBreakBefore w:val="0"/>
        <w:kinsoku/>
        <w:wordWrap/>
        <w:overflowPunct/>
        <w:topLinePunct w:val="0"/>
        <w:autoSpaceDE/>
        <w:autoSpaceDN/>
        <w:bidi w:val="0"/>
        <w:spacing w:line="560" w:lineRule="exact"/>
        <w:ind w:firstLine="640" w:firstLineChars="200"/>
        <w:jc w:val="left"/>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（二）国有资产占用情况</w:t>
      </w:r>
    </w:p>
    <w:p>
      <w:pPr>
        <w:keepNext w:val="0"/>
        <w:keepLines w:val="0"/>
        <w:pageBreakBefore w:val="0"/>
        <w:kinsoku/>
        <w:wordWrap/>
        <w:overflowPunct/>
        <w:topLinePunct w:val="0"/>
        <w:autoSpaceDE/>
        <w:autoSpaceDN/>
        <w:bidi w:val="0"/>
        <w:spacing w:line="560" w:lineRule="exact"/>
        <w:ind w:firstLine="640" w:firstLineChars="200"/>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截至2017年12月31日，盈江县旧城镇人民政府资产总额3234.29万元，其中，流动资产2815.34 万元，固定资产402.95 </w:t>
      </w:r>
    </w:p>
    <w:p>
      <w:pPr>
        <w:keepNext w:val="0"/>
        <w:keepLines w:val="0"/>
        <w:pageBreakBefore w:val="0"/>
        <w:kinsoku/>
        <w:wordWrap/>
        <w:overflowPunct/>
        <w:topLinePunct w:val="0"/>
        <w:autoSpaceDE/>
        <w:autoSpaceDN/>
        <w:bidi w:val="0"/>
        <w:spacing w:line="560" w:lineRule="exact"/>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万元，对外投资及有价证券0万元，在建工程16万元，无形资产0万元，其他资产0万元（具体内容详见附表）。与上年2335.79万元相比，本年资产总额增加898.5 万元，增长38.47%，其中：流动资产增加862.17万元，固定资产增加28.33万元，在建工程增加8万元。处置房屋建筑物0平方米，账面原值0万元；处置车辆0辆，账面原值0万元；报废报损资产0项，账面原值0万元，实现资产处置收入0万元；出租房屋0平方米，账面原值0万元，实现资产使用收入0万元。</w:t>
      </w:r>
    </w:p>
    <w:tbl>
      <w:tblPr>
        <w:tblStyle w:val="5"/>
        <w:tblpPr w:leftFromText="180" w:rightFromText="180" w:topFromText="100" w:bottomFromText="100" w:vertAnchor="text" w:horzAnchor="page" w:tblpX="534" w:tblpY="490"/>
        <w:tblOverlap w:val="never"/>
        <w:tblW w:w="10770" w:type="dxa"/>
        <w:tblInd w:w="0" w:type="dxa"/>
        <w:tblLayout w:type="fixed"/>
        <w:tblCellMar>
          <w:top w:w="0" w:type="dxa"/>
          <w:left w:w="0" w:type="dxa"/>
          <w:bottom w:w="0" w:type="dxa"/>
          <w:right w:w="0" w:type="dxa"/>
        </w:tblCellMar>
      </w:tblPr>
      <w:tblGrid>
        <w:gridCol w:w="715"/>
        <w:gridCol w:w="546"/>
        <w:gridCol w:w="700"/>
        <w:gridCol w:w="684"/>
        <w:gridCol w:w="638"/>
        <w:gridCol w:w="645"/>
        <w:gridCol w:w="685"/>
        <w:gridCol w:w="932"/>
        <w:gridCol w:w="331"/>
        <w:gridCol w:w="643"/>
        <w:gridCol w:w="841"/>
        <w:gridCol w:w="720"/>
        <w:gridCol w:w="915"/>
        <w:gridCol w:w="90"/>
        <w:gridCol w:w="825"/>
        <w:gridCol w:w="153"/>
        <w:gridCol w:w="142"/>
        <w:gridCol w:w="565"/>
      </w:tblGrid>
      <w:tr>
        <w:tblPrEx>
          <w:tblCellMar>
            <w:top w:w="0" w:type="dxa"/>
            <w:left w:w="0" w:type="dxa"/>
            <w:bottom w:w="0" w:type="dxa"/>
            <w:right w:w="0" w:type="dxa"/>
          </w:tblCellMar>
        </w:tblPrEx>
        <w:trPr>
          <w:trHeight w:val="495" w:hRule="atLeast"/>
        </w:trPr>
        <w:tc>
          <w:tcPr>
            <w:tcW w:w="10770" w:type="dxa"/>
            <w:gridSpan w:val="18"/>
            <w:tcBorders>
              <w:top w:val="nil"/>
              <w:left w:val="nil"/>
              <w:bottom w:val="nil"/>
              <w:right w:val="nil"/>
            </w:tcBorders>
            <w:shd w:val="clear" w:color="auto" w:fill="FFFFFF"/>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3534" w:firstLineChars="1100"/>
              <w:textAlignment w:val="center"/>
              <w:outlineLvl w:val="9"/>
              <w:rPr>
                <w:rFonts w:hint="default" w:ascii="Times New Roman" w:hAnsi="Times New Roman" w:cs="Times New Roman"/>
                <w:color w:val="000000"/>
                <w:kern w:val="0"/>
                <w:sz w:val="32"/>
                <w:szCs w:val="32"/>
              </w:rPr>
            </w:pPr>
            <w:r>
              <w:rPr>
                <w:rFonts w:hint="default" w:ascii="Times New Roman" w:hAnsi="Times New Roman" w:eastAsia="仿宋_GB2312" w:cs="Times New Roman"/>
                <w:b/>
                <w:color w:val="000000"/>
                <w:kern w:val="0"/>
                <w:sz w:val="32"/>
                <w:szCs w:val="32"/>
                <w:lang w:bidi="ar"/>
              </w:rPr>
              <w:t>国有资产占有使用情况表</w:t>
            </w:r>
          </w:p>
        </w:tc>
      </w:tr>
      <w:tr>
        <w:tblPrEx>
          <w:tblCellMar>
            <w:top w:w="0" w:type="dxa"/>
            <w:left w:w="0" w:type="dxa"/>
            <w:bottom w:w="0" w:type="dxa"/>
            <w:right w:w="0" w:type="dxa"/>
          </w:tblCellMar>
        </w:tblPrEx>
        <w:trPr>
          <w:trHeight w:val="347" w:hRule="atLeast"/>
        </w:trPr>
        <w:tc>
          <w:tcPr>
            <w:tcW w:w="4613" w:type="dxa"/>
            <w:gridSpan w:val="7"/>
            <w:tcBorders>
              <w:top w:val="nil"/>
              <w:left w:val="nil"/>
              <w:bottom w:val="single" w:color="808080" w:sz="4" w:space="0"/>
              <w:right w:val="nil"/>
            </w:tcBorders>
            <w:shd w:val="clear" w:color="auto" w:fill="FFFFFF"/>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left"/>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 </w:t>
            </w:r>
          </w:p>
        </w:tc>
        <w:tc>
          <w:tcPr>
            <w:tcW w:w="932"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 </w:t>
            </w:r>
          </w:p>
        </w:tc>
        <w:tc>
          <w:tcPr>
            <w:tcW w:w="974" w:type="dxa"/>
            <w:gridSpan w:val="2"/>
            <w:tcBorders>
              <w:top w:val="nil"/>
              <w:left w:val="nil"/>
              <w:bottom w:val="single" w:color="808080" w:sz="4" w:space="0"/>
              <w:right w:val="nil"/>
            </w:tcBorders>
            <w:shd w:val="clear" w:color="auto" w:fill="FFFFFF"/>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 </w:t>
            </w:r>
          </w:p>
        </w:tc>
        <w:tc>
          <w:tcPr>
            <w:tcW w:w="841"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 </w:t>
            </w:r>
          </w:p>
        </w:tc>
        <w:tc>
          <w:tcPr>
            <w:tcW w:w="720"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 </w:t>
            </w:r>
          </w:p>
        </w:tc>
        <w:tc>
          <w:tcPr>
            <w:tcW w:w="915"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 </w:t>
            </w:r>
          </w:p>
        </w:tc>
        <w:tc>
          <w:tcPr>
            <w:tcW w:w="1775" w:type="dxa"/>
            <w:gridSpan w:val="5"/>
            <w:tcBorders>
              <w:top w:val="nil"/>
              <w:left w:val="nil"/>
              <w:bottom w:val="single" w:color="808080" w:sz="4" w:space="0"/>
              <w:right w:val="nil"/>
            </w:tcBorders>
            <w:shd w:val="clear" w:color="auto" w:fill="FFFFFF"/>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right"/>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单位：万元</w:t>
            </w:r>
          </w:p>
        </w:tc>
      </w:tr>
      <w:tr>
        <w:tblPrEx>
          <w:tblCellMar>
            <w:top w:w="0" w:type="dxa"/>
            <w:left w:w="0" w:type="dxa"/>
            <w:bottom w:w="0" w:type="dxa"/>
            <w:right w:w="0" w:type="dxa"/>
          </w:tblCellMar>
        </w:tblPrEx>
        <w:trPr>
          <w:trHeight w:val="415" w:hRule="atLeast"/>
        </w:trPr>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项目</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行次</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资产总额</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流动资产</w:t>
            </w:r>
          </w:p>
        </w:tc>
        <w:tc>
          <w:tcPr>
            <w:tcW w:w="471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固定资产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对外投资/有价证券</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在建工程</w:t>
            </w:r>
          </w:p>
        </w:tc>
        <w:tc>
          <w:tcPr>
            <w:tcW w:w="915"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无形资产</w:t>
            </w:r>
          </w:p>
        </w:tc>
        <w:tc>
          <w:tcPr>
            <w:tcW w:w="86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其他资产</w:t>
            </w:r>
          </w:p>
        </w:tc>
      </w:tr>
      <w:tr>
        <w:tblPrEx>
          <w:tblCellMar>
            <w:top w:w="0" w:type="dxa"/>
            <w:left w:w="0" w:type="dxa"/>
            <w:bottom w:w="0" w:type="dxa"/>
            <w:right w:w="0" w:type="dxa"/>
          </w:tblCellMar>
        </w:tblPrEx>
        <w:trPr>
          <w:trHeight w:val="345" w:hRule="atLeast"/>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小计</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房屋构筑物</w:t>
            </w:r>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车辆</w:t>
            </w:r>
          </w:p>
        </w:tc>
        <w:tc>
          <w:tcPr>
            <w:tcW w:w="12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单价200万以上大型设备</w:t>
            </w:r>
          </w:p>
        </w:tc>
        <w:tc>
          <w:tcPr>
            <w:tcW w:w="14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其他固定资产</w:t>
            </w: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915"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860"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r>
      <w:tr>
        <w:tblPrEx>
          <w:tblCellMar>
            <w:top w:w="0" w:type="dxa"/>
            <w:left w:w="0" w:type="dxa"/>
            <w:bottom w:w="0" w:type="dxa"/>
            <w:right w:w="0" w:type="dxa"/>
          </w:tblCellMar>
        </w:tblPrEx>
        <w:trPr>
          <w:trHeight w:val="395" w:hRule="atLeast"/>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6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1263"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1484"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915"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860"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r>
      <w:tr>
        <w:tblPrEx>
          <w:tblCellMar>
            <w:top w:w="0" w:type="dxa"/>
            <w:left w:w="0" w:type="dxa"/>
            <w:bottom w:w="0" w:type="dxa"/>
            <w:right w:w="0" w:type="dxa"/>
          </w:tblCellMar>
        </w:tblPrEx>
        <w:trPr>
          <w:trHeight w:val="35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栏次</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 </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3</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4</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5</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6</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7</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8</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9</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10</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11</w:t>
            </w:r>
          </w:p>
        </w:tc>
      </w:tr>
      <w:tr>
        <w:tblPrEx>
          <w:tblCellMar>
            <w:top w:w="0" w:type="dxa"/>
            <w:left w:w="0" w:type="dxa"/>
            <w:bottom w:w="0" w:type="dxa"/>
            <w:right w:w="0" w:type="dxa"/>
          </w:tblCellMar>
        </w:tblPrEx>
        <w:trPr>
          <w:trHeight w:val="563"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合计</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textAlignment w:val="center"/>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lang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outlineLvl w:val="9"/>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3234.29</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outlineLvl w:val="9"/>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2815.34</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outlineLvl w:val="9"/>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402.95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outlineLvl w:val="9"/>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258.52</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right"/>
              <w:outlineLvl w:val="9"/>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41.77 </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right"/>
              <w:outlineLvl w:val="9"/>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 </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right"/>
              <w:outlineLvl w:val="9"/>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102.66 </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right"/>
              <w:outlineLvl w:val="9"/>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 </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center"/>
              <w:outlineLvl w:val="9"/>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16</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right"/>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 </w:t>
            </w:r>
          </w:p>
        </w:tc>
        <w:tc>
          <w:tcPr>
            <w:tcW w:w="8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jc w:val="right"/>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 </w:t>
            </w:r>
          </w:p>
        </w:tc>
      </w:tr>
      <w:tr>
        <w:tblPrEx>
          <w:tblCellMar>
            <w:top w:w="0" w:type="dxa"/>
            <w:left w:w="0" w:type="dxa"/>
            <w:bottom w:w="0" w:type="dxa"/>
            <w:right w:w="0" w:type="dxa"/>
          </w:tblCellMar>
        </w:tblPrEx>
        <w:trPr>
          <w:gridAfter w:val="1"/>
          <w:wAfter w:w="565" w:type="dxa"/>
          <w:trHeight w:val="259" w:hRule="atLeast"/>
        </w:trPr>
        <w:tc>
          <w:tcPr>
            <w:tcW w:w="8995" w:type="dxa"/>
            <w:gridSpan w:val="13"/>
            <w:tcBorders>
              <w:top w:val="nil"/>
              <w:left w:val="nil"/>
              <w:bottom w:val="nil"/>
              <w:right w:val="nil"/>
            </w:tcBorders>
            <w:shd w:val="clear" w:color="auto" w:fill="auto"/>
            <w:tcMar>
              <w:top w:w="15" w:type="dxa"/>
              <w:left w:w="15" w:type="dxa"/>
              <w:bottom w:w="15" w:type="dxa"/>
              <w:right w:w="15" w:type="dxa"/>
            </w:tcMar>
            <w:vAlign w:val="bottom"/>
          </w:tcPr>
          <w:p>
            <w:pPr>
              <w:keepNext w:val="0"/>
              <w:keepLines w:val="0"/>
              <w:pageBreakBefore w:val="0"/>
              <w:widowControl/>
              <w:kinsoku/>
              <w:wordWrap/>
              <w:overflowPunct/>
              <w:topLinePunct w:val="0"/>
              <w:autoSpaceDE/>
              <w:autoSpaceDN/>
              <w:bidi w:val="0"/>
              <w:spacing w:line="560" w:lineRule="exact"/>
              <w:outlineLvl w:val="9"/>
              <w:rPr>
                <w:rFonts w:hint="default" w:ascii="Times New Roman" w:hAnsi="Times New Roman" w:cs="Times New Roman"/>
                <w:color w:val="000000"/>
                <w:kern w:val="0"/>
                <w:sz w:val="32"/>
                <w:szCs w:val="32"/>
              </w:rPr>
            </w:pPr>
          </w:p>
        </w:tc>
        <w:tc>
          <w:tcPr>
            <w:tcW w:w="90" w:type="dxa"/>
            <w:tcBorders>
              <w:top w:val="nil"/>
              <w:left w:val="nil"/>
              <w:bottom w:val="nil"/>
              <w:right w:val="nil"/>
            </w:tcBorders>
            <w:shd w:val="clear" w:color="auto" w:fill="auto"/>
            <w:tcMar>
              <w:top w:w="15" w:type="dxa"/>
              <w:left w:w="15" w:type="dxa"/>
              <w:bottom w:w="15" w:type="dxa"/>
              <w:right w:w="15" w:type="dxa"/>
            </w:tcMar>
            <w:vAlign w:val="bottom"/>
          </w:tcPr>
          <w:p>
            <w:pPr>
              <w:keepNext w:val="0"/>
              <w:keepLines w:val="0"/>
              <w:pageBreakBefore w:val="0"/>
              <w:widowControl/>
              <w:kinsoku/>
              <w:wordWrap/>
              <w:overflowPunct/>
              <w:topLinePunct w:val="0"/>
              <w:autoSpaceDE/>
              <w:autoSpaceDN/>
              <w:bidi w:val="0"/>
              <w:spacing w:line="560" w:lineRule="exact"/>
              <w:outlineLvl w:val="9"/>
              <w:rPr>
                <w:rFonts w:hint="default" w:ascii="Times New Roman" w:hAnsi="Times New Roman" w:cs="Times New Roman"/>
                <w:color w:val="000000"/>
                <w:kern w:val="0"/>
                <w:sz w:val="32"/>
                <w:szCs w:val="32"/>
                <w:lang w:bidi="ar"/>
              </w:rPr>
            </w:pPr>
          </w:p>
        </w:tc>
        <w:tc>
          <w:tcPr>
            <w:tcW w:w="978" w:type="dxa"/>
            <w:gridSpan w:val="2"/>
            <w:tcBorders>
              <w:top w:val="nil"/>
              <w:left w:val="nil"/>
              <w:bottom w:val="nil"/>
              <w:right w:val="nil"/>
            </w:tcBorders>
            <w:shd w:val="clear" w:color="auto" w:fill="auto"/>
            <w:tcMar>
              <w:top w:w="15" w:type="dxa"/>
              <w:left w:w="15" w:type="dxa"/>
              <w:bottom w:w="15" w:type="dxa"/>
              <w:right w:w="15" w:type="dxa"/>
            </w:tcMar>
            <w:vAlign w:val="bottom"/>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c>
          <w:tcPr>
            <w:tcW w:w="14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p>
        </w:tc>
      </w:tr>
      <w:tr>
        <w:tblPrEx>
          <w:tblCellMar>
            <w:top w:w="0" w:type="dxa"/>
            <w:left w:w="0" w:type="dxa"/>
            <w:bottom w:w="0" w:type="dxa"/>
            <w:right w:w="0" w:type="dxa"/>
          </w:tblCellMar>
        </w:tblPrEx>
        <w:trPr>
          <w:trHeight w:val="495" w:hRule="atLeast"/>
        </w:trPr>
        <w:tc>
          <w:tcPr>
            <w:tcW w:w="9910" w:type="dxa"/>
            <w:gridSpan w:val="15"/>
            <w:tcBorders>
              <w:top w:val="nil"/>
              <w:left w:val="nil"/>
              <w:bottom w:val="nil"/>
              <w:right w:val="nil"/>
            </w:tcBorders>
            <w:shd w:val="clear" w:color="auto" w:fill="auto"/>
            <w:tcMar>
              <w:top w:w="15" w:type="dxa"/>
              <w:left w:w="15" w:type="dxa"/>
              <w:bottom w:w="15" w:type="dxa"/>
              <w:right w:w="15" w:type="dxa"/>
            </w:tcMar>
            <w:vAlign w:val="bottom"/>
          </w:tcPr>
          <w:p>
            <w:pPr>
              <w:keepNext w:val="0"/>
              <w:keepLines w:val="0"/>
              <w:pageBreakBefore w:val="0"/>
              <w:widowControl/>
              <w:kinsoku/>
              <w:wordWrap/>
              <w:overflowPunct/>
              <w:topLinePunct w:val="0"/>
              <w:autoSpaceDE/>
              <w:autoSpaceDN/>
              <w:bidi w:val="0"/>
              <w:spacing w:line="560" w:lineRule="exact"/>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填报说明：1.资产总额＝流动资产＋固定资产＋对外投资／有价证券＋在建工程＋无形资产＋其他资产</w:t>
            </w:r>
          </w:p>
          <w:p>
            <w:pPr>
              <w:keepNext w:val="0"/>
              <w:keepLines w:val="0"/>
              <w:pageBreakBefore w:val="0"/>
              <w:widowControl/>
              <w:kinsoku/>
              <w:wordWrap/>
              <w:overflowPunct/>
              <w:topLinePunct w:val="0"/>
              <w:autoSpaceDE/>
              <w:autoSpaceDN/>
              <w:bidi w:val="0"/>
              <w:spacing w:line="560" w:lineRule="exact"/>
              <w:ind w:firstLine="1648" w:firstLineChars="515"/>
              <w:jc w:val="left"/>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2.固定资产＝房屋构筑物＋车辆＋单价200万元以上大型设备＋其他固定资产</w:t>
            </w:r>
          </w:p>
        </w:tc>
        <w:tc>
          <w:tcPr>
            <w:tcW w:w="860" w:type="dxa"/>
            <w:gridSpan w:val="3"/>
            <w:tcBorders>
              <w:top w:val="nil"/>
              <w:left w:val="nil"/>
              <w:bottom w:val="nil"/>
              <w:right w:val="nil"/>
            </w:tcBorders>
            <w:shd w:val="clear" w:color="auto" w:fill="auto"/>
            <w:tcMar>
              <w:top w:w="15" w:type="dxa"/>
              <w:left w:w="15" w:type="dxa"/>
              <w:bottom w:w="15" w:type="dxa"/>
              <w:right w:w="15" w:type="dxa"/>
            </w:tcMar>
            <w:vAlign w:val="bottom"/>
          </w:tcPr>
          <w:p>
            <w:pPr>
              <w:keepNext w:val="0"/>
              <w:keepLines w:val="0"/>
              <w:pageBreakBefore w:val="0"/>
              <w:widowControl/>
              <w:kinsoku/>
              <w:wordWrap/>
              <w:overflowPunct/>
              <w:topLinePunct w:val="0"/>
              <w:autoSpaceDE/>
              <w:autoSpaceDN/>
              <w:bidi w:val="0"/>
              <w:spacing w:line="560" w:lineRule="exact"/>
              <w:jc w:val="left"/>
              <w:outlineLvl w:val="9"/>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 </w:t>
            </w:r>
          </w:p>
        </w:tc>
      </w:tr>
    </w:tbl>
    <w:p>
      <w:pPr>
        <w:keepNext w:val="0"/>
        <w:keepLines w:val="0"/>
        <w:pageBreakBefore w:val="0"/>
        <w:kinsoku/>
        <w:wordWrap/>
        <w:overflowPunct/>
        <w:topLinePunct w:val="0"/>
        <w:autoSpaceDE/>
        <w:autoSpaceDN/>
        <w:bidi w:val="0"/>
        <w:spacing w:line="560" w:lineRule="exact"/>
        <w:ind w:firstLine="480" w:firstLineChars="150"/>
        <w:jc w:val="left"/>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(三)政府采购支出情况</w:t>
      </w:r>
    </w:p>
    <w:p>
      <w:pPr>
        <w:keepNext w:val="0"/>
        <w:keepLines w:val="0"/>
        <w:pageBreakBefore w:val="0"/>
        <w:kinsoku/>
        <w:wordWrap/>
        <w:overflowPunct/>
        <w:topLinePunct w:val="0"/>
        <w:autoSpaceDE/>
        <w:autoSpaceDN/>
        <w:bidi w:val="0"/>
        <w:spacing w:line="560" w:lineRule="exact"/>
        <w:ind w:firstLine="640" w:firstLineChars="200"/>
        <w:outlineLvl w:val="9"/>
        <w:rPr>
          <w:rFonts w:hint="default" w:ascii="Times New Roman" w:hAnsi="Times New Roman" w:eastAsia="仿宋_GB2312" w:cs="Times New Roman"/>
          <w:b/>
          <w:bCs/>
          <w:color w:val="FF0000"/>
          <w:sz w:val="32"/>
          <w:szCs w:val="32"/>
        </w:rPr>
      </w:pPr>
      <w:r>
        <w:rPr>
          <w:rFonts w:hint="default" w:ascii="Times New Roman" w:hAnsi="Times New Roman" w:eastAsia="仿宋_GB2312" w:cs="Times New Roman"/>
          <w:sz w:val="32"/>
          <w:szCs w:val="32"/>
        </w:rPr>
        <w:t>2017年度，部门政府采购支出总额</w:t>
      </w:r>
      <w:bookmarkStart w:id="7" w:name="OLE_LINK7"/>
      <w:r>
        <w:rPr>
          <w:rFonts w:hint="default" w:ascii="Times New Roman" w:hAnsi="Times New Roman" w:eastAsia="仿宋_GB2312" w:cs="Times New Roman"/>
          <w:sz w:val="32"/>
          <w:szCs w:val="32"/>
        </w:rPr>
        <w:t>854.97</w:t>
      </w:r>
      <w:bookmarkEnd w:id="7"/>
      <w:r>
        <w:rPr>
          <w:rFonts w:hint="default" w:ascii="Times New Roman" w:hAnsi="Times New Roman" w:eastAsia="仿宋_GB2312" w:cs="Times New Roman"/>
          <w:sz w:val="32"/>
          <w:szCs w:val="32"/>
        </w:rPr>
        <w:t>万元，其中：政府采购货物支出64.77万元；政府采购工程支出780.80万元；政府采购服务支出9.40万元。授予中小企业合同金额854.97万元，占政府采购支出总额的100%</w:t>
      </w:r>
      <w:r>
        <w:rPr>
          <w:rFonts w:hint="default" w:ascii="Times New Roman" w:hAnsi="Times New Roman" w:eastAsia="仿宋_GB2312" w:cs="Times New Roman"/>
          <w:b/>
          <w:bCs/>
          <w:sz w:val="32"/>
          <w:szCs w:val="32"/>
        </w:rPr>
        <w:t>。</w:t>
      </w:r>
    </w:p>
    <w:p>
      <w:pPr>
        <w:keepNext w:val="0"/>
        <w:keepLines w:val="0"/>
        <w:pageBreakBefore w:val="0"/>
        <w:numPr>
          <w:ilvl w:val="0"/>
          <w:numId w:val="4"/>
        </w:numPr>
        <w:kinsoku/>
        <w:wordWrap/>
        <w:overflowPunct/>
        <w:topLinePunct w:val="0"/>
        <w:autoSpaceDE/>
        <w:autoSpaceDN/>
        <w:bidi w:val="0"/>
        <w:spacing w:line="560" w:lineRule="exact"/>
        <w:ind w:firstLine="640" w:firstLineChars="200"/>
        <w:jc w:val="left"/>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其他重要事项情况说明</w:t>
      </w:r>
    </w:p>
    <w:p>
      <w:pPr>
        <w:keepNext w:val="0"/>
        <w:keepLines w:val="0"/>
        <w:pageBreakBefore w:val="0"/>
        <w:kinsoku/>
        <w:wordWrap/>
        <w:overflowPunct/>
        <w:topLinePunct w:val="0"/>
        <w:autoSpaceDE/>
        <w:autoSpaceDN/>
        <w:bidi w:val="0"/>
        <w:spacing w:line="560" w:lineRule="exact"/>
        <w:ind w:firstLine="640" w:firstLineChars="200"/>
        <w:jc w:val="left"/>
        <w:outlineLvl w:val="9"/>
        <w:rPr>
          <w:rFonts w:hint="default" w:ascii="Times New Roman" w:hAnsi="Times New Roman" w:eastAsia="楷体_GB2312" w:cs="Times New Roman"/>
          <w:sz w:val="32"/>
          <w:szCs w:val="32"/>
        </w:rPr>
      </w:pPr>
      <w:r>
        <w:rPr>
          <w:rFonts w:hint="default" w:ascii="Times New Roman" w:hAnsi="Times New Roman" w:eastAsia="Times New Roman" w:cs="Times New Roman"/>
          <w:sz w:val="32"/>
          <w:szCs w:val="32"/>
        </w:rPr>
        <w:t>无</w:t>
      </w:r>
    </w:p>
    <w:p>
      <w:pPr>
        <w:keepNext w:val="0"/>
        <w:keepLines w:val="0"/>
        <w:pageBreakBefore w:val="0"/>
        <w:numPr>
          <w:ilvl w:val="0"/>
          <w:numId w:val="4"/>
        </w:numPr>
        <w:kinsoku/>
        <w:wordWrap/>
        <w:overflowPunct/>
        <w:topLinePunct w:val="0"/>
        <w:autoSpaceDE/>
        <w:autoSpaceDN/>
        <w:bidi w:val="0"/>
        <w:spacing w:line="560" w:lineRule="exact"/>
        <w:ind w:firstLine="640" w:firstLineChars="200"/>
        <w:jc w:val="left"/>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相关口径说明</w:t>
      </w:r>
    </w:p>
    <w:p>
      <w:pPr>
        <w:keepNext w:val="0"/>
        <w:keepLines w:val="0"/>
        <w:pageBreakBefore w:val="0"/>
        <w:kinsoku/>
        <w:wordWrap/>
        <w:overflowPunct/>
        <w:topLinePunct w:val="0"/>
        <w:autoSpaceDE/>
        <w:autoSpaceDN/>
        <w:bidi w:val="0"/>
        <w:spacing w:line="560" w:lineRule="exact"/>
        <w:ind w:firstLine="640" w:firstLineChars="200"/>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1．基本支出中人员经费包括工资福利支出和对个人和家庭的补助，日常公用支出包括商品和服务支出、其他资本性支出等人员经费以外的支出。</w:t>
      </w:r>
    </w:p>
    <w:p>
      <w:pPr>
        <w:keepNext w:val="0"/>
        <w:keepLines w:val="0"/>
        <w:pageBreakBefore w:val="0"/>
        <w:kinsoku/>
        <w:wordWrap/>
        <w:overflowPunct/>
        <w:topLinePunct w:val="0"/>
        <w:autoSpaceDE/>
        <w:autoSpaceDN/>
        <w:bidi w:val="0"/>
        <w:spacing w:line="560" w:lineRule="exact"/>
        <w:ind w:firstLine="640" w:firstLineChars="200"/>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2．机关运行经费指行政单位和参照公务员法管理的事业单位使用一般公共预算财政拨款安排的除人员经费以外的基本支出。</w:t>
      </w:r>
    </w:p>
    <w:p>
      <w:pPr>
        <w:keepNext w:val="0"/>
        <w:keepLines w:val="0"/>
        <w:pageBreakBefore w:val="0"/>
        <w:kinsoku/>
        <w:wordWrap/>
        <w:overflowPunct/>
        <w:topLinePunct w:val="0"/>
        <w:autoSpaceDE/>
        <w:autoSpaceDN/>
        <w:bidi w:val="0"/>
        <w:spacing w:line="560" w:lineRule="exact"/>
        <w:ind w:firstLine="640" w:firstLineChars="200"/>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按照党中央、国务院有关文件及部门预算管理有关规定，“三公”经费包括因公出国（境）费、公务用车购置及运行维护费、公务接待费。其中：因公出国（境）费，指单位工作人员公务出国（境）的国际旅费、国外城市间交通费、住宿费、伙食费、培训费、公杂费等支出；公务用车购置费，指单位公务用车车辆购置支出（含车辆购置税）；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keepNext w:val="0"/>
        <w:keepLines w:val="0"/>
        <w:pageBreakBefore w:val="0"/>
        <w:kinsoku/>
        <w:wordWrap/>
        <w:overflowPunct/>
        <w:topLinePunct w:val="0"/>
        <w:autoSpaceDE/>
        <w:autoSpaceDN/>
        <w:bidi w:val="0"/>
        <w:spacing w:line="560" w:lineRule="exact"/>
        <w:ind w:firstLine="640" w:firstLineChars="200"/>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keepNext w:val="0"/>
        <w:keepLines w:val="0"/>
        <w:pageBreakBefore w:val="0"/>
        <w:kinsoku/>
        <w:wordWrap/>
        <w:overflowPunct/>
        <w:topLinePunct w:val="0"/>
        <w:autoSpaceDE/>
        <w:autoSpaceDN/>
        <w:bidi w:val="0"/>
        <w:spacing w:line="560" w:lineRule="exact"/>
        <w:ind w:firstLine="640" w:firstLineChars="200"/>
        <w:jc w:val="center"/>
        <w:outlineLvl w:val="9"/>
        <w:rPr>
          <w:rFonts w:hint="default" w:ascii="Times New Roman" w:hAnsi="Times New Roman" w:eastAsia="宋体" w:cs="Times New Roman"/>
          <w:sz w:val="32"/>
          <w:szCs w:val="32"/>
        </w:rPr>
      </w:pPr>
      <w:r>
        <w:rPr>
          <w:rFonts w:hint="default" w:ascii="Times New Roman" w:hAnsi="Times New Roman" w:eastAsia="黑体" w:cs="Times New Roman"/>
          <w:sz w:val="32"/>
          <w:szCs w:val="32"/>
        </w:rPr>
        <w:t>第四部分  名词解释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财政拨款收入：指县级财政当年拨付的资金。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基本支出：为保障机构正常运行，完成日常工作任务而发生的人员支出和公用支出。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项目支出：指在基本支出之外为完成特定行政任务和事业发展目标所发生的支出。</w:t>
      </w:r>
    </w:p>
    <w:p>
      <w:pPr>
        <w:keepNext w:val="0"/>
        <w:keepLines w:val="0"/>
        <w:pageBreakBefore w:val="0"/>
        <w:kinsoku/>
        <w:wordWrap/>
        <w:overflowPunct/>
        <w:topLinePunct w:val="0"/>
        <w:autoSpaceDE/>
        <w:autoSpaceDN/>
        <w:bidi w:val="0"/>
        <w:spacing w:line="560" w:lineRule="exact"/>
        <w:ind w:firstLine="643" w:firstLineChars="200"/>
        <w:outlineLvl w:val="9"/>
        <w:rPr>
          <w:rFonts w:hint="eastAsia" w:ascii="Times New Roman" w:hAnsi="Times New Roman" w:eastAsia="仿宋" w:cs="Times New Roman"/>
          <w:b/>
          <w:bCs/>
          <w:color w:val="FF0000"/>
          <w:sz w:val="32"/>
          <w:szCs w:val="32"/>
          <w:lang w:val="en-US" w:eastAsia="zh-CN"/>
        </w:rPr>
      </w:pPr>
      <w:r>
        <w:rPr>
          <w:rFonts w:hint="eastAsia" w:ascii="Times New Roman" w:hAnsi="Times New Roman" w:eastAsia="仿宋" w:cs="Times New Roman"/>
          <w:b/>
          <w:bCs/>
          <w:color w:val="FF0000"/>
          <w:sz w:val="32"/>
          <w:szCs w:val="32"/>
          <w:lang w:val="en-US" w:eastAsia="zh-CN"/>
        </w:rPr>
        <w:t xml:space="preserve"> </w:t>
      </w:r>
    </w:p>
    <w:p>
      <w:pPr>
        <w:keepNext w:val="0"/>
        <w:keepLines w:val="0"/>
        <w:pageBreakBefore w:val="0"/>
        <w:kinsoku/>
        <w:wordWrap/>
        <w:overflowPunct/>
        <w:topLinePunct w:val="0"/>
        <w:autoSpaceDE/>
        <w:autoSpaceDN/>
        <w:bidi w:val="0"/>
        <w:spacing w:line="560" w:lineRule="exact"/>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宋体" w:cs="Times New Roman"/>
          <w:color w:val="FF0000"/>
          <w:sz w:val="32"/>
          <w:szCs w:val="32"/>
        </w:rPr>
        <w:t xml:space="preserve">                       </w:t>
      </w:r>
      <w:r>
        <w:rPr>
          <w:rFonts w:hint="default" w:ascii="Times New Roman" w:hAnsi="Times New Roman" w:eastAsia="仿宋_GB2312" w:cs="Times New Roman"/>
          <w:color w:val="FF0000"/>
          <w:sz w:val="32"/>
          <w:szCs w:val="32"/>
        </w:rPr>
        <w:t xml:space="preserve">  </w:t>
      </w:r>
      <w:r>
        <w:rPr>
          <w:rFonts w:hint="default" w:ascii="Times New Roman" w:hAnsi="Times New Roman" w:eastAsia="仿宋_GB2312" w:cs="Times New Roman"/>
          <w:sz w:val="32"/>
          <w:szCs w:val="32"/>
        </w:rPr>
        <w:t>盈江县旧城镇人民政府</w:t>
      </w:r>
    </w:p>
    <w:p>
      <w:pPr>
        <w:keepNext w:val="0"/>
        <w:keepLines w:val="0"/>
        <w:pageBreakBefore w:val="0"/>
        <w:kinsoku/>
        <w:wordWrap/>
        <w:overflowPunct/>
        <w:topLinePunct w:val="0"/>
        <w:autoSpaceDE/>
        <w:autoSpaceDN/>
        <w:bidi w:val="0"/>
        <w:spacing w:line="560" w:lineRule="exact"/>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2018年10月15日</w:t>
      </w:r>
    </w:p>
    <w:sectPr>
      <w:headerReference r:id="rId3" w:type="default"/>
      <w:footerReference r:id="rId4" w:type="default"/>
      <w:pgSz w:w="11906" w:h="16838"/>
      <w:pgMar w:top="2211" w:right="1474" w:bottom="2041"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C7F051"/>
    <w:multiLevelType w:val="singleLevel"/>
    <w:tmpl w:val="5BC7F051"/>
    <w:lvl w:ilvl="0" w:tentative="0">
      <w:start w:val="2"/>
      <w:numFmt w:val="decimal"/>
      <w:suff w:val="nothing"/>
      <w:lvlText w:val="%1."/>
      <w:lvlJc w:val="left"/>
    </w:lvl>
  </w:abstractNum>
  <w:abstractNum w:abstractNumId="1">
    <w:nsid w:val="5BC8079C"/>
    <w:multiLevelType w:val="singleLevel"/>
    <w:tmpl w:val="5BC8079C"/>
    <w:lvl w:ilvl="0" w:tentative="0">
      <w:start w:val="1"/>
      <w:numFmt w:val="decimal"/>
      <w:suff w:val="nothing"/>
      <w:lvlText w:val="%1."/>
      <w:lvlJc w:val="left"/>
    </w:lvl>
  </w:abstractNum>
  <w:abstractNum w:abstractNumId="2">
    <w:nsid w:val="5BC819CE"/>
    <w:multiLevelType w:val="singleLevel"/>
    <w:tmpl w:val="5BC819CE"/>
    <w:lvl w:ilvl="0" w:tentative="0">
      <w:start w:val="4"/>
      <w:numFmt w:val="chineseCounting"/>
      <w:suff w:val="nothing"/>
      <w:lvlText w:val="（%1）"/>
      <w:lvlJc w:val="left"/>
    </w:lvl>
  </w:abstractNum>
  <w:abstractNum w:abstractNumId="3">
    <w:nsid w:val="5BC81B3B"/>
    <w:multiLevelType w:val="singleLevel"/>
    <w:tmpl w:val="5BC81B3B"/>
    <w:lvl w:ilvl="0" w:tentative="0">
      <w:start w:val="3"/>
      <w:numFmt w:val="chineseCounting"/>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lNmIwNzA0YmNiYjMwOTlhMzExMThiMTc2ZTc4MGIifQ=="/>
  </w:docVars>
  <w:rsids>
    <w:rsidRoot w:val="70EE2992"/>
    <w:rsid w:val="00056A7F"/>
    <w:rsid w:val="001B2C63"/>
    <w:rsid w:val="001D5513"/>
    <w:rsid w:val="00222362"/>
    <w:rsid w:val="00223C7F"/>
    <w:rsid w:val="002905F8"/>
    <w:rsid w:val="00356722"/>
    <w:rsid w:val="003608BB"/>
    <w:rsid w:val="003D21BC"/>
    <w:rsid w:val="00557F32"/>
    <w:rsid w:val="006046B7"/>
    <w:rsid w:val="00692396"/>
    <w:rsid w:val="00703D70"/>
    <w:rsid w:val="007E0987"/>
    <w:rsid w:val="008D375E"/>
    <w:rsid w:val="00940FFA"/>
    <w:rsid w:val="00954AA9"/>
    <w:rsid w:val="00956B6A"/>
    <w:rsid w:val="009C73F4"/>
    <w:rsid w:val="00A82AE8"/>
    <w:rsid w:val="00AB3D29"/>
    <w:rsid w:val="00B22B13"/>
    <w:rsid w:val="00B40028"/>
    <w:rsid w:val="00B8314E"/>
    <w:rsid w:val="00CC3131"/>
    <w:rsid w:val="00CF5740"/>
    <w:rsid w:val="00DB5620"/>
    <w:rsid w:val="00E04111"/>
    <w:rsid w:val="00E35849"/>
    <w:rsid w:val="00F5666A"/>
    <w:rsid w:val="02F87224"/>
    <w:rsid w:val="03FC3043"/>
    <w:rsid w:val="048A60FE"/>
    <w:rsid w:val="068E41E7"/>
    <w:rsid w:val="06EB44AB"/>
    <w:rsid w:val="06FC021E"/>
    <w:rsid w:val="0ABE2743"/>
    <w:rsid w:val="0B6E3242"/>
    <w:rsid w:val="0D041181"/>
    <w:rsid w:val="0E722B3D"/>
    <w:rsid w:val="0F4311FB"/>
    <w:rsid w:val="0F896D35"/>
    <w:rsid w:val="0FF1717D"/>
    <w:rsid w:val="10044BFA"/>
    <w:rsid w:val="123804C7"/>
    <w:rsid w:val="1321353C"/>
    <w:rsid w:val="135A3ED7"/>
    <w:rsid w:val="14091701"/>
    <w:rsid w:val="17130513"/>
    <w:rsid w:val="175F30E9"/>
    <w:rsid w:val="18876F2A"/>
    <w:rsid w:val="197863F7"/>
    <w:rsid w:val="1B2D159D"/>
    <w:rsid w:val="1B7433C2"/>
    <w:rsid w:val="1DBB5960"/>
    <w:rsid w:val="1DF5072E"/>
    <w:rsid w:val="1F2030FF"/>
    <w:rsid w:val="1FB23185"/>
    <w:rsid w:val="235C69C4"/>
    <w:rsid w:val="23E837D2"/>
    <w:rsid w:val="241B7587"/>
    <w:rsid w:val="24591863"/>
    <w:rsid w:val="258009D7"/>
    <w:rsid w:val="26034020"/>
    <w:rsid w:val="289B47E2"/>
    <w:rsid w:val="2B8E2530"/>
    <w:rsid w:val="2C084783"/>
    <w:rsid w:val="2E3D6AD2"/>
    <w:rsid w:val="2F302DCC"/>
    <w:rsid w:val="30AB0C24"/>
    <w:rsid w:val="370010E7"/>
    <w:rsid w:val="375F651E"/>
    <w:rsid w:val="37947820"/>
    <w:rsid w:val="3FAC703E"/>
    <w:rsid w:val="419064CB"/>
    <w:rsid w:val="42874470"/>
    <w:rsid w:val="42A273A1"/>
    <w:rsid w:val="42E839B3"/>
    <w:rsid w:val="43CB264B"/>
    <w:rsid w:val="44D61739"/>
    <w:rsid w:val="464F00C1"/>
    <w:rsid w:val="46EA49DE"/>
    <w:rsid w:val="47A33BBC"/>
    <w:rsid w:val="47A760F4"/>
    <w:rsid w:val="47CD35FD"/>
    <w:rsid w:val="4865691D"/>
    <w:rsid w:val="49582617"/>
    <w:rsid w:val="4A861F3A"/>
    <w:rsid w:val="4AFE746D"/>
    <w:rsid w:val="4B4A688E"/>
    <w:rsid w:val="4C4478DB"/>
    <w:rsid w:val="4D0A3C16"/>
    <w:rsid w:val="4DB91852"/>
    <w:rsid w:val="4E2F21FC"/>
    <w:rsid w:val="4E914DCD"/>
    <w:rsid w:val="4EC54068"/>
    <w:rsid w:val="4EC83C56"/>
    <w:rsid w:val="518E6C16"/>
    <w:rsid w:val="51D6476D"/>
    <w:rsid w:val="528876FA"/>
    <w:rsid w:val="528E0058"/>
    <w:rsid w:val="52B35D02"/>
    <w:rsid w:val="52D03EF0"/>
    <w:rsid w:val="54B86CB1"/>
    <w:rsid w:val="570D76FD"/>
    <w:rsid w:val="57396C04"/>
    <w:rsid w:val="577907AD"/>
    <w:rsid w:val="57BF4F45"/>
    <w:rsid w:val="57D44B80"/>
    <w:rsid w:val="5BEA2696"/>
    <w:rsid w:val="5D8C69B1"/>
    <w:rsid w:val="5E1D1D03"/>
    <w:rsid w:val="5E6C2AFE"/>
    <w:rsid w:val="5EAC3067"/>
    <w:rsid w:val="5FC15FA3"/>
    <w:rsid w:val="62BC2E37"/>
    <w:rsid w:val="63426DDC"/>
    <w:rsid w:val="640867F5"/>
    <w:rsid w:val="66CA4159"/>
    <w:rsid w:val="6B322BFB"/>
    <w:rsid w:val="6B793F59"/>
    <w:rsid w:val="6CD27ACC"/>
    <w:rsid w:val="6D46104D"/>
    <w:rsid w:val="6FBD53B3"/>
    <w:rsid w:val="6FBD560B"/>
    <w:rsid w:val="6FD36B5A"/>
    <w:rsid w:val="70EC78A0"/>
    <w:rsid w:val="70EE2992"/>
    <w:rsid w:val="766D6408"/>
    <w:rsid w:val="789A4E06"/>
    <w:rsid w:val="78C8516E"/>
    <w:rsid w:val="78DB7C14"/>
    <w:rsid w:val="7BF23863"/>
    <w:rsid w:val="7C9B5C95"/>
    <w:rsid w:val="7C9E48BB"/>
    <w:rsid w:val="7D1A3E11"/>
    <w:rsid w:val="7DA55AAA"/>
    <w:rsid w:val="7E807FF2"/>
    <w:rsid w:val="7EE93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before="93" w:beforeLines="30"/>
    </w:pPr>
    <w:rPr>
      <w:rFonts w:ascii="仿宋_GB2312" w:eastAsia="仿宋_GB2312"/>
      <w:sz w:val="30"/>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 w:type="paragraph" w:customStyle="1" w:styleId="8">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德宏州盈江县党政机关单位</Company>
  <Pages>12</Pages>
  <Words>917</Words>
  <Characters>5228</Characters>
  <Lines>43</Lines>
  <Paragraphs>12</Paragraphs>
  <TotalTime>1</TotalTime>
  <ScaleCrop>false</ScaleCrop>
  <LinksUpToDate>false</LinksUpToDate>
  <CharactersWithSpaces>6133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2018-06-15T08:39:00Z</dcterms:created>
  <dc:creator>yph</dc:creator>
  <cp:lastModifiedBy>杨玉娟</cp:lastModifiedBy>
  <cp:lastPrinted>2018-07-03T12:27:00Z</cp:lastPrinted>
  <dcterms:modified xsi:type="dcterms:W3CDTF">2024-03-26T07:58:37Z</dcterms:modified>
  <dc:title>部门决算公开培训资料</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F165C373ECC44BE9BFD3F9AC149FBCC2_12</vt:lpwstr>
  </property>
</Properties>
</file>