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i w:val="0"/>
          <w:caps w:val="0"/>
          <w:color w:val="000000"/>
          <w:spacing w:val="0"/>
          <w:kern w:val="0"/>
          <w:sz w:val="32"/>
          <w:szCs w:val="32"/>
          <w:lang w:val="en-US" w:eastAsia="zh-CN" w:bidi="ar"/>
        </w:rPr>
      </w:pPr>
      <w:bookmarkStart w:id="0" w:name="_GoBack"/>
      <w:bookmarkEnd w:id="0"/>
      <w:r>
        <w:rPr>
          <w:rFonts w:hint="default" w:ascii="Times New Roman" w:hAnsi="Times New Roman" w:eastAsia="方正小标宋_GBK" w:cs="Times New Roman"/>
          <w:i w:val="0"/>
          <w:caps w:val="0"/>
          <w:color w:val="000000"/>
          <w:spacing w:val="0"/>
          <w:kern w:val="0"/>
          <w:sz w:val="44"/>
          <w:szCs w:val="44"/>
          <w:lang w:val="en-US" w:eastAsia="zh-CN" w:bidi="ar"/>
        </w:rPr>
        <w:t>盈江县市场监督和城乡管理综合执法局</w:t>
      </w:r>
      <w:r>
        <w:rPr>
          <w:rFonts w:hint="default" w:ascii="Times New Roman" w:hAnsi="Times New Roman" w:cs="Times New Roman" w:eastAsiaTheme="minorEastAsia"/>
          <w:i w:val="0"/>
          <w:caps w:val="0"/>
          <w:color w:val="000000"/>
          <w:spacing w:val="0"/>
          <w:kern w:val="0"/>
          <w:sz w:val="44"/>
          <w:szCs w:val="44"/>
          <w:lang w:val="en-US" w:eastAsia="zh-CN" w:bidi="ar"/>
        </w:rPr>
        <w:t>2017</w:t>
      </w:r>
      <w:r>
        <w:rPr>
          <w:rFonts w:hint="default" w:ascii="Times New Roman" w:hAnsi="Times New Roman" w:eastAsia="方正小标宋_GBK" w:cs="Times New Roman"/>
          <w:i w:val="0"/>
          <w:caps w:val="0"/>
          <w:color w:val="000000"/>
          <w:spacing w:val="0"/>
          <w:kern w:val="0"/>
          <w:sz w:val="44"/>
          <w:szCs w:val="44"/>
          <w:lang w:val="en-US" w:eastAsia="zh-CN" w:bidi="ar"/>
        </w:rPr>
        <w:t>年政务公开工作要点落实情况报告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eastAsia="方正仿宋_GBK" w:cs="Times New Roman"/>
          <w:i w:val="0"/>
          <w:caps w:val="0"/>
          <w:color w:val="000000"/>
          <w:spacing w:val="0"/>
          <w:kern w:val="0"/>
          <w:sz w:val="32"/>
          <w:szCs w:val="32"/>
          <w:lang w:val="en-US" w:eastAsia="zh-CN" w:bidi="ar"/>
        </w:rPr>
        <w:t>盈江县市场监督和城乡管理综合执法局严格按照《盈江县</w:t>
      </w:r>
      <w:r>
        <w:rPr>
          <w:rFonts w:hint="default" w:ascii="Times New Roman" w:hAnsi="Times New Roman" w:cs="Times New Roman" w:eastAsiaTheme="minorEastAsia"/>
          <w:i w:val="0"/>
          <w:caps w:val="0"/>
          <w:color w:val="000000"/>
          <w:spacing w:val="0"/>
          <w:kern w:val="0"/>
          <w:sz w:val="32"/>
          <w:szCs w:val="32"/>
          <w:lang w:val="en-US" w:eastAsia="zh-CN" w:bidi="ar"/>
        </w:rPr>
        <w:t>2017</w:t>
      </w:r>
      <w:r>
        <w:rPr>
          <w:rFonts w:hint="default" w:ascii="Times New Roman" w:hAnsi="Times New Roman" w:eastAsia="方正仿宋_GBK" w:cs="Times New Roman"/>
          <w:i w:val="0"/>
          <w:caps w:val="0"/>
          <w:color w:val="000000"/>
          <w:spacing w:val="0"/>
          <w:kern w:val="0"/>
          <w:sz w:val="32"/>
          <w:szCs w:val="32"/>
          <w:lang w:val="en-US" w:eastAsia="zh-CN" w:bidi="ar"/>
        </w:rPr>
        <w:t>年政务公开工作要点分工方案》，将政务公开工作纳入重要议事日程，主要负责人亲自抓，结合实际制定了单位政务公开方案，明确部门责任分工，抓好任务落实，扎实推进部门政务公开工作的开展，现将政务公开要点工作落实情况报告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eastAsia="方正黑体_GBK" w:cs="Times New Roman"/>
          <w:i w:val="0"/>
          <w:caps w:val="0"/>
          <w:color w:val="000000"/>
          <w:spacing w:val="0"/>
          <w:kern w:val="0"/>
          <w:sz w:val="32"/>
          <w:szCs w:val="32"/>
          <w:lang w:val="en-US" w:eastAsia="zh-CN" w:bidi="ar"/>
        </w:rPr>
        <w:t>一、工作开展情况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eastAsia="方正楷体_GBK" w:cs="Times New Roman"/>
          <w:i w:val="0"/>
          <w:caps w:val="0"/>
          <w:color w:val="000000"/>
          <w:spacing w:val="0"/>
          <w:kern w:val="0"/>
          <w:sz w:val="32"/>
          <w:szCs w:val="32"/>
          <w:lang w:val="en-US" w:eastAsia="zh-CN" w:bidi="ar"/>
        </w:rPr>
        <w:t>（一）以政务公开助力促改革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32"/>
          <w:szCs w:val="32"/>
          <w:lang w:val="en-US" w:eastAsia="zh-CN" w:bidi="ar"/>
        </w:rPr>
        <w:t>1.</w:t>
      </w:r>
      <w:r>
        <w:rPr>
          <w:rFonts w:hint="default" w:ascii="Times New Roman" w:hAnsi="Times New Roman" w:eastAsia="方正仿宋_GBK" w:cs="Times New Roman"/>
          <w:i w:val="0"/>
          <w:caps w:val="0"/>
          <w:color w:val="000000"/>
          <w:spacing w:val="0"/>
          <w:kern w:val="0"/>
          <w:sz w:val="32"/>
          <w:szCs w:val="32"/>
          <w:lang w:val="en-US" w:eastAsia="zh-CN" w:bidi="ar"/>
        </w:rPr>
        <w:t>推进</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放管服</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改革信息公开。大力推进</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互联网</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政务服务</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优先推动企业注册登记、项目投资、创业创新，以及与群众生活密切有关的服务事项网上办理，实现政务服务统一申请、统一受理、集中办理、统一反馈和全流程监督等功能，删繁化简，减条件、减材料、减环节，实现政务服务精准供给，让数据</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多跑路</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，让群众</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少跑腿</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。盈江县市场监督和城乡管理综合执法局以推进改革创新为动力，以服务经济发展为导向，全面落实</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放管服</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各项措施，通过实施注册资本登记制度改革、放宽市场主体住所登记条件、实施</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先照后证</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和</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三证合一、一照一码</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五证合一</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多证合一</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、全程电子化改革工作，开展企业信用信息公示和</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双随机</w:t>
      </w:r>
      <w:r>
        <w:rPr>
          <w:rFonts w:hint="eastAsia"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一公开</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抽查等系列改革措施，进一步降低了市场准入门槛，推进注册登记便利化，加强事中事后监管力度，企业信用监管机制初步建立。通过</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一窗受理、互联互通、信息共享</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，进一步便利企业注册，持续推动大众创业、万众创新热潮，继续激发市场活力和企业潜力，使市场在资源配置中更好地起决定性作用和更好发挥政府作用。</w:t>
      </w:r>
      <w:r>
        <w:rPr>
          <w:rFonts w:hint="default" w:ascii="Times New Roman" w:hAnsi="Times New Roman" w:cs="Times New Roman" w:eastAsiaTheme="minorEastAsia"/>
          <w:i w:val="0"/>
          <w:caps w:val="0"/>
          <w:color w:val="000000"/>
          <w:spacing w:val="0"/>
          <w:kern w:val="0"/>
          <w:sz w:val="32"/>
          <w:szCs w:val="32"/>
          <w:lang w:val="en-US" w:eastAsia="zh-CN" w:bidi="ar"/>
        </w:rPr>
        <w:t>2017</w:t>
      </w:r>
      <w:r>
        <w:rPr>
          <w:rFonts w:hint="default" w:ascii="Times New Roman" w:hAnsi="Times New Roman" w:eastAsia="方正仿宋_GBK" w:cs="Times New Roman"/>
          <w:i w:val="0"/>
          <w:caps w:val="0"/>
          <w:color w:val="000000"/>
          <w:spacing w:val="0"/>
          <w:kern w:val="0"/>
          <w:sz w:val="32"/>
          <w:szCs w:val="32"/>
          <w:lang w:val="en-US" w:eastAsia="zh-CN" w:bidi="ar"/>
        </w:rPr>
        <w:t>年</w:t>
      </w:r>
      <w:r>
        <w:rPr>
          <w:rFonts w:hint="default" w:ascii="Times New Roman" w:hAnsi="Times New Roman" w:cs="Times New Roman" w:eastAsiaTheme="minorEastAsia"/>
          <w:i w:val="0"/>
          <w:caps w:val="0"/>
          <w:color w:val="000000"/>
          <w:spacing w:val="0"/>
          <w:kern w:val="0"/>
          <w:sz w:val="32"/>
          <w:szCs w:val="32"/>
          <w:lang w:val="en-US" w:eastAsia="zh-CN" w:bidi="ar"/>
        </w:rPr>
        <w:t>9</w:t>
      </w:r>
      <w:r>
        <w:rPr>
          <w:rFonts w:hint="default" w:ascii="Times New Roman" w:hAnsi="Times New Roman" w:eastAsia="方正仿宋_GBK" w:cs="Times New Roman"/>
          <w:i w:val="0"/>
          <w:caps w:val="0"/>
          <w:color w:val="000000"/>
          <w:spacing w:val="0"/>
          <w:kern w:val="0"/>
          <w:sz w:val="32"/>
          <w:szCs w:val="32"/>
          <w:lang w:val="en-US" w:eastAsia="zh-CN" w:bidi="ar"/>
        </w:rPr>
        <w:t>月</w:t>
      </w:r>
      <w:r>
        <w:rPr>
          <w:rFonts w:hint="default" w:ascii="Times New Roman" w:hAnsi="Times New Roman" w:cs="Times New Roman" w:eastAsiaTheme="minorEastAsia"/>
          <w:i w:val="0"/>
          <w:caps w:val="0"/>
          <w:color w:val="000000"/>
          <w:spacing w:val="0"/>
          <w:kern w:val="0"/>
          <w:sz w:val="32"/>
          <w:szCs w:val="32"/>
          <w:lang w:val="en-US" w:eastAsia="zh-CN" w:bidi="ar"/>
        </w:rPr>
        <w:t>28</w:t>
      </w:r>
      <w:r>
        <w:rPr>
          <w:rFonts w:hint="default" w:ascii="Times New Roman" w:hAnsi="Times New Roman" w:eastAsia="方正仿宋_GBK" w:cs="Times New Roman"/>
          <w:i w:val="0"/>
          <w:caps w:val="0"/>
          <w:color w:val="000000"/>
          <w:spacing w:val="0"/>
          <w:kern w:val="0"/>
          <w:sz w:val="32"/>
          <w:szCs w:val="32"/>
          <w:lang w:val="en-US" w:eastAsia="zh-CN" w:bidi="ar"/>
        </w:rPr>
        <w:t>日与全省全州同步正式启动</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多证合一</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w:t>
      </w:r>
      <w:r>
        <w:rPr>
          <w:rFonts w:hint="eastAsia" w:ascii="Times New Roman" w:hAnsi="Times New Roman" w:eastAsia="方正仿宋_GBK" w:cs="Times New Roman"/>
          <w:i w:val="0"/>
          <w:caps w:val="0"/>
          <w:color w:val="000000"/>
          <w:spacing w:val="0"/>
          <w:kern w:val="0"/>
          <w:sz w:val="32"/>
          <w:szCs w:val="32"/>
          <w:lang w:val="en-US" w:eastAsia="zh-CN" w:bidi="ar"/>
        </w:rPr>
        <w:t>截至</w:t>
      </w:r>
      <w:r>
        <w:rPr>
          <w:rFonts w:hint="default" w:ascii="Times New Roman" w:hAnsi="Times New Roman" w:cs="Times New Roman" w:eastAsiaTheme="minorEastAsia"/>
          <w:i w:val="0"/>
          <w:caps w:val="0"/>
          <w:color w:val="000000"/>
          <w:spacing w:val="0"/>
          <w:kern w:val="0"/>
          <w:sz w:val="32"/>
          <w:szCs w:val="32"/>
          <w:lang w:val="en-US" w:eastAsia="zh-CN" w:bidi="ar"/>
        </w:rPr>
        <w:t>10</w:t>
      </w:r>
      <w:r>
        <w:rPr>
          <w:rFonts w:hint="default" w:ascii="Times New Roman" w:hAnsi="Times New Roman" w:eastAsia="方正仿宋_GBK" w:cs="Times New Roman"/>
          <w:i w:val="0"/>
          <w:caps w:val="0"/>
          <w:color w:val="000000"/>
          <w:spacing w:val="0"/>
          <w:kern w:val="0"/>
          <w:sz w:val="32"/>
          <w:szCs w:val="32"/>
          <w:lang w:val="en-US" w:eastAsia="zh-CN" w:bidi="ar"/>
        </w:rPr>
        <w:t>月</w:t>
      </w:r>
      <w:r>
        <w:rPr>
          <w:rFonts w:hint="default" w:ascii="Times New Roman" w:hAnsi="Times New Roman" w:cs="Times New Roman" w:eastAsiaTheme="minorEastAsia"/>
          <w:i w:val="0"/>
          <w:caps w:val="0"/>
          <w:color w:val="000000"/>
          <w:spacing w:val="0"/>
          <w:kern w:val="0"/>
          <w:sz w:val="32"/>
          <w:szCs w:val="32"/>
          <w:lang w:val="en-US" w:eastAsia="zh-CN" w:bidi="ar"/>
        </w:rPr>
        <w:t>31</w:t>
      </w:r>
      <w:r>
        <w:rPr>
          <w:rFonts w:hint="default" w:ascii="Times New Roman" w:hAnsi="Times New Roman" w:eastAsia="方正仿宋_GBK" w:cs="Times New Roman"/>
          <w:i w:val="0"/>
          <w:caps w:val="0"/>
          <w:color w:val="000000"/>
          <w:spacing w:val="0"/>
          <w:kern w:val="0"/>
          <w:sz w:val="32"/>
          <w:szCs w:val="32"/>
          <w:lang w:val="en-US" w:eastAsia="zh-CN" w:bidi="ar"/>
        </w:rPr>
        <w:t>日，共发放</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五证合一、一照一码</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营业执照</w:t>
      </w:r>
      <w:r>
        <w:rPr>
          <w:rFonts w:hint="default" w:ascii="Times New Roman" w:hAnsi="Times New Roman" w:cs="Times New Roman" w:eastAsiaTheme="minorEastAsia"/>
          <w:i w:val="0"/>
          <w:caps w:val="0"/>
          <w:color w:val="000000"/>
          <w:spacing w:val="0"/>
          <w:kern w:val="0"/>
          <w:sz w:val="32"/>
          <w:szCs w:val="32"/>
          <w:lang w:val="en-US" w:eastAsia="zh-CN" w:bidi="ar"/>
        </w:rPr>
        <w:t>1804</w:t>
      </w:r>
      <w:r>
        <w:rPr>
          <w:rFonts w:hint="default" w:ascii="Times New Roman" w:hAnsi="Times New Roman" w:eastAsia="方正仿宋_GBK" w:cs="Times New Roman"/>
          <w:i w:val="0"/>
          <w:caps w:val="0"/>
          <w:color w:val="000000"/>
          <w:spacing w:val="0"/>
          <w:kern w:val="0"/>
          <w:sz w:val="32"/>
          <w:szCs w:val="32"/>
          <w:lang w:val="en-US" w:eastAsia="zh-CN" w:bidi="ar"/>
        </w:rPr>
        <w:t>份。</w:t>
      </w:r>
      <w:r>
        <w:rPr>
          <w:rFonts w:hint="default" w:ascii="Times New Roman" w:hAnsi="Times New Roman" w:cs="Times New Roman" w:eastAsiaTheme="minorEastAsia"/>
          <w:i w:val="0"/>
          <w:caps w:val="0"/>
          <w:color w:val="000000"/>
          <w:spacing w:val="0"/>
          <w:kern w:val="0"/>
          <w:sz w:val="32"/>
          <w:szCs w:val="32"/>
          <w:lang w:val="en-US" w:eastAsia="zh-CN" w:bidi="ar"/>
        </w:rPr>
        <w:t>11</w:t>
      </w:r>
      <w:r>
        <w:rPr>
          <w:rFonts w:hint="default" w:ascii="Times New Roman" w:hAnsi="Times New Roman" w:eastAsia="方正仿宋_GBK" w:cs="Times New Roman"/>
          <w:i w:val="0"/>
          <w:caps w:val="0"/>
          <w:color w:val="000000"/>
          <w:spacing w:val="0"/>
          <w:kern w:val="0"/>
          <w:sz w:val="32"/>
          <w:szCs w:val="32"/>
          <w:lang w:val="en-US" w:eastAsia="zh-CN" w:bidi="ar"/>
        </w:rPr>
        <w:t>月</w:t>
      </w:r>
      <w:r>
        <w:rPr>
          <w:rFonts w:hint="default" w:ascii="Times New Roman" w:hAnsi="Times New Roman" w:cs="Times New Roman" w:eastAsiaTheme="minorEastAsia"/>
          <w:i w:val="0"/>
          <w:caps w:val="0"/>
          <w:color w:val="000000"/>
          <w:spacing w:val="0"/>
          <w:kern w:val="0"/>
          <w:sz w:val="32"/>
          <w:szCs w:val="32"/>
          <w:lang w:val="en-US" w:eastAsia="zh-CN" w:bidi="ar"/>
        </w:rPr>
        <w:t>22</w:t>
      </w:r>
      <w:r>
        <w:rPr>
          <w:rFonts w:hint="default" w:ascii="Times New Roman" w:hAnsi="Times New Roman" w:eastAsia="方正仿宋_GBK" w:cs="Times New Roman"/>
          <w:i w:val="0"/>
          <w:caps w:val="0"/>
          <w:color w:val="000000"/>
          <w:spacing w:val="0"/>
          <w:kern w:val="0"/>
          <w:sz w:val="32"/>
          <w:szCs w:val="32"/>
          <w:lang w:val="en-US" w:eastAsia="zh-CN" w:bidi="ar"/>
        </w:rPr>
        <w:t>日，颁发了盈江首张全程电子化营业执照。加强企业信用信息公示系统建设，全面推进</w:t>
      </w:r>
      <w:r>
        <w:rPr>
          <w:rFonts w:hint="default" w:ascii="Times New Roman" w:hAnsi="Times New Roman" w:cs="Times New Roman" w:eastAsiaTheme="minorEastAsia"/>
          <w:i w:val="0"/>
          <w:caps w:val="0"/>
          <w:color w:val="000000"/>
          <w:spacing w:val="0"/>
          <w:kern w:val="0"/>
          <w:sz w:val="32"/>
          <w:szCs w:val="32"/>
          <w:lang w:val="en-US" w:eastAsia="zh-CN" w:bidi="ar"/>
        </w:rPr>
        <w:t>2017</w:t>
      </w:r>
      <w:r>
        <w:rPr>
          <w:rFonts w:hint="default" w:ascii="Times New Roman" w:hAnsi="Times New Roman" w:eastAsia="方正仿宋_GBK" w:cs="Times New Roman"/>
          <w:i w:val="0"/>
          <w:caps w:val="0"/>
          <w:color w:val="000000"/>
          <w:spacing w:val="0"/>
          <w:kern w:val="0"/>
          <w:sz w:val="32"/>
          <w:szCs w:val="32"/>
          <w:lang w:val="en-US" w:eastAsia="zh-CN" w:bidi="ar"/>
        </w:rPr>
        <w:t>年度年报工作。2017年，全县企业、农民专业合作社及个体工商户应参加</w:t>
      </w:r>
      <w:r>
        <w:rPr>
          <w:rFonts w:hint="default" w:ascii="Times New Roman" w:hAnsi="Times New Roman" w:cs="Times New Roman" w:eastAsiaTheme="minorEastAsia"/>
          <w:i w:val="0"/>
          <w:caps w:val="0"/>
          <w:color w:val="000000"/>
          <w:spacing w:val="0"/>
          <w:kern w:val="0"/>
          <w:sz w:val="32"/>
          <w:szCs w:val="32"/>
          <w:lang w:val="en-US" w:eastAsia="zh-CN" w:bidi="ar"/>
        </w:rPr>
        <w:t>2016</w:t>
      </w:r>
      <w:r>
        <w:rPr>
          <w:rFonts w:hint="default" w:ascii="Times New Roman" w:hAnsi="Times New Roman" w:eastAsia="方正仿宋_GBK" w:cs="Times New Roman"/>
          <w:i w:val="0"/>
          <w:caps w:val="0"/>
          <w:color w:val="000000"/>
          <w:spacing w:val="0"/>
          <w:kern w:val="0"/>
          <w:sz w:val="32"/>
          <w:szCs w:val="32"/>
          <w:lang w:val="en-US" w:eastAsia="zh-CN" w:bidi="ar"/>
        </w:rPr>
        <w:t>年度年报分别为</w:t>
      </w:r>
      <w:r>
        <w:rPr>
          <w:rFonts w:hint="default" w:ascii="Times New Roman" w:hAnsi="Times New Roman" w:cs="Times New Roman" w:eastAsiaTheme="minorEastAsia"/>
          <w:i w:val="0"/>
          <w:caps w:val="0"/>
          <w:color w:val="000000"/>
          <w:spacing w:val="0"/>
          <w:kern w:val="0"/>
          <w:sz w:val="32"/>
          <w:szCs w:val="32"/>
          <w:lang w:val="en-US" w:eastAsia="zh-CN" w:bidi="ar"/>
        </w:rPr>
        <w:t>1757</w:t>
      </w:r>
      <w:r>
        <w:rPr>
          <w:rFonts w:hint="default" w:ascii="Times New Roman" w:hAnsi="Times New Roman" w:eastAsia="方正仿宋_GBK" w:cs="Times New Roman"/>
          <w:i w:val="0"/>
          <w:caps w:val="0"/>
          <w:color w:val="000000"/>
          <w:spacing w:val="0"/>
          <w:kern w:val="0"/>
          <w:sz w:val="32"/>
          <w:szCs w:val="32"/>
          <w:lang w:val="en-US" w:eastAsia="zh-CN" w:bidi="ar"/>
        </w:rPr>
        <w:t>户、</w:t>
      </w:r>
      <w:r>
        <w:rPr>
          <w:rFonts w:hint="default" w:ascii="Times New Roman" w:hAnsi="Times New Roman" w:cs="Times New Roman" w:eastAsiaTheme="minorEastAsia"/>
          <w:i w:val="0"/>
          <w:caps w:val="0"/>
          <w:color w:val="000000"/>
          <w:spacing w:val="0"/>
          <w:kern w:val="0"/>
          <w:sz w:val="32"/>
          <w:szCs w:val="32"/>
          <w:lang w:val="en-US" w:eastAsia="zh-CN" w:bidi="ar"/>
        </w:rPr>
        <w:t>373</w:t>
      </w:r>
      <w:r>
        <w:rPr>
          <w:rFonts w:hint="default" w:ascii="Times New Roman" w:hAnsi="Times New Roman" w:eastAsia="方正仿宋_GBK" w:cs="Times New Roman"/>
          <w:i w:val="0"/>
          <w:caps w:val="0"/>
          <w:color w:val="000000"/>
          <w:spacing w:val="0"/>
          <w:kern w:val="0"/>
          <w:sz w:val="32"/>
          <w:szCs w:val="32"/>
          <w:lang w:val="en-US" w:eastAsia="zh-CN" w:bidi="ar"/>
        </w:rPr>
        <w:t>户和</w:t>
      </w:r>
      <w:r>
        <w:rPr>
          <w:rFonts w:hint="default" w:ascii="Times New Roman" w:hAnsi="Times New Roman" w:cs="Times New Roman" w:eastAsiaTheme="minorEastAsia"/>
          <w:i w:val="0"/>
          <w:caps w:val="0"/>
          <w:color w:val="000000"/>
          <w:spacing w:val="0"/>
          <w:kern w:val="0"/>
          <w:sz w:val="32"/>
          <w:szCs w:val="32"/>
          <w:lang w:val="en-US" w:eastAsia="zh-CN" w:bidi="ar"/>
        </w:rPr>
        <w:t>14273</w:t>
      </w:r>
      <w:r>
        <w:rPr>
          <w:rFonts w:hint="default" w:ascii="Times New Roman" w:hAnsi="Times New Roman" w:eastAsia="方正仿宋_GBK" w:cs="Times New Roman"/>
          <w:i w:val="0"/>
          <w:caps w:val="0"/>
          <w:color w:val="000000"/>
          <w:spacing w:val="0"/>
          <w:kern w:val="0"/>
          <w:sz w:val="32"/>
          <w:szCs w:val="32"/>
          <w:lang w:val="en-US" w:eastAsia="zh-CN" w:bidi="ar"/>
        </w:rPr>
        <w:t>户，</w:t>
      </w:r>
      <w:r>
        <w:rPr>
          <w:rFonts w:hint="eastAsia" w:ascii="Times New Roman" w:hAnsi="Times New Roman" w:eastAsia="方正仿宋_GBK" w:cs="Times New Roman"/>
          <w:i w:val="0"/>
          <w:caps w:val="0"/>
          <w:color w:val="000000"/>
          <w:spacing w:val="0"/>
          <w:kern w:val="0"/>
          <w:sz w:val="32"/>
          <w:szCs w:val="32"/>
          <w:lang w:val="en-US" w:eastAsia="zh-CN" w:bidi="ar"/>
        </w:rPr>
        <w:t>截至</w:t>
      </w:r>
      <w:r>
        <w:rPr>
          <w:rFonts w:hint="default" w:ascii="Times New Roman" w:hAnsi="Times New Roman" w:cs="Times New Roman" w:eastAsiaTheme="minorEastAsia"/>
          <w:i w:val="0"/>
          <w:caps w:val="0"/>
          <w:color w:val="000000"/>
          <w:spacing w:val="0"/>
          <w:kern w:val="0"/>
          <w:sz w:val="32"/>
          <w:szCs w:val="32"/>
          <w:lang w:val="en-US" w:eastAsia="zh-CN" w:bidi="ar"/>
        </w:rPr>
        <w:t>2017</w:t>
      </w:r>
      <w:r>
        <w:rPr>
          <w:rFonts w:hint="default" w:ascii="Times New Roman" w:hAnsi="Times New Roman" w:eastAsia="方正仿宋_GBK" w:cs="Times New Roman"/>
          <w:i w:val="0"/>
          <w:caps w:val="0"/>
          <w:color w:val="000000"/>
          <w:spacing w:val="0"/>
          <w:kern w:val="0"/>
          <w:sz w:val="32"/>
          <w:szCs w:val="32"/>
          <w:lang w:val="en-US" w:eastAsia="zh-CN" w:bidi="ar"/>
        </w:rPr>
        <w:t>年</w:t>
      </w:r>
      <w:r>
        <w:rPr>
          <w:rFonts w:hint="default" w:ascii="Times New Roman" w:hAnsi="Times New Roman" w:cs="Times New Roman" w:eastAsiaTheme="minorEastAsia"/>
          <w:i w:val="0"/>
          <w:caps w:val="0"/>
          <w:color w:val="000000"/>
          <w:spacing w:val="0"/>
          <w:kern w:val="0"/>
          <w:sz w:val="32"/>
          <w:szCs w:val="32"/>
          <w:lang w:val="en-US" w:eastAsia="zh-CN" w:bidi="ar"/>
        </w:rPr>
        <w:t>6</w:t>
      </w:r>
      <w:r>
        <w:rPr>
          <w:rFonts w:hint="default" w:ascii="Times New Roman" w:hAnsi="Times New Roman" w:eastAsia="方正仿宋_GBK" w:cs="Times New Roman"/>
          <w:i w:val="0"/>
          <w:caps w:val="0"/>
          <w:color w:val="000000"/>
          <w:spacing w:val="0"/>
          <w:kern w:val="0"/>
          <w:sz w:val="32"/>
          <w:szCs w:val="32"/>
          <w:lang w:val="en-US" w:eastAsia="zh-CN" w:bidi="ar"/>
        </w:rPr>
        <w:t>月</w:t>
      </w:r>
      <w:r>
        <w:rPr>
          <w:rFonts w:hint="default" w:ascii="Times New Roman" w:hAnsi="Times New Roman" w:cs="Times New Roman" w:eastAsiaTheme="minorEastAsia"/>
          <w:i w:val="0"/>
          <w:caps w:val="0"/>
          <w:color w:val="000000"/>
          <w:spacing w:val="0"/>
          <w:kern w:val="0"/>
          <w:sz w:val="32"/>
          <w:szCs w:val="32"/>
          <w:lang w:val="en-US" w:eastAsia="zh-CN" w:bidi="ar"/>
        </w:rPr>
        <w:t>30</w:t>
      </w:r>
      <w:r>
        <w:rPr>
          <w:rFonts w:hint="default" w:ascii="Times New Roman" w:hAnsi="Times New Roman" w:eastAsia="方正仿宋_GBK" w:cs="Times New Roman"/>
          <w:i w:val="0"/>
          <w:caps w:val="0"/>
          <w:color w:val="000000"/>
          <w:spacing w:val="0"/>
          <w:kern w:val="0"/>
          <w:sz w:val="32"/>
          <w:szCs w:val="32"/>
          <w:lang w:val="en-US" w:eastAsia="zh-CN" w:bidi="ar"/>
        </w:rPr>
        <w:t>日，已分别报送</w:t>
      </w:r>
      <w:r>
        <w:rPr>
          <w:rFonts w:hint="default" w:ascii="Times New Roman" w:hAnsi="Times New Roman" w:cs="Times New Roman" w:eastAsiaTheme="minorEastAsia"/>
          <w:i w:val="0"/>
          <w:caps w:val="0"/>
          <w:color w:val="000000"/>
          <w:spacing w:val="0"/>
          <w:kern w:val="0"/>
          <w:sz w:val="32"/>
          <w:szCs w:val="32"/>
          <w:lang w:val="en-US" w:eastAsia="zh-CN" w:bidi="ar"/>
        </w:rPr>
        <w:t>1447</w:t>
      </w:r>
      <w:r>
        <w:rPr>
          <w:rFonts w:hint="default" w:ascii="Times New Roman" w:hAnsi="Times New Roman" w:eastAsia="方正仿宋_GBK" w:cs="Times New Roman"/>
          <w:i w:val="0"/>
          <w:caps w:val="0"/>
          <w:color w:val="000000"/>
          <w:spacing w:val="0"/>
          <w:kern w:val="0"/>
          <w:sz w:val="32"/>
          <w:szCs w:val="32"/>
          <w:lang w:val="en-US" w:eastAsia="zh-CN" w:bidi="ar"/>
        </w:rPr>
        <w:t>户、</w:t>
      </w:r>
      <w:r>
        <w:rPr>
          <w:rFonts w:hint="default" w:ascii="Times New Roman" w:hAnsi="Times New Roman" w:cs="Times New Roman" w:eastAsiaTheme="minorEastAsia"/>
          <w:i w:val="0"/>
          <w:caps w:val="0"/>
          <w:color w:val="000000"/>
          <w:spacing w:val="0"/>
          <w:kern w:val="0"/>
          <w:sz w:val="32"/>
          <w:szCs w:val="32"/>
          <w:lang w:val="en-US" w:eastAsia="zh-CN" w:bidi="ar"/>
        </w:rPr>
        <w:t>341</w:t>
      </w:r>
      <w:r>
        <w:rPr>
          <w:rFonts w:hint="default" w:ascii="Times New Roman" w:hAnsi="Times New Roman" w:eastAsia="方正仿宋_GBK" w:cs="Times New Roman"/>
          <w:i w:val="0"/>
          <w:caps w:val="0"/>
          <w:color w:val="000000"/>
          <w:spacing w:val="0"/>
          <w:kern w:val="0"/>
          <w:sz w:val="32"/>
          <w:szCs w:val="32"/>
          <w:lang w:val="en-US" w:eastAsia="zh-CN" w:bidi="ar"/>
        </w:rPr>
        <w:t>户和</w:t>
      </w:r>
      <w:r>
        <w:rPr>
          <w:rFonts w:hint="default" w:ascii="Times New Roman" w:hAnsi="Times New Roman" w:cs="Times New Roman" w:eastAsiaTheme="minorEastAsia"/>
          <w:i w:val="0"/>
          <w:caps w:val="0"/>
          <w:color w:val="000000"/>
          <w:spacing w:val="0"/>
          <w:kern w:val="0"/>
          <w:sz w:val="32"/>
          <w:szCs w:val="32"/>
          <w:lang w:val="en-US" w:eastAsia="zh-CN" w:bidi="ar"/>
        </w:rPr>
        <w:t>10390</w:t>
      </w:r>
      <w:r>
        <w:rPr>
          <w:rFonts w:hint="default" w:ascii="Times New Roman" w:hAnsi="Times New Roman" w:eastAsia="方正仿宋_GBK" w:cs="Times New Roman"/>
          <w:i w:val="0"/>
          <w:caps w:val="0"/>
          <w:color w:val="000000"/>
          <w:spacing w:val="0"/>
          <w:kern w:val="0"/>
          <w:sz w:val="32"/>
          <w:szCs w:val="32"/>
          <w:lang w:val="en-US" w:eastAsia="zh-CN" w:bidi="ar"/>
        </w:rPr>
        <w:t>户，年报率分别为</w:t>
      </w:r>
      <w:r>
        <w:rPr>
          <w:rFonts w:hint="default" w:ascii="Times New Roman" w:hAnsi="Times New Roman" w:cs="Times New Roman" w:eastAsiaTheme="minorEastAsia"/>
          <w:i w:val="0"/>
          <w:caps w:val="0"/>
          <w:color w:val="000000"/>
          <w:spacing w:val="0"/>
          <w:kern w:val="0"/>
          <w:sz w:val="32"/>
          <w:szCs w:val="32"/>
          <w:lang w:val="en-US" w:eastAsia="zh-CN" w:bidi="ar"/>
        </w:rPr>
        <w:t>91.87%</w:t>
      </w:r>
      <w:r>
        <w:rPr>
          <w:rFonts w:hint="default"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cs="Times New Roman" w:eastAsiaTheme="minorEastAsia"/>
          <w:i w:val="0"/>
          <w:caps w:val="0"/>
          <w:color w:val="000000"/>
          <w:spacing w:val="0"/>
          <w:kern w:val="0"/>
          <w:sz w:val="32"/>
          <w:szCs w:val="32"/>
          <w:lang w:val="en-US" w:eastAsia="zh-CN" w:bidi="ar"/>
        </w:rPr>
        <w:t>91.42%</w:t>
      </w:r>
      <w:r>
        <w:rPr>
          <w:rFonts w:hint="default"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cs="Times New Roman" w:eastAsiaTheme="minorEastAsia"/>
          <w:i w:val="0"/>
          <w:caps w:val="0"/>
          <w:color w:val="000000"/>
          <w:spacing w:val="0"/>
          <w:kern w:val="0"/>
          <w:sz w:val="32"/>
          <w:szCs w:val="32"/>
          <w:lang w:val="en-US" w:eastAsia="zh-CN" w:bidi="ar"/>
        </w:rPr>
        <w:t>72.82%</w:t>
      </w:r>
      <w:r>
        <w:rPr>
          <w:rFonts w:hint="default" w:ascii="Times New Roman" w:hAnsi="Times New Roman" w:eastAsia="方正仿宋_GBK" w:cs="Times New Roman"/>
          <w:i w:val="0"/>
          <w:caps w:val="0"/>
          <w:color w:val="000000"/>
          <w:spacing w:val="0"/>
          <w:kern w:val="0"/>
          <w:sz w:val="32"/>
          <w:szCs w:val="32"/>
          <w:lang w:val="en-US" w:eastAsia="zh-CN" w:bidi="ar"/>
        </w:rPr>
        <w:t>（去除通过住所无法联系的市场主体后），圆满完成上级安排部署的年报工作。为加强事中事后监管，今年</w:t>
      </w:r>
      <w:r>
        <w:rPr>
          <w:rFonts w:hint="default" w:ascii="Times New Roman" w:hAnsi="Times New Roman" w:cs="Times New Roman" w:eastAsiaTheme="minorEastAsia"/>
          <w:i w:val="0"/>
          <w:caps w:val="0"/>
          <w:color w:val="000000"/>
          <w:spacing w:val="0"/>
          <w:kern w:val="0"/>
          <w:sz w:val="32"/>
          <w:szCs w:val="32"/>
          <w:lang w:val="en-US" w:eastAsia="zh-CN" w:bidi="ar"/>
        </w:rPr>
        <w:t>8</w:t>
      </w:r>
      <w:r>
        <w:rPr>
          <w:rFonts w:hint="default" w:ascii="Times New Roman" w:hAnsi="Times New Roman" w:eastAsia="方正仿宋_GBK" w:cs="Times New Roman"/>
          <w:i w:val="0"/>
          <w:caps w:val="0"/>
          <w:color w:val="000000"/>
          <w:spacing w:val="0"/>
          <w:kern w:val="0"/>
          <w:sz w:val="32"/>
          <w:szCs w:val="32"/>
          <w:lang w:val="en-US" w:eastAsia="zh-CN" w:bidi="ar"/>
        </w:rPr>
        <w:t>月，根据省工商局定向抽查工作的通知要求，全面落实年报</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双随机</w:t>
      </w:r>
      <w:r>
        <w:rPr>
          <w:rFonts w:hint="eastAsia"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一公开</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抽查工作（即检查对象随机抽取和检查人员随机选派，抽查结果及时向社会公开），在2016年工作的基础上，认真做好今年年报抽查工作，</w:t>
      </w:r>
      <w:r>
        <w:rPr>
          <w:rFonts w:hint="default" w:ascii="Times New Roman" w:hAnsi="Times New Roman" w:cs="Times New Roman" w:eastAsiaTheme="minorEastAsia"/>
          <w:i w:val="0"/>
          <w:caps w:val="0"/>
          <w:color w:val="000000"/>
          <w:spacing w:val="0"/>
          <w:kern w:val="0"/>
          <w:sz w:val="32"/>
          <w:szCs w:val="32"/>
          <w:lang w:val="en-US" w:eastAsia="zh-CN" w:bidi="ar"/>
        </w:rPr>
        <w:t>2017</w:t>
      </w:r>
      <w:r>
        <w:rPr>
          <w:rFonts w:hint="default" w:ascii="Times New Roman" w:hAnsi="Times New Roman" w:eastAsia="方正仿宋_GBK" w:cs="Times New Roman"/>
          <w:i w:val="0"/>
          <w:caps w:val="0"/>
          <w:color w:val="000000"/>
          <w:spacing w:val="0"/>
          <w:kern w:val="0"/>
          <w:sz w:val="32"/>
          <w:szCs w:val="32"/>
          <w:lang w:val="en-US" w:eastAsia="zh-CN" w:bidi="ar"/>
        </w:rPr>
        <w:t>年，全县共有</w:t>
      </w:r>
      <w:r>
        <w:rPr>
          <w:rFonts w:hint="default" w:ascii="Times New Roman" w:hAnsi="Times New Roman" w:cs="Times New Roman" w:eastAsiaTheme="minorEastAsia"/>
          <w:i w:val="0"/>
          <w:caps w:val="0"/>
          <w:color w:val="000000"/>
          <w:spacing w:val="0"/>
          <w:kern w:val="0"/>
          <w:sz w:val="32"/>
          <w:szCs w:val="32"/>
          <w:lang w:val="en-US" w:eastAsia="zh-CN" w:bidi="ar"/>
        </w:rPr>
        <w:t>68</w:t>
      </w:r>
      <w:r>
        <w:rPr>
          <w:rFonts w:hint="default" w:ascii="Times New Roman" w:hAnsi="Times New Roman" w:eastAsia="方正仿宋_GBK" w:cs="Times New Roman"/>
          <w:i w:val="0"/>
          <w:caps w:val="0"/>
          <w:color w:val="000000"/>
          <w:spacing w:val="0"/>
          <w:kern w:val="0"/>
          <w:sz w:val="32"/>
          <w:szCs w:val="32"/>
          <w:lang w:val="en-US" w:eastAsia="zh-CN" w:bidi="ar"/>
        </w:rPr>
        <w:t>户企业、</w:t>
      </w:r>
      <w:r>
        <w:rPr>
          <w:rFonts w:hint="default" w:ascii="Times New Roman" w:hAnsi="Times New Roman" w:cs="Times New Roman" w:eastAsiaTheme="minorEastAsia"/>
          <w:i w:val="0"/>
          <w:caps w:val="0"/>
          <w:color w:val="000000"/>
          <w:spacing w:val="0"/>
          <w:kern w:val="0"/>
          <w:sz w:val="32"/>
          <w:szCs w:val="32"/>
          <w:lang w:val="en-US" w:eastAsia="zh-CN" w:bidi="ar"/>
        </w:rPr>
        <w:t>3</w:t>
      </w:r>
      <w:r>
        <w:rPr>
          <w:rFonts w:hint="default" w:ascii="Times New Roman" w:hAnsi="Times New Roman" w:eastAsia="方正仿宋_GBK" w:cs="Times New Roman"/>
          <w:i w:val="0"/>
          <w:caps w:val="0"/>
          <w:color w:val="000000"/>
          <w:spacing w:val="0"/>
          <w:kern w:val="0"/>
          <w:sz w:val="32"/>
          <w:szCs w:val="32"/>
          <w:lang w:val="en-US" w:eastAsia="zh-CN" w:bidi="ar"/>
        </w:rPr>
        <w:t>户农民专业合作社、</w:t>
      </w:r>
      <w:r>
        <w:rPr>
          <w:rFonts w:hint="default" w:ascii="Times New Roman" w:hAnsi="Times New Roman" w:cs="Times New Roman" w:eastAsiaTheme="minorEastAsia"/>
          <w:i w:val="0"/>
          <w:caps w:val="0"/>
          <w:color w:val="000000"/>
          <w:spacing w:val="0"/>
          <w:kern w:val="0"/>
          <w:sz w:val="32"/>
          <w:szCs w:val="32"/>
          <w:lang w:val="en-US" w:eastAsia="zh-CN" w:bidi="ar"/>
        </w:rPr>
        <w:t>256</w:t>
      </w:r>
      <w:r>
        <w:rPr>
          <w:rFonts w:hint="default" w:ascii="Times New Roman" w:hAnsi="Times New Roman" w:eastAsia="方正仿宋_GBK" w:cs="Times New Roman"/>
          <w:i w:val="0"/>
          <w:caps w:val="0"/>
          <w:color w:val="000000"/>
          <w:spacing w:val="0"/>
          <w:kern w:val="0"/>
          <w:sz w:val="32"/>
          <w:szCs w:val="32"/>
          <w:lang w:val="en-US" w:eastAsia="zh-CN" w:bidi="ar"/>
        </w:rPr>
        <w:t>户个体工商户被省工商局列为</w:t>
      </w:r>
      <w:r>
        <w:rPr>
          <w:rFonts w:hint="default" w:ascii="Times New Roman" w:hAnsi="Times New Roman" w:cs="Times New Roman" w:eastAsiaTheme="minorEastAsia"/>
          <w:i w:val="0"/>
          <w:caps w:val="0"/>
          <w:color w:val="000000"/>
          <w:spacing w:val="0"/>
          <w:kern w:val="0"/>
          <w:sz w:val="32"/>
          <w:szCs w:val="32"/>
          <w:lang w:val="en-US" w:eastAsia="zh-CN" w:bidi="ar"/>
        </w:rPr>
        <w:t>2016</w:t>
      </w:r>
      <w:r>
        <w:rPr>
          <w:rFonts w:hint="default" w:ascii="Times New Roman" w:hAnsi="Times New Roman" w:eastAsia="方正仿宋_GBK" w:cs="Times New Roman"/>
          <w:i w:val="0"/>
          <w:caps w:val="0"/>
          <w:color w:val="000000"/>
          <w:spacing w:val="0"/>
          <w:kern w:val="0"/>
          <w:sz w:val="32"/>
          <w:szCs w:val="32"/>
          <w:lang w:val="en-US" w:eastAsia="zh-CN" w:bidi="ar"/>
        </w:rPr>
        <w:t>年度年报抽查对象，同时，根据上级要求，积极建立完善执法人员名录库，实现执法人员与检查对象随机匹配，有效杜绝了随意检查、人情检查。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eastAsia="方正楷体_GBK" w:cs="Times New Roman"/>
          <w:i w:val="0"/>
          <w:caps w:val="0"/>
          <w:color w:val="000000"/>
          <w:spacing w:val="0"/>
          <w:kern w:val="0"/>
          <w:sz w:val="32"/>
          <w:szCs w:val="32"/>
          <w:lang w:val="en-US" w:eastAsia="zh-CN" w:bidi="ar"/>
        </w:rPr>
        <w:t>（二）以政务公开助力结构调整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32"/>
          <w:szCs w:val="32"/>
          <w:lang w:val="en-US" w:eastAsia="zh-CN" w:bidi="ar"/>
        </w:rPr>
        <w:t>1.</w:t>
      </w:r>
      <w:r>
        <w:rPr>
          <w:rFonts w:hint="default" w:ascii="Times New Roman" w:hAnsi="Times New Roman" w:eastAsia="方正仿宋_GBK" w:cs="Times New Roman"/>
          <w:i w:val="0"/>
          <w:caps w:val="0"/>
          <w:color w:val="000000"/>
          <w:spacing w:val="0"/>
          <w:kern w:val="0"/>
          <w:sz w:val="32"/>
          <w:szCs w:val="32"/>
          <w:lang w:val="en-US" w:eastAsia="zh-CN" w:bidi="ar"/>
        </w:rPr>
        <w:t>推进化解过剩产能公开透明。依托企业变更登记、注销登记等工作，充分发挥个私协会的优势和作用，组织开展各种形式的宣传、培训、职业介绍和招聘活动，鼓励、帮助化解过剩产能职工自主创业或者到个体私营经济领域就业。进一步深化商事制度改革，扩大各类市场主体总量，创造更多就业岗位，特别要支持培育适应当地经济产业特色和化解过剩产能职工技术专长的创业创新载体，为化解过剩产能职工就地就近转岗创业就业创造条件。将</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放管服</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改革纳入全局重点工作，多次召开专题会议进行研究部署，制定相关措施和办法。同时加大商事制度改革宣传力度，全方位、多层次提高社会覆盖率和群众知晓率。与相关职能部门围绕各自法定职责，建立完善</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多证合一</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数据交换共享、协同监管改革的工作衔接和联动机制，形成政府主导、市管主抓、部门协作的工作机制，增强工作合力。在工作推进过程中，坚持问题导向，对工作中存在的突出问题和重点难点，加强向上级业务主管部门请示汇报，争取相关部门支持配合，注重整体联动，上下衔接，实现一站式办公、一条龙服务，为全面实行</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多证合一、一照一码</w:t>
      </w:r>
      <w:r>
        <w:rPr>
          <w:rFonts w:hint="default" w:ascii="Times New Roman" w:hAnsi="Times New Roman" w:cs="Times New Roman" w:eastAsiaTheme="minorEastAsia"/>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登记改革奠定坚实基础，保证改革工作顺利推进。</w:t>
      </w:r>
      <w:r>
        <w:rPr>
          <w:rFonts w:hint="eastAsia" w:ascii="Times New Roman" w:hAnsi="Times New Roman" w:eastAsia="方正仿宋_GBK" w:cs="Times New Roman"/>
          <w:i w:val="0"/>
          <w:caps w:val="0"/>
          <w:color w:val="000000"/>
          <w:spacing w:val="0"/>
          <w:kern w:val="0"/>
          <w:sz w:val="32"/>
          <w:szCs w:val="32"/>
          <w:lang w:val="en-US" w:eastAsia="zh-CN" w:bidi="ar"/>
        </w:rPr>
        <w:t>截至</w:t>
      </w:r>
      <w:r>
        <w:rPr>
          <w:rFonts w:hint="default" w:ascii="Times New Roman" w:hAnsi="Times New Roman" w:cs="Times New Roman" w:eastAsiaTheme="minorEastAsia"/>
          <w:i w:val="0"/>
          <w:caps w:val="0"/>
          <w:color w:val="000000"/>
          <w:spacing w:val="0"/>
          <w:kern w:val="0"/>
          <w:sz w:val="32"/>
          <w:szCs w:val="32"/>
          <w:lang w:val="en-US" w:eastAsia="zh-CN" w:bidi="ar"/>
        </w:rPr>
        <w:t>2017</w:t>
      </w:r>
      <w:r>
        <w:rPr>
          <w:rFonts w:hint="default" w:ascii="Times New Roman" w:hAnsi="Times New Roman" w:eastAsia="方正仿宋_GBK" w:cs="Times New Roman"/>
          <w:i w:val="0"/>
          <w:caps w:val="0"/>
          <w:color w:val="000000"/>
          <w:spacing w:val="0"/>
          <w:kern w:val="0"/>
          <w:sz w:val="32"/>
          <w:szCs w:val="32"/>
          <w:lang w:val="en-US" w:eastAsia="zh-CN" w:bidi="ar"/>
        </w:rPr>
        <w:t>年</w:t>
      </w:r>
      <w:r>
        <w:rPr>
          <w:rFonts w:hint="default" w:ascii="Times New Roman" w:hAnsi="Times New Roman" w:cs="Times New Roman" w:eastAsiaTheme="minorEastAsia"/>
          <w:i w:val="0"/>
          <w:caps w:val="0"/>
          <w:color w:val="000000"/>
          <w:spacing w:val="0"/>
          <w:kern w:val="0"/>
          <w:sz w:val="32"/>
          <w:szCs w:val="32"/>
          <w:lang w:val="en-US" w:eastAsia="zh-CN" w:bidi="ar"/>
        </w:rPr>
        <w:t>10</w:t>
      </w:r>
      <w:r>
        <w:rPr>
          <w:rFonts w:hint="default" w:ascii="Times New Roman" w:hAnsi="Times New Roman" w:eastAsia="方正仿宋_GBK" w:cs="Times New Roman"/>
          <w:i w:val="0"/>
          <w:caps w:val="0"/>
          <w:color w:val="000000"/>
          <w:spacing w:val="0"/>
          <w:kern w:val="0"/>
          <w:sz w:val="32"/>
          <w:szCs w:val="32"/>
          <w:lang w:val="en-US" w:eastAsia="zh-CN" w:bidi="ar"/>
        </w:rPr>
        <w:t>月</w:t>
      </w:r>
      <w:r>
        <w:rPr>
          <w:rFonts w:hint="default" w:ascii="Times New Roman" w:hAnsi="Times New Roman" w:cs="Times New Roman" w:eastAsiaTheme="minorEastAsia"/>
          <w:i w:val="0"/>
          <w:caps w:val="0"/>
          <w:color w:val="000000"/>
          <w:spacing w:val="0"/>
          <w:kern w:val="0"/>
          <w:sz w:val="32"/>
          <w:szCs w:val="32"/>
          <w:lang w:val="en-US" w:eastAsia="zh-CN" w:bidi="ar"/>
        </w:rPr>
        <w:t>31</w:t>
      </w:r>
      <w:r>
        <w:rPr>
          <w:rFonts w:hint="default" w:ascii="Times New Roman" w:hAnsi="Times New Roman" w:eastAsia="方正仿宋_GBK" w:cs="Times New Roman"/>
          <w:i w:val="0"/>
          <w:caps w:val="0"/>
          <w:color w:val="000000"/>
          <w:spacing w:val="0"/>
          <w:kern w:val="0"/>
          <w:sz w:val="32"/>
          <w:szCs w:val="32"/>
          <w:lang w:val="en-US" w:eastAsia="zh-CN" w:bidi="ar"/>
        </w:rPr>
        <w:t>日，全县各类市场主体共有</w:t>
      </w:r>
      <w:r>
        <w:rPr>
          <w:rFonts w:hint="default" w:ascii="Times New Roman" w:hAnsi="Times New Roman" w:cs="Times New Roman" w:eastAsiaTheme="minorEastAsia"/>
          <w:i w:val="0"/>
          <w:caps w:val="0"/>
          <w:color w:val="000000"/>
          <w:spacing w:val="0"/>
          <w:kern w:val="0"/>
          <w:sz w:val="32"/>
          <w:szCs w:val="32"/>
          <w:lang w:val="en-US" w:eastAsia="zh-CN" w:bidi="ar"/>
        </w:rPr>
        <w:t>18075</w:t>
      </w:r>
      <w:r>
        <w:rPr>
          <w:rFonts w:hint="default" w:ascii="Times New Roman" w:hAnsi="Times New Roman" w:eastAsia="方正仿宋_GBK" w:cs="Times New Roman"/>
          <w:i w:val="0"/>
          <w:caps w:val="0"/>
          <w:color w:val="000000"/>
          <w:spacing w:val="0"/>
          <w:kern w:val="0"/>
          <w:sz w:val="32"/>
          <w:szCs w:val="32"/>
          <w:lang w:val="en-US" w:eastAsia="zh-CN" w:bidi="ar"/>
        </w:rPr>
        <w:t>户，其中：内资企业</w:t>
      </w:r>
      <w:r>
        <w:rPr>
          <w:rFonts w:hint="default" w:ascii="Times New Roman" w:hAnsi="Times New Roman" w:cs="Times New Roman" w:eastAsiaTheme="minorEastAsia"/>
          <w:i w:val="0"/>
          <w:caps w:val="0"/>
          <w:color w:val="000000"/>
          <w:spacing w:val="0"/>
          <w:kern w:val="0"/>
          <w:sz w:val="32"/>
          <w:szCs w:val="32"/>
          <w:lang w:val="en-US" w:eastAsia="zh-CN" w:bidi="ar"/>
        </w:rPr>
        <w:t>164</w:t>
      </w:r>
      <w:r>
        <w:rPr>
          <w:rFonts w:hint="default" w:ascii="Times New Roman" w:hAnsi="Times New Roman" w:eastAsia="方正仿宋_GBK" w:cs="Times New Roman"/>
          <w:i w:val="0"/>
          <w:caps w:val="0"/>
          <w:color w:val="000000"/>
          <w:spacing w:val="0"/>
          <w:kern w:val="0"/>
          <w:sz w:val="32"/>
          <w:szCs w:val="32"/>
          <w:lang w:val="en-US" w:eastAsia="zh-CN" w:bidi="ar"/>
        </w:rPr>
        <w:t>户，私营企业</w:t>
      </w:r>
      <w:r>
        <w:rPr>
          <w:rFonts w:hint="default" w:ascii="Times New Roman" w:hAnsi="Times New Roman" w:cs="Times New Roman" w:eastAsiaTheme="minorEastAsia"/>
          <w:i w:val="0"/>
          <w:caps w:val="0"/>
          <w:color w:val="000000"/>
          <w:spacing w:val="0"/>
          <w:kern w:val="0"/>
          <w:sz w:val="32"/>
          <w:szCs w:val="32"/>
          <w:lang w:val="en-US" w:eastAsia="zh-CN" w:bidi="ar"/>
        </w:rPr>
        <w:t>1663</w:t>
      </w:r>
      <w:r>
        <w:rPr>
          <w:rFonts w:hint="default" w:ascii="Times New Roman" w:hAnsi="Times New Roman" w:eastAsia="方正仿宋_GBK" w:cs="Times New Roman"/>
          <w:i w:val="0"/>
          <w:caps w:val="0"/>
          <w:color w:val="000000"/>
          <w:spacing w:val="0"/>
          <w:kern w:val="0"/>
          <w:sz w:val="32"/>
          <w:szCs w:val="32"/>
          <w:lang w:val="en-US" w:eastAsia="zh-CN" w:bidi="ar"/>
        </w:rPr>
        <w:t>户，农民专业合作社</w:t>
      </w:r>
      <w:r>
        <w:rPr>
          <w:rFonts w:hint="default" w:ascii="Times New Roman" w:hAnsi="Times New Roman" w:cs="Times New Roman" w:eastAsiaTheme="minorEastAsia"/>
          <w:i w:val="0"/>
          <w:caps w:val="0"/>
          <w:color w:val="000000"/>
          <w:spacing w:val="0"/>
          <w:kern w:val="0"/>
          <w:sz w:val="32"/>
          <w:szCs w:val="32"/>
          <w:lang w:val="en-US" w:eastAsia="zh-CN" w:bidi="ar"/>
        </w:rPr>
        <w:t>435</w:t>
      </w:r>
      <w:r>
        <w:rPr>
          <w:rFonts w:hint="default" w:ascii="Times New Roman" w:hAnsi="Times New Roman" w:eastAsia="方正仿宋_GBK" w:cs="Times New Roman"/>
          <w:i w:val="0"/>
          <w:caps w:val="0"/>
          <w:color w:val="000000"/>
          <w:spacing w:val="0"/>
          <w:kern w:val="0"/>
          <w:sz w:val="32"/>
          <w:szCs w:val="32"/>
          <w:lang w:val="en-US" w:eastAsia="zh-CN" w:bidi="ar"/>
        </w:rPr>
        <w:t>户，个体工商户</w:t>
      </w:r>
      <w:r>
        <w:rPr>
          <w:rFonts w:hint="default" w:ascii="Times New Roman" w:hAnsi="Times New Roman" w:cs="Times New Roman" w:eastAsiaTheme="minorEastAsia"/>
          <w:i w:val="0"/>
          <w:caps w:val="0"/>
          <w:color w:val="000000"/>
          <w:spacing w:val="0"/>
          <w:kern w:val="0"/>
          <w:sz w:val="32"/>
          <w:szCs w:val="32"/>
          <w:lang w:val="en-US" w:eastAsia="zh-CN" w:bidi="ar"/>
        </w:rPr>
        <w:t>15813</w:t>
      </w:r>
      <w:r>
        <w:rPr>
          <w:rFonts w:hint="default" w:ascii="Times New Roman" w:hAnsi="Times New Roman" w:eastAsia="方正仿宋_GBK" w:cs="Times New Roman"/>
          <w:i w:val="0"/>
          <w:caps w:val="0"/>
          <w:color w:val="000000"/>
          <w:spacing w:val="0"/>
          <w:kern w:val="0"/>
          <w:sz w:val="32"/>
          <w:szCs w:val="32"/>
          <w:lang w:val="en-US" w:eastAsia="zh-CN" w:bidi="ar"/>
        </w:rPr>
        <w:t>户。注册资本共计</w:t>
      </w:r>
      <w:r>
        <w:rPr>
          <w:rFonts w:hint="default" w:ascii="Times New Roman" w:hAnsi="Times New Roman" w:cs="Times New Roman" w:eastAsiaTheme="minorEastAsia"/>
          <w:i w:val="0"/>
          <w:caps w:val="0"/>
          <w:color w:val="000000"/>
          <w:spacing w:val="0"/>
          <w:kern w:val="0"/>
          <w:sz w:val="32"/>
          <w:szCs w:val="32"/>
          <w:lang w:val="en-US" w:eastAsia="zh-CN" w:bidi="ar"/>
        </w:rPr>
        <w:t>141.36</w:t>
      </w:r>
      <w:r>
        <w:rPr>
          <w:rFonts w:hint="default" w:ascii="Times New Roman" w:hAnsi="Times New Roman" w:eastAsia="方正仿宋_GBK" w:cs="Times New Roman"/>
          <w:i w:val="0"/>
          <w:caps w:val="0"/>
          <w:color w:val="000000"/>
          <w:spacing w:val="0"/>
          <w:kern w:val="0"/>
          <w:sz w:val="32"/>
          <w:szCs w:val="32"/>
          <w:lang w:val="en-US" w:eastAsia="zh-CN" w:bidi="ar"/>
        </w:rPr>
        <w:t>亿元，其中：企业注册资本</w:t>
      </w:r>
      <w:r>
        <w:rPr>
          <w:rFonts w:hint="default" w:ascii="Times New Roman" w:hAnsi="Times New Roman" w:cs="Times New Roman" w:eastAsiaTheme="minorEastAsia"/>
          <w:i w:val="0"/>
          <w:caps w:val="0"/>
          <w:color w:val="000000"/>
          <w:spacing w:val="0"/>
          <w:kern w:val="0"/>
          <w:sz w:val="32"/>
          <w:szCs w:val="32"/>
          <w:lang w:val="en-US" w:eastAsia="zh-CN" w:bidi="ar"/>
        </w:rPr>
        <w:t>127.33</w:t>
      </w:r>
      <w:r>
        <w:rPr>
          <w:rFonts w:hint="default" w:ascii="Times New Roman" w:hAnsi="Times New Roman" w:eastAsia="方正仿宋_GBK" w:cs="Times New Roman"/>
          <w:i w:val="0"/>
          <w:caps w:val="0"/>
          <w:color w:val="000000"/>
          <w:spacing w:val="0"/>
          <w:kern w:val="0"/>
          <w:sz w:val="32"/>
          <w:szCs w:val="32"/>
          <w:lang w:val="en-US" w:eastAsia="zh-CN" w:bidi="ar"/>
        </w:rPr>
        <w:t>亿元，个体工商户注册资本</w:t>
      </w:r>
      <w:r>
        <w:rPr>
          <w:rFonts w:hint="default" w:ascii="Times New Roman" w:hAnsi="Times New Roman" w:cs="Times New Roman" w:eastAsiaTheme="minorEastAsia"/>
          <w:i w:val="0"/>
          <w:caps w:val="0"/>
          <w:color w:val="000000"/>
          <w:spacing w:val="0"/>
          <w:kern w:val="0"/>
          <w:sz w:val="32"/>
          <w:szCs w:val="32"/>
          <w:lang w:val="en-US" w:eastAsia="zh-CN" w:bidi="ar"/>
        </w:rPr>
        <w:t>14.03</w:t>
      </w:r>
      <w:r>
        <w:rPr>
          <w:rFonts w:hint="default" w:ascii="Times New Roman" w:hAnsi="Times New Roman" w:eastAsia="方正仿宋_GBK" w:cs="Times New Roman"/>
          <w:i w:val="0"/>
          <w:caps w:val="0"/>
          <w:color w:val="000000"/>
          <w:spacing w:val="0"/>
          <w:kern w:val="0"/>
          <w:sz w:val="32"/>
          <w:szCs w:val="32"/>
          <w:lang w:val="en-US" w:eastAsia="zh-CN" w:bidi="ar"/>
        </w:rPr>
        <w:t>亿元。与去年同期各类市场主体</w:t>
      </w:r>
      <w:r>
        <w:rPr>
          <w:rFonts w:hint="default" w:ascii="Times New Roman" w:hAnsi="Times New Roman" w:cs="Times New Roman" w:eastAsiaTheme="minorEastAsia"/>
          <w:i w:val="0"/>
          <w:caps w:val="0"/>
          <w:color w:val="000000"/>
          <w:spacing w:val="0"/>
          <w:kern w:val="0"/>
          <w:sz w:val="32"/>
          <w:szCs w:val="32"/>
          <w:lang w:val="en-US" w:eastAsia="zh-CN" w:bidi="ar"/>
        </w:rPr>
        <w:t>16285</w:t>
      </w:r>
      <w:r>
        <w:rPr>
          <w:rFonts w:hint="default" w:ascii="Times New Roman" w:hAnsi="Times New Roman" w:eastAsia="方正仿宋_GBK" w:cs="Times New Roman"/>
          <w:i w:val="0"/>
          <w:caps w:val="0"/>
          <w:color w:val="000000"/>
          <w:spacing w:val="0"/>
          <w:kern w:val="0"/>
          <w:sz w:val="32"/>
          <w:szCs w:val="32"/>
          <w:lang w:val="en-US" w:eastAsia="zh-CN" w:bidi="ar"/>
        </w:rPr>
        <w:t>户相比，增加</w:t>
      </w:r>
      <w:r>
        <w:rPr>
          <w:rFonts w:hint="default" w:ascii="Times New Roman" w:hAnsi="Times New Roman" w:cs="Times New Roman" w:eastAsiaTheme="minorEastAsia"/>
          <w:i w:val="0"/>
          <w:caps w:val="0"/>
          <w:color w:val="000000"/>
          <w:spacing w:val="0"/>
          <w:kern w:val="0"/>
          <w:sz w:val="32"/>
          <w:szCs w:val="32"/>
          <w:lang w:val="en-US" w:eastAsia="zh-CN" w:bidi="ar"/>
        </w:rPr>
        <w:t>1790</w:t>
      </w:r>
      <w:r>
        <w:rPr>
          <w:rFonts w:hint="default" w:ascii="Times New Roman" w:hAnsi="Times New Roman" w:eastAsia="方正仿宋_GBK" w:cs="Times New Roman"/>
          <w:i w:val="0"/>
          <w:caps w:val="0"/>
          <w:color w:val="000000"/>
          <w:spacing w:val="0"/>
          <w:kern w:val="0"/>
          <w:sz w:val="32"/>
          <w:szCs w:val="32"/>
          <w:lang w:val="en-US" w:eastAsia="zh-CN" w:bidi="ar"/>
        </w:rPr>
        <w:t>户，增长率</w:t>
      </w:r>
      <w:r>
        <w:rPr>
          <w:rFonts w:hint="default" w:ascii="Times New Roman" w:hAnsi="Times New Roman" w:cs="Times New Roman" w:eastAsiaTheme="minorEastAsia"/>
          <w:i w:val="0"/>
          <w:caps w:val="0"/>
          <w:color w:val="000000"/>
          <w:spacing w:val="0"/>
          <w:kern w:val="0"/>
          <w:sz w:val="32"/>
          <w:szCs w:val="32"/>
          <w:lang w:val="en-US" w:eastAsia="zh-CN" w:bidi="ar"/>
        </w:rPr>
        <w:t>180.7%</w:t>
      </w:r>
      <w:r>
        <w:rPr>
          <w:rFonts w:hint="default" w:ascii="Times New Roman" w:hAnsi="Times New Roman" w:eastAsia="方正仿宋_GBK" w:cs="Times New Roman"/>
          <w:i w:val="0"/>
          <w:caps w:val="0"/>
          <w:color w:val="000000"/>
          <w:spacing w:val="0"/>
          <w:kern w:val="0"/>
          <w:sz w:val="32"/>
          <w:szCs w:val="32"/>
          <w:lang w:val="en-US" w:eastAsia="zh-CN" w:bidi="ar"/>
        </w:rPr>
        <w:t>，与去年同期注册资本</w:t>
      </w:r>
      <w:r>
        <w:rPr>
          <w:rFonts w:hint="default" w:ascii="Times New Roman" w:hAnsi="Times New Roman" w:cs="Times New Roman" w:eastAsiaTheme="minorEastAsia"/>
          <w:i w:val="0"/>
          <w:caps w:val="0"/>
          <w:color w:val="000000"/>
          <w:spacing w:val="0"/>
          <w:kern w:val="0"/>
          <w:sz w:val="32"/>
          <w:szCs w:val="32"/>
          <w:lang w:val="en-US" w:eastAsia="zh-CN" w:bidi="ar"/>
        </w:rPr>
        <w:t>102.54</w:t>
      </w:r>
      <w:r>
        <w:rPr>
          <w:rFonts w:hint="default" w:ascii="Times New Roman" w:hAnsi="Times New Roman" w:eastAsia="方正仿宋_GBK" w:cs="Times New Roman"/>
          <w:i w:val="0"/>
          <w:caps w:val="0"/>
          <w:color w:val="000000"/>
          <w:spacing w:val="0"/>
          <w:kern w:val="0"/>
          <w:sz w:val="32"/>
          <w:szCs w:val="32"/>
          <w:lang w:val="en-US" w:eastAsia="zh-CN" w:bidi="ar"/>
        </w:rPr>
        <w:t>亿元相比，增加</w:t>
      </w:r>
      <w:r>
        <w:rPr>
          <w:rFonts w:hint="default" w:ascii="Times New Roman" w:hAnsi="Times New Roman" w:cs="Times New Roman" w:eastAsiaTheme="minorEastAsia"/>
          <w:i w:val="0"/>
          <w:caps w:val="0"/>
          <w:color w:val="000000"/>
          <w:spacing w:val="0"/>
          <w:kern w:val="0"/>
          <w:sz w:val="32"/>
          <w:szCs w:val="32"/>
          <w:lang w:val="en-US" w:eastAsia="zh-CN" w:bidi="ar"/>
        </w:rPr>
        <w:t>38.812</w:t>
      </w:r>
      <w:r>
        <w:rPr>
          <w:rFonts w:hint="default" w:ascii="Times New Roman" w:hAnsi="Times New Roman" w:eastAsia="方正仿宋_GBK" w:cs="Times New Roman"/>
          <w:i w:val="0"/>
          <w:caps w:val="0"/>
          <w:color w:val="000000"/>
          <w:spacing w:val="0"/>
          <w:kern w:val="0"/>
          <w:sz w:val="32"/>
          <w:szCs w:val="32"/>
          <w:lang w:val="en-US" w:eastAsia="zh-CN" w:bidi="ar"/>
        </w:rPr>
        <w:t>亿元，增长率</w:t>
      </w:r>
      <w:r>
        <w:rPr>
          <w:rFonts w:hint="default" w:ascii="Times New Roman" w:hAnsi="Times New Roman" w:cs="Times New Roman" w:eastAsiaTheme="minorEastAsia"/>
          <w:i w:val="0"/>
          <w:caps w:val="0"/>
          <w:color w:val="000000"/>
          <w:spacing w:val="0"/>
          <w:kern w:val="0"/>
          <w:sz w:val="32"/>
          <w:szCs w:val="32"/>
          <w:lang w:val="en-US" w:eastAsia="zh-CN" w:bidi="ar"/>
        </w:rPr>
        <w:t>27.46%</w:t>
      </w:r>
      <w:r>
        <w:rPr>
          <w:rFonts w:hint="default" w:ascii="Times New Roman" w:hAnsi="Times New Roman" w:eastAsia="方正仿宋_GBK" w:cs="Times New Roman"/>
          <w:i w:val="0"/>
          <w:caps w:val="0"/>
          <w:color w:val="000000"/>
          <w:spacing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全面启动钢材市场专项整治行动。制定专项整治行动方案，成立工作领导机构。从2017年</w:t>
      </w:r>
      <w:r>
        <w:rPr>
          <w:rFonts w:hint="default" w:ascii="Times New Roman" w:hAnsi="Times New Roman" w:cs="Times New Roman" w:eastAsiaTheme="minorEastAsia"/>
          <w:i w:val="0"/>
          <w:caps w:val="0"/>
          <w:color w:val="000000"/>
          <w:spacing w:val="0"/>
          <w:kern w:val="0"/>
          <w:sz w:val="32"/>
          <w:szCs w:val="32"/>
          <w:lang w:val="en-US" w:eastAsia="zh-CN" w:bidi="ar"/>
        </w:rPr>
        <w:t>2</w:t>
      </w:r>
      <w:r>
        <w:rPr>
          <w:rFonts w:hint="default" w:ascii="Times New Roman" w:hAnsi="Times New Roman" w:eastAsia="方正仿宋_GBK" w:cs="Times New Roman"/>
          <w:i w:val="0"/>
          <w:caps w:val="0"/>
          <w:color w:val="000000"/>
          <w:spacing w:val="0"/>
          <w:kern w:val="0"/>
          <w:sz w:val="32"/>
          <w:szCs w:val="32"/>
          <w:lang w:val="en-US" w:eastAsia="zh-CN" w:bidi="ar"/>
        </w:rPr>
        <w:t>月至</w:t>
      </w:r>
      <w:r>
        <w:rPr>
          <w:rFonts w:hint="default" w:ascii="Times New Roman" w:hAnsi="Times New Roman" w:cs="Times New Roman" w:eastAsiaTheme="minorEastAsia"/>
          <w:i w:val="0"/>
          <w:caps w:val="0"/>
          <w:color w:val="000000"/>
          <w:spacing w:val="0"/>
          <w:kern w:val="0"/>
          <w:sz w:val="32"/>
          <w:szCs w:val="32"/>
          <w:lang w:val="en-US" w:eastAsia="zh-CN" w:bidi="ar"/>
        </w:rPr>
        <w:t>6</w:t>
      </w:r>
      <w:r>
        <w:rPr>
          <w:rFonts w:hint="default" w:ascii="Times New Roman" w:hAnsi="Times New Roman" w:eastAsia="方正仿宋_GBK" w:cs="Times New Roman"/>
          <w:i w:val="0"/>
          <w:caps w:val="0"/>
          <w:color w:val="000000"/>
          <w:spacing w:val="0"/>
          <w:kern w:val="0"/>
          <w:sz w:val="32"/>
          <w:szCs w:val="32"/>
          <w:lang w:val="en-US" w:eastAsia="zh-CN" w:bidi="ar"/>
        </w:rPr>
        <w:t>月，相继按照省、州质监局、州发改委和州人民政府等关于“地条钢”整治工作的相关文件，组织开展了“地条钢”整治工作。整治期间，共出动执法人员215人次，车辆93辆次，检查建材生产企业、钢材经销商等253家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2.推进消费升级和产品质量提升工作公开透明。一是精心组织召开2017年</w:t>
      </w:r>
      <w:r>
        <w:rPr>
          <w:rFonts w:hint="eastAsia" w:ascii="Times New Roman" w:hAnsi="Times New Roman" w:eastAsia="方正仿宋_GBK" w:cs="Times New Roman"/>
          <w:i w:val="0"/>
          <w:caps w:val="0"/>
          <w:color w:val="000000"/>
          <w:spacing w:val="0"/>
          <w:kern w:val="0"/>
          <w:sz w:val="32"/>
          <w:szCs w:val="32"/>
          <w:lang w:val="en-US" w:eastAsia="zh-CN" w:bidi="ar"/>
        </w:rPr>
        <w:t>“3·15”</w:t>
      </w:r>
      <w:r>
        <w:rPr>
          <w:rFonts w:hint="default" w:ascii="Times New Roman" w:hAnsi="Times New Roman" w:eastAsia="方正仿宋_GBK" w:cs="Times New Roman"/>
          <w:i w:val="0"/>
          <w:caps w:val="0"/>
          <w:color w:val="000000"/>
          <w:spacing w:val="0"/>
          <w:kern w:val="0"/>
          <w:sz w:val="32"/>
          <w:szCs w:val="32"/>
          <w:lang w:val="en-US" w:eastAsia="zh-CN" w:bidi="ar"/>
        </w:rPr>
        <w:t>消协理事座谈会，推动盈江消费维权向纵深、热点、难点工作稳步推进，同时组织全体干部收听《德宏热线》、《金色热线》等栏目，认真做好“四位一体”的多媒体联动工作；二是依托三八维权周、新消法进农村、进企业等宣传活动开展新消法宣传，进一步让消费者经营者知法、守法、用法；三是开展了消费满意度问卷调查，期间共发放《德宏州2017年网络消费维权满意度调查表》120份，收回有效问卷120份；四是利用媒体宣传舆论作用，在政府信息公开门户网站及时公示，同时充分利用商场、超市LED显示屏、制作横幅及利用“一会两站”村委广播站宣传新</w:t>
      </w:r>
      <w:r>
        <w:rPr>
          <w:rFonts w:hint="eastAsia" w:ascii="Times New Roman" w:hAnsi="Times New Roman" w:eastAsia="方正仿宋_GBK" w:cs="Times New Roman"/>
          <w:i w:val="0"/>
          <w:caps w:val="0"/>
          <w:color w:val="000000"/>
          <w:spacing w:val="0"/>
          <w:kern w:val="0"/>
          <w:sz w:val="32"/>
          <w:szCs w:val="32"/>
          <w:lang w:val="en-US" w:eastAsia="zh-CN" w:bidi="ar"/>
        </w:rPr>
        <w:t>《中华人民共和国消防法》</w:t>
      </w:r>
      <w:r>
        <w:rPr>
          <w:rFonts w:hint="default" w:ascii="Times New Roman" w:hAnsi="Times New Roman" w:eastAsia="方正仿宋_GBK" w:cs="Times New Roman"/>
          <w:i w:val="0"/>
          <w:caps w:val="0"/>
          <w:color w:val="000000"/>
          <w:spacing w:val="0"/>
          <w:kern w:val="0"/>
          <w:sz w:val="32"/>
          <w:szCs w:val="32"/>
          <w:lang w:val="en-US" w:eastAsia="zh-CN" w:bidi="ar"/>
        </w:rPr>
        <w:t>，提高消费者的维权意识，真正做到了广播里有声音，电视里有图像。全年共组织开展学习3次、开展各项宣传活动6次，参加人员86人次，现场接受消费者咨询112人次，发放《新消法》等法律法规宣传资料11000余份。五是推进流通领域商品质量监管。积极配合检测机构开展抽检工作，抽检10组了电线、电缆和灯具。六是开展产品质量监督抽查和风险监测工作。截至目前，组织抽检烧结普通砖16个样品、混凝土实心砖4个样品、电线电缆10个样品、热轧带肋钢筋5个样品、角钢10个样品。配合上级部门抽检成品油11个样品、肥料6个样品、水泥3个样品、给水用聚乙烯（PE）管材4个样品、热镀锌钢管6个样品、热轧带肋钢筋5个样品。七是整合12315消费者投诉举报电话、12331食品投诉举报电话、12365质量投诉举报电话资源，持续强化解决民生问题的效能建设，及时处理消费者诉求，严格处理程序和时限，做到消费者诉求事事有回音、件件有着落。截至目前，共受理消费者申（投）诉举报案件41件，办结率100%。八是加大推进消费维权指导及约谈工作，稳步推进流通领域商品质量监管体系建设。共开展行政约谈1次，发布消费警示3期，张贴消费警示168张，制作发布消费维权分析10期。九是对企业作出的行政许可准予、变更、延续、撤销以及行政处罚等信息及时通过盈江县市场主体信用数据交换协调平台进行归集，并在国家企业信用信息公示系统进行公示。十是认真做好双公示工作，在门户网站进行拟核发《食品经营许可证》前公示52期，公示《行政处罚决定书》22期；对一起无照，侵犯他人注册商标专用权的商品案件进行公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eastAsia="方正楷体_GBK" w:cs="Times New Roman"/>
          <w:i w:val="0"/>
          <w:caps w:val="0"/>
          <w:color w:val="000000"/>
          <w:spacing w:val="0"/>
          <w:kern w:val="0"/>
          <w:sz w:val="32"/>
          <w:szCs w:val="32"/>
          <w:lang w:val="en-US" w:eastAsia="zh-CN" w:bidi="ar"/>
        </w:rPr>
        <w:t>（三）以政务公开助力惠民生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楷体_GBK" w:cs="Times New Roman"/>
          <w:i w:val="0"/>
          <w:caps w:val="0"/>
          <w:color w:val="000000"/>
          <w:spacing w:val="0"/>
          <w:kern w:val="0"/>
          <w:sz w:val="32"/>
          <w:szCs w:val="32"/>
          <w:lang w:val="en-US" w:eastAsia="zh-CN" w:bidi="ar"/>
        </w:rPr>
        <w:t>推进食品药品安全领域信息公开。</w:t>
      </w:r>
      <w:r>
        <w:rPr>
          <w:rFonts w:hint="default" w:ascii="Times New Roman" w:hAnsi="Times New Roman" w:eastAsia="方正仿宋_GBK" w:cs="Times New Roman"/>
          <w:i w:val="0"/>
          <w:caps w:val="0"/>
          <w:color w:val="000000"/>
          <w:spacing w:val="0"/>
          <w:kern w:val="0"/>
          <w:sz w:val="32"/>
          <w:szCs w:val="32"/>
          <w:lang w:val="en-US" w:eastAsia="zh-CN" w:bidi="ar"/>
        </w:rPr>
        <w:t>一是进一步加强网站行政处罚案件信息公开工作，采取“曝光台”“黑名单”等形式加大食品药品违法违纪曝光力度，适时公开有关行政处罚案件处理情况信息。二是加强食品药品安全提示警示信息公开。结合实际及时在盈江县电视台、美丽盈江微信平台，发布预防食用火烧猪肉等生肉中毒预警公告、防范毒性中药材、食用野生菌中毒预警公告、预防野生菌中毒预警、夏季食品安全预警、网络食品安全预警、禁止食用罂粟壳、罂粟籽、罂粟苗等毒品原植物预警公告、禁止在食品中添加罂粟的预警公告等公告，提升广大人民群众食品安全意识。三是积极开展食品抽验188个批次、抽样药品40批次、医疗器械4批次、化妆品5批次，快检药品105批次。食用农产品监督抽验240个批次，学生营养餐监督抽检11个批次，在单位门户网站公示食用农产品53期。四是把保障公众用药安全、有效放在工作的首位，确保药品分类管理工作的有序推进。截至目前，在单位门户网站进行拟核发《医疗器械经营许可证》前公示11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caps w:val="0"/>
          <w:color w:val="000000"/>
          <w:spacing w:val="0"/>
          <w:sz w:val="21"/>
          <w:szCs w:val="21"/>
        </w:rPr>
      </w:pPr>
      <w:r>
        <w:rPr>
          <w:rFonts w:hint="default" w:ascii="Times New Roman" w:hAnsi="Times New Roman" w:eastAsia="方正黑体_GBK" w:cs="Times New Roman"/>
          <w:i w:val="0"/>
          <w:caps w:val="0"/>
          <w:color w:val="000000"/>
          <w:spacing w:val="0"/>
          <w:kern w:val="0"/>
          <w:sz w:val="32"/>
          <w:szCs w:val="32"/>
          <w:lang w:val="en-US" w:eastAsia="zh-CN" w:bidi="ar"/>
        </w:rPr>
        <w:t>二、</w:t>
      </w:r>
      <w:r>
        <w:rPr>
          <w:rFonts w:hint="default" w:ascii="Times New Roman" w:hAnsi="Times New Roman" w:cs="Times New Roman" w:eastAsiaTheme="minorEastAsia"/>
          <w:i w:val="0"/>
          <w:caps w:val="0"/>
          <w:color w:val="000000"/>
          <w:spacing w:val="0"/>
          <w:kern w:val="0"/>
          <w:sz w:val="32"/>
          <w:szCs w:val="32"/>
          <w:lang w:val="en-US" w:eastAsia="zh-CN" w:bidi="ar"/>
        </w:rPr>
        <w:t>2018</w:t>
      </w:r>
      <w:r>
        <w:rPr>
          <w:rFonts w:hint="default" w:ascii="Times New Roman" w:hAnsi="Times New Roman" w:eastAsia="方正黑体_GBK" w:cs="Times New Roman"/>
          <w:i w:val="0"/>
          <w:caps w:val="0"/>
          <w:color w:val="000000"/>
          <w:spacing w:val="0"/>
          <w:kern w:val="0"/>
          <w:sz w:val="32"/>
          <w:szCs w:val="32"/>
          <w:lang w:val="en-US" w:eastAsia="zh-CN" w:bidi="ar"/>
        </w:rPr>
        <w:t>年工作计划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以《中华人民共和国政府信息公开条例》为依据，按照县政府关于做好政务公开工作的相关要求，以依法公开、真实公开、注重实效、有利监督为基本原则，继续完善公开内容，创新公开手段，建立长效机制，不断深化和推进信息公开工作，着力提高信息公开的工作效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（一）完善工作机制的制度。进一步完善政务公开和网站建设工作制度，明确责任分工，加强督查督办，确保政务公开实效。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（二）抓好重点领域信息公开。根据年度重点工作部署制定重点领域信息公开实施方案，按照要求及时在单位门户网站进行更新。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A5B25"/>
    <w:rsid w:val="145B6BF3"/>
    <w:rsid w:val="15CC5722"/>
    <w:rsid w:val="258A5B25"/>
    <w:rsid w:val="2BF93E05"/>
    <w:rsid w:val="47343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2022-03-09T01:49:00Z</dcterms:created>
  <dc:creator>lenovo</dc:creator>
  <cp:lastModifiedBy>小光</cp:lastModifiedBy>
  <dcterms:modified xsi:type="dcterms:W3CDTF">2024-04-01T01:09:03Z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