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val="en-US" w:eastAsia="zh-CN"/>
        </w:rPr>
        <w:t>盈江县交通运输局2018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盈江县交通运输局</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eastAsia="仿宋_GB2312"/>
          <w:sz w:val="30"/>
          <w:szCs w:val="30"/>
          <w:lang w:eastAsia="zh-CN"/>
        </w:rPr>
        <w:t>县</w:t>
      </w:r>
      <w:r>
        <w:rPr>
          <w:rFonts w:hint="eastAsia" w:ascii="Times New Roman" w:hAnsi="Times New Roman" w:eastAsia="仿宋_GB2312"/>
          <w:sz w:val="30"/>
          <w:szCs w:val="30"/>
        </w:rPr>
        <w:t>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w:t>
      </w:r>
      <w:r>
        <w:rPr>
          <w:rFonts w:hint="eastAsia" w:eastAsia="仿宋_GB2312"/>
          <w:sz w:val="30"/>
          <w:szCs w:val="30"/>
          <w:lang w:eastAsia="zh-CN"/>
        </w:rPr>
        <w:t>县</w:t>
      </w:r>
      <w:r>
        <w:rPr>
          <w:rFonts w:hint="eastAsia" w:ascii="Times New Roman" w:hAnsi="Times New Roman" w:eastAsia="仿宋_GB2312"/>
          <w:sz w:val="30"/>
          <w:szCs w:val="30"/>
        </w:rPr>
        <w:t>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w:t>
      </w:r>
      <w:r>
        <w:rPr>
          <w:rFonts w:hint="eastAsia" w:eastAsia="仿宋_GB2312"/>
          <w:sz w:val="30"/>
          <w:szCs w:val="30"/>
          <w:lang w:eastAsia="zh-CN"/>
        </w:rPr>
        <w:t>县</w:t>
      </w:r>
      <w:r>
        <w:rPr>
          <w:rFonts w:hint="eastAsia" w:ascii="Times New Roman" w:hAnsi="Times New Roman" w:eastAsia="仿宋_GB2312"/>
          <w:sz w:val="30"/>
          <w:szCs w:val="30"/>
        </w:rPr>
        <w:t>对下转移支付绩效目标表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hint="eastAsia" w:ascii="Times New Roman" w:hAnsi="Times New Roman" w:eastAsia="仿宋_GB2312"/>
          <w:sz w:val="30"/>
          <w:szCs w:val="30"/>
          <w:lang w:eastAsia="zh-CN"/>
        </w:rPr>
      </w:pPr>
      <w:r>
        <w:rPr>
          <w:rFonts w:hint="eastAsia" w:eastAsia="仿宋_GB2312"/>
          <w:sz w:val="30"/>
          <w:szCs w:val="30"/>
          <w:lang w:eastAsia="zh-CN"/>
        </w:rPr>
        <w:t>十四、行政事业单位国有资产占有使用情况表</w:t>
      </w: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jc w:val="left"/>
        <w:rPr>
          <w:rFonts w:hint="eastAsia" w:ascii="Times New Roman" w:hAnsi="Times New Roman" w:eastAsia="仿宋_GB2312"/>
          <w:sz w:val="30"/>
          <w:szCs w:val="30"/>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盈江县交通运输局</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widowControl/>
        <w:ind w:firstLine="640" w:firstLineChars="200"/>
        <w:jc w:val="left"/>
        <w:rPr>
          <w:rFonts w:hint="eastAsia"/>
          <w:sz w:val="32"/>
          <w:szCs w:val="32"/>
        </w:rPr>
      </w:pPr>
      <w:r>
        <w:rPr>
          <w:rFonts w:hint="eastAsia"/>
          <w:sz w:val="32"/>
          <w:szCs w:val="32"/>
        </w:rPr>
        <w:t>主要职能是：盈江县交通运输局是政府主管全县公路、水路交通运输行业的职能部门，承担着全县全路建设、公路养护、交通运输局、海事监管四大工作任务。</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20" w:firstLineChars="100"/>
        <w:jc w:val="left"/>
        <w:rPr>
          <w:rFonts w:hint="eastAsia"/>
          <w:sz w:val="32"/>
          <w:szCs w:val="32"/>
        </w:rPr>
      </w:pPr>
      <w:r>
        <w:rPr>
          <w:rFonts w:hint="eastAsia"/>
          <w:sz w:val="32"/>
          <w:szCs w:val="32"/>
        </w:rPr>
        <w:t>盈江</w:t>
      </w:r>
      <w:r>
        <w:rPr>
          <w:rFonts w:hint="eastAsia" w:ascii="宋体" w:hAnsi="宋体"/>
          <w:sz w:val="32"/>
          <w:szCs w:val="32"/>
        </w:rPr>
        <w:t>县交通运输</w:t>
      </w:r>
      <w:r>
        <w:rPr>
          <w:rFonts w:hint="eastAsia"/>
          <w:sz w:val="32"/>
          <w:szCs w:val="32"/>
        </w:rPr>
        <w:t>局内设:办公室、财务股、运输安全股、工程股、公路质量监督站、路政管理股、地方公路管理段、地方海事局、综合规划股</w:t>
      </w:r>
      <w:r>
        <w:rPr>
          <w:rFonts w:hint="eastAsia"/>
          <w:sz w:val="32"/>
          <w:szCs w:val="32"/>
          <w:u w:val="single"/>
        </w:rPr>
        <w:t>9</w:t>
      </w:r>
      <w:r>
        <w:rPr>
          <w:rFonts w:hint="eastAsia"/>
          <w:sz w:val="32"/>
          <w:szCs w:val="32"/>
        </w:rPr>
        <w:t>个职能股（室）。</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ind w:firstLine="640" w:firstLineChars="200"/>
        <w:rPr>
          <w:rFonts w:hint="eastAsia"/>
          <w:sz w:val="32"/>
          <w:szCs w:val="32"/>
        </w:rPr>
      </w:pPr>
      <w:r>
        <w:rPr>
          <w:rFonts w:hint="eastAsia"/>
          <w:sz w:val="32"/>
          <w:szCs w:val="32"/>
        </w:rPr>
        <w:t>1、全力做好腾陇高速公路，县级项目、通村通畅项目和边防公路建设项目，确保完成目标任务。</w:t>
      </w:r>
    </w:p>
    <w:p>
      <w:pPr>
        <w:tabs>
          <w:tab w:val="left" w:pos="1011"/>
        </w:tabs>
        <w:ind w:firstLine="640" w:firstLineChars="200"/>
        <w:rPr>
          <w:rFonts w:hint="eastAsia"/>
          <w:sz w:val="32"/>
          <w:szCs w:val="32"/>
        </w:rPr>
      </w:pPr>
      <w:r>
        <w:rPr>
          <w:rFonts w:hint="eastAsia"/>
          <w:sz w:val="32"/>
          <w:szCs w:val="32"/>
        </w:rPr>
        <w:t xml:space="preserve">2、全力推进项目前期，力争更多项目“多入围、多落地”。立足大项目带动大发展，坚持“实施一比，启动一批，储备一批”的思路。 </w:t>
      </w:r>
    </w:p>
    <w:p>
      <w:pPr>
        <w:tabs>
          <w:tab w:val="left" w:pos="1011"/>
        </w:tabs>
        <w:ind w:firstLine="640" w:firstLineChars="200"/>
        <w:rPr>
          <w:rFonts w:hint="eastAsia"/>
          <w:sz w:val="32"/>
          <w:szCs w:val="32"/>
        </w:rPr>
      </w:pPr>
      <w:r>
        <w:rPr>
          <w:rFonts w:hint="eastAsia"/>
          <w:sz w:val="32"/>
          <w:szCs w:val="32"/>
        </w:rPr>
        <w:t>3、全力编制好盈江县公路水路基础设施“十三五“发展规划和建好自然村通畅数据库。</w:t>
      </w:r>
    </w:p>
    <w:p>
      <w:pPr>
        <w:tabs>
          <w:tab w:val="left" w:pos="1011"/>
        </w:tabs>
        <w:ind w:firstLine="640" w:firstLineChars="200"/>
        <w:rPr>
          <w:rFonts w:hint="eastAsia"/>
          <w:sz w:val="32"/>
          <w:szCs w:val="32"/>
        </w:rPr>
      </w:pPr>
      <w:r>
        <w:rPr>
          <w:rFonts w:hint="eastAsia"/>
          <w:sz w:val="32"/>
          <w:szCs w:val="32"/>
        </w:rPr>
        <w:t>4、继续做好养护、海事、路政、安全生产和行业管理工作。</w:t>
      </w:r>
    </w:p>
    <w:p>
      <w:pPr>
        <w:ind w:firstLine="630"/>
        <w:rPr>
          <w:rFonts w:hint="eastAsia"/>
          <w:sz w:val="32"/>
          <w:szCs w:val="32"/>
        </w:rPr>
      </w:pPr>
      <w:r>
        <w:rPr>
          <w:rFonts w:hint="eastAsia"/>
          <w:sz w:val="32"/>
          <w:szCs w:val="32"/>
        </w:rPr>
        <w:t>紧紧围绕国家在交通基础设施上的安排和部署，结合我县实际需求，加大内接外联大通道建设和完善农村公路网络化发展工作力度，逐年实施“十三五”交通发展规划项目和自然村库内公路。</w:t>
      </w:r>
    </w:p>
    <w:p>
      <w:pPr>
        <w:widowControl/>
        <w:ind w:firstLine="640" w:firstLineChars="200"/>
        <w:jc w:val="left"/>
        <w:rPr>
          <w:rFonts w:eastAsia="仿宋_GB2312"/>
          <w:kern w:val="0"/>
          <w:sz w:val="30"/>
          <w:szCs w:val="30"/>
        </w:rPr>
      </w:pPr>
      <w:r>
        <w:rPr>
          <w:rFonts w:hint="eastAsia"/>
          <w:sz w:val="32"/>
          <w:szCs w:val="32"/>
        </w:rPr>
        <w:t>全力配合州直相关部门推进高速公路前期工作和实施，确保腾盈陇高速公路施工顺利；加快我县国省道改造项目、边防公路以及农村公路相关工作推进，使县内交通网络更加完善，加大争取自然村道路建设力度，确实解决群众出行难问题。</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50</w:t>
      </w:r>
      <w:r>
        <w:rPr>
          <w:rFonts w:eastAsia="仿宋_GB2312"/>
          <w:kern w:val="0"/>
          <w:sz w:val="30"/>
          <w:szCs w:val="30"/>
        </w:rPr>
        <w:t xml:space="preserve">人，其中：行政编制 </w:t>
      </w:r>
      <w:r>
        <w:rPr>
          <w:rFonts w:hint="eastAsia" w:eastAsia="仿宋_GB2312"/>
          <w:kern w:val="0"/>
          <w:sz w:val="30"/>
          <w:szCs w:val="30"/>
          <w:lang w:val="en-US" w:eastAsia="zh-CN"/>
        </w:rPr>
        <w:t>12</w:t>
      </w:r>
      <w:r>
        <w:rPr>
          <w:rFonts w:eastAsia="仿宋_GB2312"/>
          <w:kern w:val="0"/>
          <w:sz w:val="30"/>
          <w:szCs w:val="30"/>
        </w:rPr>
        <w:t>人，事业编制</w:t>
      </w:r>
      <w:r>
        <w:rPr>
          <w:rFonts w:hint="eastAsia" w:eastAsia="仿宋_GB2312"/>
          <w:kern w:val="0"/>
          <w:sz w:val="30"/>
          <w:szCs w:val="30"/>
          <w:lang w:val="en-US" w:eastAsia="zh-CN"/>
        </w:rPr>
        <w:t>38</w:t>
      </w:r>
      <w:r>
        <w:rPr>
          <w:rFonts w:eastAsia="仿宋_GB2312"/>
          <w:kern w:val="0"/>
          <w:sz w:val="30"/>
          <w:szCs w:val="30"/>
        </w:rPr>
        <w:t>人。在职实有</w:t>
      </w:r>
      <w:r>
        <w:rPr>
          <w:rFonts w:hint="eastAsia" w:eastAsia="仿宋_GB2312"/>
          <w:kern w:val="0"/>
          <w:sz w:val="30"/>
          <w:szCs w:val="30"/>
          <w:lang w:val="en-US" w:eastAsia="zh-CN"/>
        </w:rPr>
        <w:t>50</w:t>
      </w:r>
      <w:r>
        <w:rPr>
          <w:rFonts w:eastAsia="仿宋_GB2312"/>
          <w:kern w:val="0"/>
          <w:sz w:val="30"/>
          <w:szCs w:val="30"/>
        </w:rPr>
        <w:t>人，其中： 财政全供养</w:t>
      </w:r>
      <w:r>
        <w:rPr>
          <w:rFonts w:hint="eastAsia" w:eastAsia="仿宋_GB2312"/>
          <w:kern w:val="0"/>
          <w:sz w:val="30"/>
          <w:szCs w:val="30"/>
          <w:lang w:val="en-US" w:eastAsia="zh-CN"/>
        </w:rPr>
        <w:t>50</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13</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人，退休</w:t>
      </w:r>
      <w:r>
        <w:rPr>
          <w:rFonts w:hint="eastAsia" w:eastAsia="仿宋_GB2312"/>
          <w:kern w:val="0"/>
          <w:sz w:val="30"/>
          <w:szCs w:val="30"/>
          <w:lang w:val="en-US" w:eastAsia="zh-CN"/>
        </w:rPr>
        <w:t>13</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2</w:t>
      </w:r>
      <w:r>
        <w:rPr>
          <w:rFonts w:eastAsia="仿宋_GB2312"/>
          <w:kern w:val="0"/>
          <w:sz w:val="30"/>
          <w:szCs w:val="30"/>
        </w:rPr>
        <w:t>辆，实有车辆</w:t>
      </w:r>
      <w:r>
        <w:rPr>
          <w:rFonts w:hint="eastAsia" w:eastAsia="仿宋_GB2312"/>
          <w:kern w:val="0"/>
          <w:sz w:val="30"/>
          <w:szCs w:val="30"/>
          <w:lang w:val="en-US" w:eastAsia="zh-CN"/>
        </w:rPr>
        <w:t>2</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565.33</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565.33</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32,42.61</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年部门财政拨款收入</w:t>
      </w:r>
      <w:r>
        <w:rPr>
          <w:rFonts w:hint="eastAsia" w:eastAsia="仿宋_GB2312"/>
          <w:kern w:val="0"/>
          <w:sz w:val="30"/>
          <w:szCs w:val="30"/>
          <w:lang w:val="en-US" w:eastAsia="zh-CN"/>
        </w:rPr>
        <w:t>565.33</w:t>
      </w:r>
      <w:r>
        <w:rPr>
          <w:rFonts w:eastAsia="仿宋_GB2312"/>
          <w:kern w:val="0"/>
          <w:sz w:val="30"/>
          <w:szCs w:val="30"/>
        </w:rPr>
        <w:t>万元，其中:本年收入</w:t>
      </w:r>
      <w:r>
        <w:rPr>
          <w:rFonts w:hint="eastAsia" w:eastAsia="仿宋_GB2312"/>
          <w:kern w:val="0"/>
          <w:sz w:val="30"/>
          <w:szCs w:val="30"/>
          <w:lang w:val="en-US" w:eastAsia="zh-CN"/>
        </w:rPr>
        <w:t>565.33</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565.33</w:t>
      </w:r>
      <w:r>
        <w:rPr>
          <w:rFonts w:eastAsia="仿宋_GB2312"/>
          <w:kern w:val="0"/>
          <w:sz w:val="30"/>
          <w:szCs w:val="30"/>
        </w:rPr>
        <w:t>万元（本级财力</w:t>
      </w:r>
      <w:r>
        <w:rPr>
          <w:rFonts w:hint="eastAsia" w:eastAsia="仿宋_GB2312"/>
          <w:kern w:val="0"/>
          <w:sz w:val="30"/>
          <w:szCs w:val="30"/>
          <w:lang w:val="en-US" w:eastAsia="zh-CN"/>
        </w:rPr>
        <w:t>565.33</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565.33</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565.33</w:t>
      </w:r>
      <w:r>
        <w:rPr>
          <w:rFonts w:eastAsia="仿宋_GB2312"/>
          <w:kern w:val="0"/>
          <w:sz w:val="30"/>
          <w:szCs w:val="30"/>
        </w:rPr>
        <w:t>万元，其中，基本支出</w:t>
      </w:r>
      <w:r>
        <w:rPr>
          <w:rFonts w:hint="eastAsia" w:eastAsia="仿宋_GB2312"/>
          <w:kern w:val="0"/>
          <w:sz w:val="30"/>
          <w:szCs w:val="30"/>
          <w:lang w:val="en-US" w:eastAsia="zh-CN"/>
        </w:rPr>
        <w:t>565.33</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lang w:val="en-US" w:eastAsia="zh-CN"/>
        </w:rPr>
        <w:t>2080501归口管理的行政单位离退休56.54万元，2080502事业单位离退休0.54万元，2080505机关事业单位养老保险缴费支出71.64万元，2080506机关事业单位职业年金缴费支出0.33万元，2140101行政运行399.06万元，2210201住房公积金37.22万元。</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565.33</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val="en-US" w:eastAsia="zh-CN"/>
        </w:rPr>
        <w:t>30108机关事业单位基本养老保险缴费71.64万元，30109职业年金缴费0.33万元，30101基本工资148.77万元，30102津贴补贴166.26万元，30103奖金12.4万元，30107绩效工资44.42万元，30311住房公积金37.22万元，30302退休费54.8万元，30399其他对个人和家庭的补助支出2.21万元，30299其他商品和服务支出2.28万元，30201办公费6.04万元，30205水费0.3万元，30206电费1.9万元，30211差旅费4万元，30207邮电费1.8万元，30202印刷费0.8万元，30215会议费0.5万元，30216培训费0.5万元，30217公务接待费2.98万元，30231公务用车运行维护费6.18万元。</w:t>
      </w:r>
    </w:p>
    <w:p>
      <w:pPr>
        <w:widowControl/>
        <w:numPr>
          <w:ilvl w:val="0"/>
          <w:numId w:val="1"/>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省对下专项转移支付情况</w:t>
      </w:r>
    </w:p>
    <w:p>
      <w:pPr>
        <w:widowControl/>
        <w:numPr>
          <w:ilvl w:val="0"/>
          <w:numId w:val="0"/>
        </w:numPr>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 xml:space="preserve">    2018年本单位无省对下专项转移支出。</w:t>
      </w:r>
    </w:p>
    <w:p>
      <w:pPr>
        <w:widowControl/>
        <w:numPr>
          <w:ilvl w:val="0"/>
          <w:numId w:val="1"/>
        </w:numPr>
        <w:ind w:firstLine="600" w:firstLineChars="200"/>
        <w:jc w:val="left"/>
        <w:rPr>
          <w:rFonts w:hint="eastAsia" w:ascii="黑体" w:hAnsi="黑体" w:eastAsia="黑体"/>
          <w:kern w:val="0"/>
          <w:sz w:val="30"/>
          <w:szCs w:val="30"/>
          <w:lang w:eastAsia="zh-CN"/>
        </w:rPr>
      </w:pPr>
      <w:r>
        <w:rPr>
          <w:rFonts w:hint="eastAsia" w:ascii="黑体" w:hAnsi="黑体" w:eastAsia="黑体"/>
          <w:kern w:val="0"/>
          <w:sz w:val="30"/>
          <w:szCs w:val="30"/>
          <w:lang w:eastAsia="zh-CN"/>
        </w:rPr>
        <w:t>三公经费支出情况</w:t>
      </w:r>
    </w:p>
    <w:p>
      <w:pPr>
        <w:widowControl/>
        <w:numPr>
          <w:ilvl w:val="0"/>
          <w:numId w:val="0"/>
        </w:numPr>
        <w:ind w:leftChars="200"/>
        <w:jc w:val="left"/>
        <w:rPr>
          <w:rFonts w:ascii="楷体_GB2312" w:eastAsia="楷体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一般公共预算“三公”经费支出</w:t>
      </w:r>
      <w:r>
        <w:rPr>
          <w:rFonts w:ascii="楷体_GB2312" w:eastAsia="楷体_GB2312"/>
          <w:kern w:val="0"/>
          <w:sz w:val="30"/>
          <w:szCs w:val="30"/>
        </w:rPr>
        <w:t>情况</w:t>
      </w:r>
    </w:p>
    <w:p>
      <w:pPr>
        <w:spacing w:line="620" w:lineRule="exact"/>
        <w:ind w:firstLine="600" w:firstLineChars="200"/>
        <w:rPr>
          <w:rFonts w:ascii="仿宋_GB2312" w:eastAsia="仿宋_GB2312"/>
          <w:sz w:val="30"/>
          <w:szCs w:val="30"/>
        </w:rPr>
      </w:pPr>
      <w:r>
        <w:rPr>
          <w:rFonts w:hint="eastAsia" w:eastAsia="仿宋_GB2312"/>
          <w:kern w:val="0"/>
          <w:sz w:val="30"/>
          <w:szCs w:val="30"/>
          <w:lang w:val="en-US" w:eastAsia="zh-CN"/>
        </w:rPr>
        <w:t>2018</w:t>
      </w:r>
      <w:r>
        <w:rPr>
          <w:rFonts w:hint="eastAsia" w:ascii="仿宋_GB2312" w:eastAsia="仿宋_GB2312"/>
          <w:sz w:val="30"/>
          <w:szCs w:val="30"/>
        </w:rPr>
        <w:t>年</w:t>
      </w:r>
      <w:r>
        <w:rPr>
          <w:rFonts w:hint="eastAsia" w:ascii="楷体_GB2312" w:eastAsia="楷体_GB2312"/>
          <w:kern w:val="0"/>
          <w:sz w:val="30"/>
          <w:szCs w:val="30"/>
          <w:lang w:eastAsia="zh-CN"/>
        </w:rPr>
        <w:t>部门</w:t>
      </w:r>
      <w:r>
        <w:rPr>
          <w:rFonts w:hint="eastAsia" w:ascii="楷体_GB2312" w:eastAsia="楷体_GB2312"/>
          <w:kern w:val="0"/>
          <w:sz w:val="30"/>
          <w:szCs w:val="30"/>
        </w:rPr>
        <w:t>一般公共预算“三公”经费支出</w:t>
      </w:r>
      <w:r>
        <w:rPr>
          <w:rFonts w:hint="eastAsia" w:ascii="仿宋_GB2312" w:eastAsia="仿宋_GB2312"/>
          <w:sz w:val="30"/>
          <w:szCs w:val="30"/>
        </w:rPr>
        <w:t>情况如下：</w:t>
      </w:r>
    </w:p>
    <w:p>
      <w:pPr>
        <w:spacing w:line="620" w:lineRule="exact"/>
        <w:ind w:firstLine="640"/>
        <w:rPr>
          <w:rFonts w:hint="eastAsia" w:ascii="黑体" w:eastAsia="黑体"/>
          <w:sz w:val="30"/>
          <w:szCs w:val="30"/>
        </w:rPr>
      </w:pPr>
      <w:r>
        <w:rPr>
          <w:rFonts w:hint="eastAsia" w:ascii="黑体" w:eastAsia="黑体"/>
          <w:sz w:val="30"/>
          <w:szCs w:val="30"/>
          <w:lang w:val="en-US" w:eastAsia="zh-CN"/>
        </w:rPr>
        <w:t>1</w:t>
      </w:r>
      <w:r>
        <w:rPr>
          <w:rFonts w:hint="eastAsia" w:ascii="黑体" w:eastAsia="黑体"/>
          <w:sz w:val="30"/>
          <w:szCs w:val="30"/>
        </w:rPr>
        <w:t>、因公出国（境）经费</w:t>
      </w:r>
    </w:p>
    <w:p>
      <w:pPr>
        <w:spacing w:line="620" w:lineRule="exact"/>
        <w:ind w:firstLine="640"/>
        <w:rPr>
          <w:rFonts w:hint="eastAsia" w:ascii="仿宋_GB2312" w:eastAsia="仿宋_GB2312"/>
          <w:sz w:val="30"/>
          <w:szCs w:val="30"/>
        </w:rPr>
      </w:pPr>
      <w:r>
        <w:rPr>
          <w:rFonts w:hint="eastAsia" w:ascii="仿宋_GB2312" w:eastAsia="仿宋_GB2312"/>
          <w:sz w:val="30"/>
          <w:szCs w:val="30"/>
        </w:rPr>
        <w:t>拟安排出国（境）经费预算</w:t>
      </w:r>
      <w:r>
        <w:rPr>
          <w:rFonts w:hint="eastAsia" w:eastAsia="仿宋_GB2312"/>
          <w:kern w:val="0"/>
          <w:sz w:val="30"/>
          <w:szCs w:val="30"/>
          <w:lang w:val="en-US" w:eastAsia="zh-CN"/>
        </w:rPr>
        <w:t>0</w:t>
      </w:r>
      <w:r>
        <w:rPr>
          <w:rFonts w:hint="eastAsia" w:ascii="仿宋_GB2312" w:eastAsia="仿宋_GB2312"/>
          <w:sz w:val="30"/>
          <w:szCs w:val="30"/>
        </w:rPr>
        <w:t>万元。</w:t>
      </w:r>
    </w:p>
    <w:p>
      <w:pPr>
        <w:spacing w:line="620" w:lineRule="exact"/>
        <w:ind w:firstLine="640"/>
        <w:rPr>
          <w:rFonts w:ascii="黑体" w:eastAsia="黑体"/>
          <w:sz w:val="30"/>
          <w:szCs w:val="30"/>
        </w:rPr>
      </w:pPr>
      <w:r>
        <w:rPr>
          <w:rFonts w:hint="eastAsia" w:ascii="黑体" w:eastAsia="黑体"/>
          <w:sz w:val="30"/>
          <w:szCs w:val="30"/>
          <w:lang w:val="en-US" w:eastAsia="zh-CN"/>
        </w:rPr>
        <w:t>2</w:t>
      </w:r>
      <w:r>
        <w:rPr>
          <w:rFonts w:hint="eastAsia" w:ascii="黑体" w:eastAsia="黑体"/>
          <w:sz w:val="30"/>
          <w:szCs w:val="30"/>
        </w:rPr>
        <w:t>、公务接待费</w:t>
      </w:r>
    </w:p>
    <w:p>
      <w:pPr>
        <w:spacing w:line="620" w:lineRule="exact"/>
        <w:ind w:firstLine="640"/>
        <w:rPr>
          <w:rFonts w:hint="eastAsia" w:ascii="仿宋_GB2312" w:eastAsia="仿宋_GB2312"/>
          <w:sz w:val="30"/>
          <w:szCs w:val="30"/>
        </w:rPr>
      </w:pPr>
      <w:r>
        <w:rPr>
          <w:rFonts w:hint="eastAsia" w:ascii="仿宋_GB2312" w:eastAsia="仿宋_GB2312"/>
          <w:sz w:val="30"/>
          <w:szCs w:val="30"/>
        </w:rPr>
        <w:t>拟安排公务接待费预算</w:t>
      </w:r>
      <w:r>
        <w:rPr>
          <w:rFonts w:hint="eastAsia" w:eastAsia="仿宋_GB2312"/>
          <w:kern w:val="0"/>
          <w:sz w:val="30"/>
          <w:szCs w:val="30"/>
          <w:lang w:val="en-US" w:eastAsia="zh-CN"/>
        </w:rPr>
        <w:t>2.98</w:t>
      </w:r>
      <w:r>
        <w:rPr>
          <w:rFonts w:hint="eastAsia" w:ascii="仿宋_GB2312" w:eastAsia="仿宋_GB2312"/>
          <w:sz w:val="30"/>
          <w:szCs w:val="30"/>
        </w:rPr>
        <w:t>万元，主要用于按规定开支的各类公务接待产生的费用。</w:t>
      </w:r>
    </w:p>
    <w:p>
      <w:pPr>
        <w:spacing w:line="620" w:lineRule="exact"/>
        <w:ind w:firstLine="640"/>
        <w:rPr>
          <w:rFonts w:ascii="黑体" w:eastAsia="黑体"/>
          <w:sz w:val="30"/>
          <w:szCs w:val="30"/>
        </w:rPr>
      </w:pPr>
      <w:r>
        <w:rPr>
          <w:rFonts w:hint="eastAsia" w:ascii="黑体" w:eastAsia="黑体"/>
          <w:sz w:val="30"/>
          <w:szCs w:val="30"/>
          <w:lang w:val="en-US" w:eastAsia="zh-CN"/>
        </w:rPr>
        <w:t>3</w:t>
      </w:r>
      <w:r>
        <w:rPr>
          <w:rFonts w:hint="eastAsia" w:ascii="黑体" w:eastAsia="黑体"/>
          <w:sz w:val="30"/>
          <w:szCs w:val="30"/>
        </w:rPr>
        <w:t>、公务用车购置及运行维护费</w:t>
      </w:r>
    </w:p>
    <w:p>
      <w:pPr>
        <w:spacing w:line="620" w:lineRule="exact"/>
        <w:ind w:firstLine="640"/>
        <w:rPr>
          <w:rFonts w:hint="eastAsia" w:ascii="仿宋_GB2312" w:eastAsia="仿宋_GB2312"/>
          <w:sz w:val="30"/>
          <w:szCs w:val="30"/>
        </w:rPr>
      </w:pPr>
      <w:r>
        <w:rPr>
          <w:rFonts w:hint="eastAsia" w:ascii="仿宋_GB2312" w:eastAsia="仿宋_GB2312"/>
          <w:sz w:val="30"/>
          <w:szCs w:val="30"/>
        </w:rPr>
        <w:t>拟安排公务用车购置及运行维护费</w:t>
      </w:r>
      <w:r>
        <w:rPr>
          <w:rFonts w:hint="eastAsia" w:eastAsia="仿宋_GB2312"/>
          <w:kern w:val="0"/>
          <w:sz w:val="30"/>
          <w:szCs w:val="30"/>
          <w:lang w:val="en-US" w:eastAsia="zh-CN"/>
        </w:rPr>
        <w:t>6.18</w:t>
      </w:r>
      <w:r>
        <w:rPr>
          <w:rFonts w:hint="eastAsia" w:ascii="仿宋_GB2312" w:eastAsia="仿宋_GB2312"/>
          <w:sz w:val="30"/>
          <w:szCs w:val="30"/>
        </w:rPr>
        <w:t>万元，其中：购置经费</w:t>
      </w:r>
      <w:r>
        <w:rPr>
          <w:rFonts w:hint="eastAsia" w:eastAsia="仿宋_GB2312"/>
          <w:kern w:val="0"/>
          <w:sz w:val="30"/>
          <w:szCs w:val="30"/>
          <w:lang w:val="en-US" w:eastAsia="zh-CN"/>
        </w:rPr>
        <w:t>0</w:t>
      </w:r>
      <w:r>
        <w:rPr>
          <w:rFonts w:hint="eastAsia" w:ascii="仿宋_GB2312" w:eastAsia="仿宋_GB2312"/>
          <w:sz w:val="30"/>
          <w:szCs w:val="30"/>
        </w:rPr>
        <w:t>万元、运行维护费</w:t>
      </w:r>
      <w:r>
        <w:rPr>
          <w:rFonts w:hint="eastAsia" w:eastAsia="仿宋_GB2312"/>
          <w:kern w:val="0"/>
          <w:sz w:val="30"/>
          <w:szCs w:val="30"/>
          <w:lang w:val="en-US" w:eastAsia="zh-CN"/>
        </w:rPr>
        <w:t>6.18</w:t>
      </w:r>
      <w:r>
        <w:rPr>
          <w:rFonts w:hint="eastAsia" w:ascii="仿宋_GB2312" w:eastAsia="仿宋_GB2312"/>
          <w:sz w:val="30"/>
          <w:szCs w:val="30"/>
        </w:rPr>
        <w:t>万元，主要用于保障政府部门、党群部门、其他部门公务工作开展，拟产生的公务用车燃料费、维修费、过路过桥费、保险费等支出。</w:t>
      </w:r>
    </w:p>
    <w:p>
      <w:pPr>
        <w:widowControl/>
        <w:numPr>
          <w:ilvl w:val="0"/>
          <w:numId w:val="2"/>
        </w:numPr>
        <w:ind w:firstLine="450" w:firstLineChars="150"/>
        <w:jc w:val="left"/>
        <w:rPr>
          <w:rFonts w:hint="eastAsia" w:ascii="楷体_GB2312" w:eastAsia="楷体_GB2312"/>
          <w:kern w:val="0"/>
          <w:sz w:val="30"/>
          <w:szCs w:val="30"/>
          <w:lang w:eastAsia="zh-CN"/>
        </w:rPr>
      </w:pPr>
      <w:r>
        <w:rPr>
          <w:rFonts w:hint="eastAsia" w:ascii="楷体_GB2312" w:eastAsia="楷体_GB2312"/>
          <w:kern w:val="0"/>
          <w:sz w:val="30"/>
          <w:szCs w:val="30"/>
          <w:lang w:eastAsia="zh-CN"/>
        </w:rPr>
        <w:t>三公经费支出预算增（减）原因</w:t>
      </w:r>
    </w:p>
    <w:p>
      <w:pPr>
        <w:widowControl/>
        <w:numPr>
          <w:ilvl w:val="0"/>
          <w:numId w:val="0"/>
        </w:numPr>
        <w:jc w:val="left"/>
        <w:rPr>
          <w:rFonts w:hint="eastAsia" w:ascii="楷体_GB2312" w:eastAsia="楷体_GB2312"/>
          <w:color w:val="000000" w:themeColor="text1"/>
          <w:kern w:val="0"/>
          <w:sz w:val="30"/>
          <w:szCs w:val="30"/>
          <w:lang w:eastAsia="zh-CN"/>
        </w:rPr>
      </w:pPr>
      <w:r>
        <w:rPr>
          <w:rFonts w:hint="eastAsia" w:ascii="仿宋_GB2312" w:eastAsia="仿宋_GB2312" w:cs="方正仿宋_GBK"/>
          <w:sz w:val="32"/>
          <w:szCs w:val="32"/>
          <w:lang w:val="en-US" w:eastAsia="zh-CN"/>
        </w:rPr>
        <w:t xml:space="preserve">  </w:t>
      </w:r>
      <w:r>
        <w:rPr>
          <w:rFonts w:hint="eastAsia" w:ascii="仿宋_GB2312" w:eastAsia="仿宋_GB2312" w:cs="方正仿宋_GBK"/>
          <w:sz w:val="30"/>
          <w:szCs w:val="30"/>
          <w:lang w:val="en-US" w:eastAsia="zh-CN"/>
        </w:rPr>
        <w:t xml:space="preserve"> </w:t>
      </w:r>
      <w:r>
        <w:rPr>
          <w:rFonts w:hint="eastAsia" w:ascii="楷体_GB2312" w:eastAsia="楷体_GB2312"/>
          <w:color w:val="000000" w:themeColor="text1"/>
          <w:kern w:val="0"/>
          <w:sz w:val="30"/>
          <w:szCs w:val="30"/>
        </w:rPr>
        <w:t>一般公共预算</w:t>
      </w:r>
      <w:r>
        <w:rPr>
          <w:rFonts w:hint="eastAsia" w:ascii="仿宋_GB2312" w:eastAsia="仿宋_GB2312" w:cs="方正仿宋_GBK"/>
          <w:color w:val="000000" w:themeColor="text1"/>
          <w:sz w:val="30"/>
          <w:szCs w:val="30"/>
          <w:lang w:val="zh-CN"/>
        </w:rPr>
        <w:t>三公经费支出预算数比上年减少</w:t>
      </w:r>
      <w:r>
        <w:rPr>
          <w:rFonts w:hint="eastAsia" w:eastAsia="仿宋_GB2312"/>
          <w:color w:val="000000" w:themeColor="text1"/>
          <w:kern w:val="0"/>
          <w:sz w:val="30"/>
          <w:szCs w:val="30"/>
          <w:lang w:val="en-US" w:eastAsia="zh-CN"/>
        </w:rPr>
        <w:t>0.02</w:t>
      </w:r>
      <w:r>
        <w:rPr>
          <w:rFonts w:hint="eastAsia" w:ascii="仿宋_GB2312" w:eastAsia="仿宋_GB2312" w:cs="方正仿宋_GBK"/>
          <w:color w:val="000000" w:themeColor="text1"/>
          <w:sz w:val="30"/>
          <w:szCs w:val="30"/>
          <w:lang w:val="zh-CN"/>
        </w:rPr>
        <w:t>万元，下降</w:t>
      </w:r>
      <w:r>
        <w:rPr>
          <w:rFonts w:hint="eastAsia" w:ascii="仿宋_GB2312" w:eastAsia="仿宋_GB2312" w:cs="方正仿宋_GBK"/>
          <w:color w:val="000000" w:themeColor="text1"/>
          <w:sz w:val="30"/>
          <w:szCs w:val="30"/>
          <w:lang w:val="en-US" w:eastAsia="zh-CN"/>
        </w:rPr>
        <w:t>0.</w:t>
      </w:r>
      <w:r>
        <w:rPr>
          <w:rFonts w:hint="eastAsia" w:eastAsia="仿宋_GB2312"/>
          <w:color w:val="000000" w:themeColor="text1"/>
          <w:kern w:val="0"/>
          <w:sz w:val="30"/>
          <w:szCs w:val="30"/>
          <w:lang w:val="en-US" w:eastAsia="zh-CN"/>
        </w:rPr>
        <w:t>22</w:t>
      </w:r>
      <w:r>
        <w:rPr>
          <w:rFonts w:hint="eastAsia" w:ascii="仿宋_GB2312" w:eastAsia="仿宋_GB2312" w:cs="方正仿宋_GBK"/>
          <w:color w:val="000000" w:themeColor="text1"/>
          <w:sz w:val="30"/>
          <w:szCs w:val="30"/>
          <w:lang w:val="zh-CN"/>
        </w:rPr>
        <w:t>%，下降原因为</w:t>
      </w:r>
      <w:r>
        <w:rPr>
          <w:rFonts w:hint="eastAsia" w:eastAsia="仿宋_GB2312"/>
          <w:color w:val="000000" w:themeColor="text1"/>
          <w:kern w:val="0"/>
          <w:sz w:val="30"/>
          <w:szCs w:val="30"/>
          <w:lang w:eastAsia="zh-CN"/>
        </w:rPr>
        <w:t>厉行勤俭节约，节能减排</w:t>
      </w:r>
      <w:r>
        <w:rPr>
          <w:rFonts w:eastAsia="仿宋_GB2312"/>
          <w:color w:val="000000" w:themeColor="text1"/>
          <w:kern w:val="0"/>
          <w:sz w:val="30"/>
          <w:szCs w:val="30"/>
        </w:rPr>
        <w:t>。</w:t>
      </w:r>
      <w:r>
        <w:rPr>
          <w:rFonts w:hint="eastAsia" w:ascii="仿宋_GB2312" w:eastAsia="仿宋_GB2312" w:cs="方正仿宋_GBK"/>
          <w:color w:val="000000" w:themeColor="text1"/>
          <w:sz w:val="30"/>
          <w:szCs w:val="30"/>
          <w:lang w:val="zh-CN"/>
        </w:rPr>
        <w:t>其中因公出国出境</w:t>
      </w:r>
      <w:r>
        <w:rPr>
          <w:rFonts w:hint="eastAsia" w:ascii="仿宋_GB2312" w:eastAsia="仿宋_GB2312" w:cs="方正仿宋_GBK"/>
          <w:color w:val="000000" w:themeColor="text1"/>
          <w:sz w:val="30"/>
          <w:szCs w:val="30"/>
          <w:lang w:val="en-US" w:eastAsia="zh-CN"/>
        </w:rPr>
        <w:t>0万元；公务接待费2.98万元，同比上年减少0.01万元，下降0.33%；公务用车购置及运行费6.18万元，同比上年减少0.01万元，下降0.16%。</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七</w:t>
      </w:r>
      <w:r>
        <w:rPr>
          <w:rFonts w:ascii="黑体" w:hAnsi="黑体" w:eastAsia="黑体"/>
          <w:kern w:val="0"/>
          <w:sz w:val="30"/>
          <w:szCs w:val="30"/>
        </w:rPr>
        <w:t>、政府采购预算情况</w:t>
      </w:r>
    </w:p>
    <w:p>
      <w:pPr>
        <w:widowControl/>
        <w:numPr>
          <w:ilvl w:val="0"/>
          <w:numId w:val="0"/>
        </w:numPr>
        <w:snapToGrid w:val="0"/>
        <w:spacing w:before="100" w:after="100" w:line="360" w:lineRule="auto"/>
        <w:ind w:firstLine="600"/>
        <w:jc w:val="left"/>
        <w:rPr>
          <w:rFonts w:hint="default" w:ascii="Times New Roman" w:hAnsi="Times New Roman" w:eastAsia="方正仿宋_GBK" w:cs="Times New Roman"/>
          <w:kern w:val="0"/>
          <w:sz w:val="32"/>
          <w:szCs w:val="32"/>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3</w:t>
      </w:r>
      <w:r>
        <w:rPr>
          <w:rFonts w:eastAsia="仿宋_GB2312"/>
          <w:kern w:val="0"/>
          <w:sz w:val="30"/>
          <w:szCs w:val="30"/>
        </w:rPr>
        <w:t>个，采购预算资金</w:t>
      </w:r>
      <w:r>
        <w:rPr>
          <w:rFonts w:hint="eastAsia" w:eastAsia="仿宋_GB2312"/>
          <w:kern w:val="0"/>
          <w:sz w:val="30"/>
          <w:szCs w:val="30"/>
          <w:lang w:val="en-US" w:eastAsia="zh-CN"/>
        </w:rPr>
        <w:t>89134.12</w:t>
      </w:r>
      <w:r>
        <w:rPr>
          <w:rFonts w:eastAsia="仿宋_GB2312"/>
          <w:kern w:val="0"/>
          <w:sz w:val="30"/>
          <w:szCs w:val="30"/>
        </w:rPr>
        <w:t>万元。</w:t>
      </w:r>
      <w:r>
        <w:rPr>
          <w:rFonts w:hint="default" w:ascii="Times New Roman" w:hAnsi="Times New Roman" w:eastAsia="方正仿宋_GBK" w:cs="Times New Roman"/>
          <w:kern w:val="0"/>
          <w:sz w:val="32"/>
          <w:szCs w:val="32"/>
          <w:lang w:eastAsia="zh-CN"/>
        </w:rPr>
        <w:t>政府采购预算</w:t>
      </w:r>
      <w:r>
        <w:rPr>
          <w:rFonts w:hint="default" w:ascii="Times New Roman" w:hAnsi="Times New Roman" w:eastAsia="方正仿宋_GBK" w:cs="Times New Roman"/>
          <w:kern w:val="0"/>
          <w:sz w:val="32"/>
          <w:szCs w:val="32"/>
        </w:rPr>
        <w:t>主要用于</w:t>
      </w:r>
      <w:r>
        <w:rPr>
          <w:rFonts w:hint="eastAsia" w:eastAsia="仿宋_GB2312"/>
          <w:kern w:val="0"/>
          <w:sz w:val="30"/>
          <w:szCs w:val="30"/>
        </w:rPr>
        <w:t xml:space="preserve"> 盈江县自然村公路改造项目（一期）86624.78</w:t>
      </w:r>
      <w:r>
        <w:rPr>
          <w:rFonts w:hint="eastAsia" w:eastAsia="仿宋_GB2312"/>
          <w:kern w:val="0"/>
          <w:sz w:val="30"/>
          <w:szCs w:val="30"/>
          <w:lang w:eastAsia="zh-CN"/>
        </w:rPr>
        <w:t>万元、2018年农村公路养护费县级配套1591.03万元、盈八线水毁修复工程918.31万元。</w:t>
      </w:r>
      <w:r>
        <w:rPr>
          <w:rFonts w:hint="default" w:ascii="Times New Roman" w:hAnsi="Times New Roman" w:eastAsia="方正仿宋_GBK" w:cs="Times New Roman"/>
          <w:kern w:val="0"/>
          <w:sz w:val="32"/>
          <w:szCs w:val="32"/>
        </w:rPr>
        <w:t>。</w:t>
      </w:r>
    </w:p>
    <w:p>
      <w:pPr>
        <w:widowControl/>
        <w:numPr>
          <w:ilvl w:val="0"/>
          <w:numId w:val="0"/>
        </w:numPr>
        <w:snapToGrid w:val="0"/>
        <w:spacing w:before="100" w:after="100" w:line="360" w:lineRule="auto"/>
        <w:ind w:firstLine="600" w:firstLineChars="200"/>
        <w:jc w:val="left"/>
        <w:rPr>
          <w:rFonts w:hint="eastAsia" w:ascii="黑体" w:hAnsi="黑体" w:eastAsia="黑体"/>
          <w:kern w:val="0"/>
          <w:sz w:val="30"/>
          <w:szCs w:val="30"/>
        </w:rPr>
      </w:pPr>
      <w:r>
        <w:rPr>
          <w:rFonts w:hint="eastAsia" w:ascii="黑体" w:hAnsi="黑体" w:eastAsia="黑体"/>
          <w:kern w:val="0"/>
          <w:sz w:val="30"/>
          <w:szCs w:val="30"/>
          <w:lang w:eastAsia="zh-CN"/>
        </w:rPr>
        <w:t>八、</w:t>
      </w:r>
      <w:r>
        <w:rPr>
          <w:rFonts w:hint="eastAsia" w:ascii="黑体" w:hAnsi="黑体" w:eastAsia="黑体"/>
          <w:kern w:val="0"/>
          <w:sz w:val="30"/>
          <w:szCs w:val="30"/>
        </w:rPr>
        <w:t>预算收支增减变化情况说明</w:t>
      </w:r>
    </w:p>
    <w:p>
      <w:pPr>
        <w:widowControl/>
        <w:numPr>
          <w:ilvl w:val="0"/>
          <w:numId w:val="0"/>
        </w:numPr>
        <w:snapToGrid w:val="0"/>
        <w:spacing w:before="100" w:after="100" w:line="360" w:lineRule="auto"/>
        <w:ind w:firstLine="600"/>
        <w:jc w:val="left"/>
        <w:rPr>
          <w:rFonts w:hint="eastAsia" w:eastAsia="仿宋_GB2312"/>
          <w:kern w:val="0"/>
          <w:sz w:val="30"/>
          <w:szCs w:val="30"/>
          <w:lang w:eastAsia="zh-CN"/>
        </w:rPr>
      </w:pPr>
      <w:r>
        <w:rPr>
          <w:rFonts w:hint="eastAsia" w:eastAsia="仿宋_GB2312"/>
          <w:kern w:val="0"/>
          <w:sz w:val="30"/>
          <w:szCs w:val="30"/>
          <w:lang w:val="en-US" w:eastAsia="zh-CN"/>
        </w:rPr>
        <w:t>2018年部门预算收支较2017年减少90.</w:t>
      </w:r>
      <w:r>
        <w:rPr>
          <w:rFonts w:hint="eastAsia" w:eastAsia="仿宋_GB2312"/>
          <w:color w:val="000000" w:themeColor="text1"/>
          <w:kern w:val="0"/>
          <w:sz w:val="30"/>
          <w:szCs w:val="30"/>
          <w:lang w:val="en-US" w:eastAsia="zh-CN"/>
        </w:rPr>
        <w:t>26万元，下降14%，原因为退休费减少，人员调整至社保统发。其中（一）基本收入565.33万元较上年655.59万元减少90.26万元，下降14%， 基本支出565.33万元较上年655.59万元减少90.26万元，下降14%，（二）项目收支0万元</w:t>
      </w:r>
      <w:r>
        <w:rPr>
          <w:rFonts w:hint="eastAsia" w:eastAsia="仿宋_GB2312"/>
          <w:color w:val="000000" w:themeColor="text1"/>
          <w:kern w:val="0"/>
          <w:sz w:val="30"/>
          <w:szCs w:val="30"/>
          <w:lang w:eastAsia="zh-CN"/>
        </w:rPr>
        <w:t>比较上年</w:t>
      </w:r>
      <w:r>
        <w:rPr>
          <w:rFonts w:hint="eastAsia" w:eastAsia="仿宋_GB2312"/>
          <w:color w:val="000000" w:themeColor="text1"/>
          <w:kern w:val="0"/>
          <w:sz w:val="30"/>
          <w:szCs w:val="30"/>
          <w:lang w:val="en-US" w:eastAsia="zh-CN"/>
        </w:rPr>
        <w:t>0万元无变动。</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bookmarkStart w:id="0" w:name="_GoBack"/>
      <w:bookmarkEnd w:id="0"/>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keepNext w:val="0"/>
        <w:keepLines w:val="0"/>
        <w:widowControl/>
        <w:suppressLineNumbers w:val="0"/>
        <w:spacing w:before="0" w:beforeAutospacing="0" w:after="0" w:afterAutospacing="0" w:line="560" w:lineRule="exact"/>
        <w:ind w:left="0" w:right="0" w:firstLine="643" w:firstLineChars="200"/>
        <w:jc w:val="left"/>
      </w:pPr>
      <w:r>
        <w:rPr>
          <w:rFonts w:ascii="仿宋" w:hAnsi="仿宋" w:eastAsia="仿宋" w:cs="仿宋"/>
          <w:b/>
          <w:bCs w:val="0"/>
          <w:kern w:val="30"/>
          <w:sz w:val="32"/>
          <w:szCs w:val="32"/>
          <w:lang w:val="en-US" w:eastAsia="zh-CN" w:bidi="ar"/>
        </w:rPr>
        <w:t>1.</w:t>
      </w:r>
      <w:r>
        <w:rPr>
          <w:rFonts w:hint="eastAsia" w:ascii="仿宋" w:hAnsi="仿宋" w:eastAsia="仿宋" w:cs="仿宋"/>
          <w:b/>
          <w:bCs w:val="0"/>
          <w:kern w:val="30"/>
          <w:sz w:val="32"/>
          <w:szCs w:val="32"/>
          <w:lang w:val="en-US" w:eastAsia="zh-CN" w:bidi="ar"/>
        </w:rPr>
        <w:t>政府预算体系。</w:t>
      </w:r>
      <w:r>
        <w:rPr>
          <w:rFonts w:hint="eastAsia" w:ascii="仿宋" w:hAnsi="仿宋" w:eastAsia="仿宋" w:cs="仿宋"/>
          <w:kern w:val="30"/>
          <w:sz w:val="32"/>
          <w:szCs w:val="32"/>
          <w:lang w:val="en-US" w:eastAsia="zh-CN" w:bidi="ar"/>
        </w:rPr>
        <w:t>具体包括四大预算，即：一般公共预算、政府性基金预算、国有资本经营预算、社会保险基金预算。这四大预算组成完整的政府预算体系，全面反映政府收支总量、结构和管理活动，服务经济社会发展需要。</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 w:hAnsi="仿宋" w:eastAsia="仿宋" w:cs="仿宋"/>
          <w:b/>
          <w:bCs w:val="0"/>
          <w:kern w:val="30"/>
          <w:sz w:val="32"/>
          <w:szCs w:val="32"/>
          <w:lang w:val="en-US" w:eastAsia="zh-CN" w:bidi="ar"/>
        </w:rPr>
        <w:t>2.一般公共预算。</w:t>
      </w:r>
      <w:r>
        <w:rPr>
          <w:rFonts w:hint="eastAsia" w:ascii="仿宋" w:hAnsi="仿宋" w:eastAsia="仿宋" w:cs="仿宋"/>
          <w:kern w:val="30"/>
          <w:sz w:val="32"/>
          <w:szCs w:val="32"/>
          <w:lang w:val="en-US" w:eastAsia="zh-CN" w:bidi="ar"/>
        </w:rPr>
        <w:t>是指</w:t>
      </w:r>
      <w:r>
        <w:rPr>
          <w:rFonts w:hint="eastAsia" w:ascii="仿宋" w:hAnsi="仿宋" w:eastAsia="仿宋" w:cs="仿宋"/>
          <w:color w:val="333333"/>
          <w:kern w:val="0"/>
          <w:sz w:val="32"/>
          <w:szCs w:val="32"/>
          <w:lang w:val="en-US" w:eastAsia="zh-CN" w:bidi="ar"/>
        </w:rPr>
        <w:t>是对以税收为主体的财政收入，安排用于保障和改善民生、推动经济社会发展、维护国家安全、维持国家机构正常运转等方面的收支预算。</w:t>
      </w:r>
      <w:r>
        <w:rPr>
          <w:rFonts w:hint="eastAsia" w:ascii="仿宋" w:hAnsi="仿宋" w:eastAsia="仿宋" w:cs="仿宋"/>
          <w:kern w:val="30"/>
          <w:sz w:val="32"/>
          <w:szCs w:val="32"/>
          <w:lang w:val="en-US" w:eastAsia="zh-CN" w:bidi="ar"/>
        </w:rPr>
        <w:t>透过一般公共预算，可以使人们了解政府活动的范围和方向，也可以体现政府政策意图和目标。</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 w:hAnsi="仿宋" w:eastAsia="仿宋" w:cs="仿宋"/>
          <w:b/>
          <w:bCs w:val="0"/>
          <w:kern w:val="0"/>
          <w:sz w:val="32"/>
          <w:szCs w:val="32"/>
          <w:lang w:val="en-US" w:eastAsia="zh-CN" w:bidi="ar"/>
        </w:rPr>
        <w:t>3.</w:t>
      </w:r>
      <w:r>
        <w:rPr>
          <w:rFonts w:hint="eastAsia" w:ascii="仿宋" w:hAnsi="仿宋" w:eastAsia="仿宋" w:cs="仿宋"/>
          <w:b/>
          <w:bCs w:val="0"/>
          <w:kern w:val="30"/>
          <w:sz w:val="32"/>
          <w:szCs w:val="32"/>
          <w:lang w:val="en-US" w:eastAsia="zh-CN" w:bidi="ar"/>
        </w:rPr>
        <w:t>部门预算。</w:t>
      </w:r>
      <w:r>
        <w:rPr>
          <w:rFonts w:hint="eastAsia" w:ascii="仿宋" w:hAnsi="仿宋" w:eastAsia="仿宋" w:cs="仿宋"/>
          <w:kern w:val="30"/>
          <w:sz w:val="32"/>
          <w:szCs w:val="32"/>
          <w:lang w:val="en-US" w:eastAsia="zh-CN" w:bidi="ar"/>
        </w:rPr>
        <w:t>是指政府部门依据国家有关法律、法规、政策及其履行职能需要，编制的反映政府各部门所有收入和支出情况的年度财政收入预算。部门预算由本部门及其所属各单位预算组成，由基层预算单位开始编制，逐级上报、审核、汇总，经财政部门审核，提交立法机关依法批准后执行。</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 w:hAnsi="仿宋" w:eastAsia="仿宋" w:cs="仿宋"/>
          <w:b/>
          <w:bCs w:val="0"/>
          <w:kern w:val="30"/>
          <w:sz w:val="32"/>
          <w:szCs w:val="32"/>
          <w:lang w:val="en-US" w:eastAsia="zh-CN" w:bidi="ar"/>
        </w:rPr>
        <w:t>4.财政总收入。</w:t>
      </w:r>
      <w:r>
        <w:rPr>
          <w:rFonts w:hint="eastAsia" w:ascii="仿宋" w:hAnsi="仿宋" w:eastAsia="仿宋" w:cs="仿宋"/>
          <w:kern w:val="30"/>
          <w:sz w:val="32"/>
          <w:szCs w:val="32"/>
          <w:lang w:val="en-US" w:eastAsia="zh-CN" w:bidi="ar"/>
        </w:rPr>
        <w:t>即一般公共预算收入（原公共财政预算收入）与上划中央、省收入之和，反映本地区当年组织的财政收入总规模。</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 w:hAnsi="仿宋" w:eastAsia="仿宋" w:cs="仿宋"/>
          <w:b/>
          <w:bCs w:val="0"/>
          <w:kern w:val="30"/>
          <w:sz w:val="32"/>
          <w:szCs w:val="32"/>
          <w:lang w:val="en-US" w:eastAsia="zh-CN" w:bidi="ar"/>
        </w:rPr>
        <w:t>5.一般公共预算收入（原公共财政预算收入）。</w:t>
      </w:r>
      <w:r>
        <w:rPr>
          <w:rFonts w:hint="eastAsia" w:ascii="仿宋" w:hAnsi="仿宋" w:eastAsia="仿宋" w:cs="仿宋"/>
          <w:kern w:val="30"/>
          <w:sz w:val="32"/>
          <w:szCs w:val="32"/>
          <w:lang w:val="en-US" w:eastAsia="zh-CN" w:bidi="ar"/>
        </w:rPr>
        <w:t>是按照财政部规定的统一科目和口径统计的收入，包括地方固定收入以及中央与地方共享收入中地方所得部分。地方各级财政总收入减去上划中央、省收入即为一般公共预算收入。</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 w:hAnsi="仿宋" w:eastAsia="仿宋" w:cs="仿宋"/>
          <w:b/>
          <w:bCs w:val="0"/>
          <w:kern w:val="30"/>
          <w:sz w:val="32"/>
          <w:szCs w:val="32"/>
          <w:lang w:val="en-US" w:eastAsia="zh-CN" w:bidi="ar"/>
        </w:rPr>
        <w:t>6.一般公共预算支出（原公共财政预算支出）。</w:t>
      </w:r>
      <w:r>
        <w:rPr>
          <w:rFonts w:hint="eastAsia" w:ascii="仿宋" w:hAnsi="仿宋" w:eastAsia="仿宋" w:cs="仿宋"/>
          <w:kern w:val="30"/>
          <w:sz w:val="32"/>
          <w:szCs w:val="32"/>
          <w:lang w:val="en-US" w:eastAsia="zh-CN" w:bidi="ar"/>
        </w:rPr>
        <w:t>也即通俗所称财政支出，指政府对上级转移性收入、本级一般公共预算收入等有计划的分配和使用而形成的支出。</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 w:hAnsi="仿宋" w:eastAsia="仿宋" w:cs="仿宋"/>
          <w:b/>
          <w:bCs w:val="0"/>
          <w:kern w:val="30"/>
          <w:sz w:val="32"/>
          <w:szCs w:val="32"/>
          <w:lang w:val="en-US" w:eastAsia="zh-CN" w:bidi="ar"/>
        </w:rPr>
        <w:t>7.政府性基金支出。</w:t>
      </w:r>
      <w:r>
        <w:rPr>
          <w:rFonts w:hint="eastAsia" w:ascii="仿宋" w:hAnsi="仿宋" w:eastAsia="仿宋" w:cs="仿宋"/>
          <w:kern w:val="30"/>
          <w:sz w:val="32"/>
          <w:szCs w:val="32"/>
          <w:lang w:val="en-US" w:eastAsia="zh-CN" w:bidi="ar"/>
        </w:rPr>
        <w:t>是指政府用筹集的政府性基金收入安排的支出。</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 w:hAnsi="仿宋" w:eastAsia="仿宋" w:cs="仿宋"/>
          <w:b/>
          <w:bCs w:val="0"/>
          <w:kern w:val="30"/>
          <w:sz w:val="32"/>
          <w:szCs w:val="32"/>
          <w:lang w:val="en-US" w:eastAsia="zh-CN" w:bidi="ar"/>
        </w:rPr>
        <w:t>8.政府采购制度。</w:t>
      </w:r>
      <w:r>
        <w:rPr>
          <w:rFonts w:hint="eastAsia" w:ascii="仿宋" w:hAnsi="仿宋" w:eastAsia="仿宋" w:cs="仿宋"/>
          <w:kern w:val="30"/>
          <w:sz w:val="32"/>
          <w:szCs w:val="32"/>
          <w:lang w:val="en-US" w:eastAsia="zh-CN" w:bidi="ar"/>
        </w:rPr>
        <w:t>是指各级国家机关、事业单位和团体组织，使用财政性资金采购依法制定的集中采购目录以内的或者采购限额标准以上的货物、工程和服务的行为。</w:t>
      </w:r>
    </w:p>
    <w:p>
      <w:pPr>
        <w:keepNext w:val="0"/>
        <w:keepLines w:val="0"/>
        <w:widowControl/>
        <w:suppressLineNumbers w:val="0"/>
        <w:spacing w:before="0" w:beforeAutospacing="0" w:after="0" w:afterAutospacing="0" w:line="560" w:lineRule="exact"/>
        <w:ind w:left="0" w:right="0" w:firstLine="643" w:firstLineChars="200"/>
        <w:jc w:val="left"/>
      </w:pPr>
      <w:r>
        <w:rPr>
          <w:rFonts w:hint="eastAsia" w:ascii="仿宋" w:hAnsi="仿宋" w:eastAsia="仿宋" w:cs="仿宋"/>
          <w:b/>
          <w:bCs w:val="0"/>
          <w:kern w:val="30"/>
          <w:sz w:val="32"/>
          <w:szCs w:val="32"/>
          <w:lang w:val="en-US" w:eastAsia="zh-CN" w:bidi="ar"/>
        </w:rPr>
        <w:t>9.“三公”经费。</w:t>
      </w:r>
      <w:r>
        <w:rPr>
          <w:rFonts w:hint="eastAsia" w:ascii="仿宋" w:hAnsi="仿宋" w:eastAsia="仿宋" w:cs="仿宋"/>
          <w:kern w:val="30"/>
          <w:sz w:val="32"/>
          <w:szCs w:val="32"/>
          <w:lang w:val="en-US" w:eastAsia="zh-CN" w:bidi="ar"/>
        </w:rPr>
        <w:t>指公务接待费、因公出国（境）费用、公务用车购置及运行维护费。</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eastAsia="仿宋_GB2312"/>
          <w:kern w:val="0"/>
          <w:sz w:val="30"/>
          <w:szCs w:val="30"/>
        </w:rPr>
      </w:pPr>
      <w:r>
        <w:rPr>
          <w:rFonts w:hint="eastAsia" w:ascii="仿宋_GB2312" w:eastAsia="仿宋_GB2312"/>
          <w:sz w:val="30"/>
          <w:szCs w:val="30"/>
          <w:lang w:eastAsia="zh-CN"/>
        </w:rPr>
        <w:t>盈江县交通运输局</w:t>
      </w:r>
      <w:r>
        <w:rPr>
          <w:rFonts w:hint="eastAsia" w:ascii="仿宋_GB2312" w:eastAsia="仿宋_GB2312"/>
          <w:sz w:val="30"/>
          <w:szCs w:val="30"/>
          <w:lang w:val="en-US" w:eastAsia="zh-CN"/>
        </w:rPr>
        <w:t>2018</w:t>
      </w:r>
      <w:r>
        <w:rPr>
          <w:rFonts w:hint="default" w:ascii="仿宋_GB2312" w:eastAsia="仿宋_GB2312"/>
          <w:sz w:val="30"/>
          <w:szCs w:val="30"/>
        </w:rPr>
        <w:t>年</w:t>
      </w:r>
      <w:r>
        <w:rPr>
          <w:rFonts w:hint="default" w:ascii="仿宋_GB2312" w:eastAsia="仿宋_GB2312"/>
          <w:sz w:val="30"/>
          <w:szCs w:val="30"/>
          <w:lang w:eastAsia="zh-CN"/>
        </w:rPr>
        <w:t>部门预算</w:t>
      </w:r>
      <w:r>
        <w:rPr>
          <w:rFonts w:hint="default" w:ascii="仿宋_GB2312" w:eastAsia="仿宋_GB2312"/>
          <w:sz w:val="30"/>
          <w:szCs w:val="30"/>
        </w:rPr>
        <w:t>机关运行经费支出</w:t>
      </w:r>
      <w:r>
        <w:rPr>
          <w:rFonts w:hint="eastAsia" w:ascii="仿宋_GB2312" w:eastAsia="仿宋_GB2312"/>
          <w:sz w:val="30"/>
          <w:szCs w:val="30"/>
          <w:lang w:val="en-US" w:eastAsia="zh-CN"/>
        </w:rPr>
        <w:t>25</w:t>
      </w:r>
      <w:r>
        <w:rPr>
          <w:rFonts w:hint="default" w:ascii="仿宋_GB2312" w:eastAsia="仿宋_GB2312"/>
          <w:sz w:val="30"/>
          <w:szCs w:val="30"/>
        </w:rPr>
        <w:t>万元，与上年对比</w:t>
      </w:r>
      <w:r>
        <w:rPr>
          <w:rFonts w:hint="eastAsia" w:ascii="仿宋_GB2312" w:eastAsia="仿宋_GB2312"/>
          <w:sz w:val="30"/>
          <w:szCs w:val="30"/>
          <w:lang w:val="en-US" w:eastAsia="zh-CN"/>
        </w:rPr>
        <w:t>25.5万元</w:t>
      </w:r>
      <w:r>
        <w:rPr>
          <w:rFonts w:hint="default" w:ascii="仿宋_GB2312" w:eastAsia="仿宋_GB2312"/>
          <w:sz w:val="30"/>
          <w:szCs w:val="30"/>
          <w:lang w:eastAsia="zh-CN"/>
        </w:rPr>
        <w:t>下降</w:t>
      </w:r>
      <w:r>
        <w:rPr>
          <w:rFonts w:hint="eastAsia" w:ascii="仿宋_GB2312" w:eastAsia="仿宋_GB2312"/>
          <w:sz w:val="30"/>
          <w:szCs w:val="30"/>
          <w:lang w:val="en-US" w:eastAsia="zh-CN"/>
        </w:rPr>
        <w:t>0.5万元</w:t>
      </w:r>
      <w:r>
        <w:rPr>
          <w:rFonts w:hint="default" w:ascii="仿宋_GB2312" w:eastAsia="仿宋_GB2312"/>
          <w:sz w:val="30"/>
          <w:szCs w:val="30"/>
        </w:rPr>
        <w:t>,主要原因</w:t>
      </w:r>
      <w:r>
        <w:rPr>
          <w:rFonts w:hint="eastAsia" w:ascii="仿宋_GB2312" w:eastAsia="仿宋_GB2312"/>
          <w:sz w:val="30"/>
          <w:szCs w:val="30"/>
          <w:lang w:eastAsia="zh-CN"/>
        </w:rPr>
        <w:t>为在职人员调出</w:t>
      </w:r>
      <w:r>
        <w:rPr>
          <w:rFonts w:hint="eastAsia" w:ascii="仿宋_GB2312" w:eastAsia="仿宋_GB2312"/>
          <w:sz w:val="30"/>
          <w:szCs w:val="30"/>
          <w:lang w:val="en-US" w:eastAsia="zh-CN"/>
        </w:rPr>
        <w:t>1人</w:t>
      </w:r>
      <w:r>
        <w:rPr>
          <w:rFonts w:hint="default" w:ascii="仿宋_GB2312" w:eastAsia="仿宋_GB2312"/>
          <w:sz w:val="30"/>
          <w:szCs w:val="30"/>
        </w:rPr>
        <w:t>。部门机关运行经费主要用于</w:t>
      </w:r>
      <w:r>
        <w:rPr>
          <w:rFonts w:hint="eastAsia" w:eastAsia="仿宋_GB2312"/>
          <w:kern w:val="0"/>
          <w:sz w:val="30"/>
          <w:szCs w:val="30"/>
          <w:lang w:val="en-US" w:eastAsia="zh-CN"/>
        </w:rPr>
        <w:t>办公费6.04万元，水费0.3万元，电费1.9万元，差旅费4万元，邮电费1.8万元，印刷费0.8万元，会议费0.5万元，培训费0.5万元，公务接待费2.98万元，公务用车运行维护费6.18万元。</w:t>
      </w:r>
    </w:p>
    <w:p>
      <w:pPr>
        <w:spacing w:line="620" w:lineRule="exact"/>
        <w:ind w:firstLine="600" w:firstLineChars="200"/>
        <w:rPr>
          <w:rFonts w:hint="eastAsia" w:ascii="仿宋_GB2312" w:eastAsia="仿宋_GB2312"/>
          <w:sz w:val="30"/>
          <w:szCs w:val="30"/>
        </w:rPr>
      </w:pPr>
      <w:r>
        <w:rPr>
          <w:rFonts w:hint="eastAsia" w:ascii="仿宋_GB2312" w:eastAsia="仿宋_GB2312"/>
          <w:sz w:val="30"/>
          <w:szCs w:val="30"/>
        </w:rPr>
        <w:t>（三）国有资产占用情况</w:t>
      </w:r>
    </w:p>
    <w:p>
      <w:pPr>
        <w:spacing w:line="620" w:lineRule="exact"/>
        <w:ind w:firstLine="640"/>
        <w:rPr>
          <w:rFonts w:hint="eastAsia" w:ascii="仿宋_GB2312" w:eastAsia="仿宋_GB2312"/>
          <w:color w:val="000000" w:themeColor="text1"/>
          <w:sz w:val="30"/>
          <w:szCs w:val="30"/>
          <w:lang w:eastAsia="zh-CN"/>
        </w:rPr>
      </w:pPr>
      <w:r>
        <w:rPr>
          <w:rFonts w:hint="eastAsia" w:ascii="仿宋_GB2312" w:eastAsia="仿宋_GB2312"/>
          <w:color w:val="000000" w:themeColor="text1"/>
          <w:sz w:val="30"/>
          <w:szCs w:val="30"/>
        </w:rPr>
        <w:t>本单位截至上一年度12月31日占有使用国有资产</w:t>
      </w:r>
      <w:r>
        <w:rPr>
          <w:rFonts w:hint="eastAsia" w:ascii="仿宋_GB2312" w:eastAsia="仿宋_GB2312"/>
          <w:color w:val="000000" w:themeColor="text1"/>
          <w:sz w:val="30"/>
          <w:szCs w:val="30"/>
          <w:lang w:eastAsia="zh-CN"/>
        </w:rPr>
        <w:t>总额年初</w:t>
      </w:r>
      <w:r>
        <w:rPr>
          <w:rFonts w:hint="eastAsia" w:ascii="仿宋_GB2312" w:eastAsia="仿宋_GB2312"/>
          <w:color w:val="000000" w:themeColor="text1"/>
          <w:sz w:val="30"/>
          <w:szCs w:val="30"/>
          <w:lang w:val="en-US" w:eastAsia="zh-CN"/>
        </w:rPr>
        <w:t xml:space="preserve"> 数7715.98</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其中，流动资产</w:t>
      </w:r>
      <w:r>
        <w:rPr>
          <w:rFonts w:hint="eastAsia" w:ascii="仿宋_GB2312" w:eastAsia="仿宋_GB2312"/>
          <w:color w:val="000000" w:themeColor="text1"/>
          <w:sz w:val="30"/>
          <w:szCs w:val="30"/>
          <w:lang w:val="en-US" w:eastAsia="zh-CN"/>
        </w:rPr>
        <w:t>7662.82</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、固定资产</w:t>
      </w:r>
      <w:r>
        <w:rPr>
          <w:rFonts w:hint="eastAsia" w:ascii="仿宋_GB2312" w:eastAsia="仿宋_GB2312"/>
          <w:color w:val="000000" w:themeColor="text1"/>
          <w:sz w:val="30"/>
          <w:szCs w:val="30"/>
          <w:lang w:val="en-US" w:eastAsia="zh-CN"/>
        </w:rPr>
        <w:t>53.16</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、对外投资</w:t>
      </w:r>
      <w:r>
        <w:rPr>
          <w:rFonts w:hint="eastAsia" w:ascii="仿宋_GB2312" w:eastAsia="仿宋_GB2312"/>
          <w:color w:val="000000" w:themeColor="text1"/>
          <w:sz w:val="30"/>
          <w:szCs w:val="30"/>
          <w:lang w:eastAsia="zh-CN"/>
        </w:rPr>
        <w:t>（</w:t>
      </w:r>
      <w:r>
        <w:rPr>
          <w:rFonts w:hint="eastAsia" w:ascii="仿宋_GB2312" w:eastAsia="仿宋_GB2312"/>
          <w:color w:val="000000" w:themeColor="text1"/>
          <w:sz w:val="30"/>
          <w:szCs w:val="30"/>
        </w:rPr>
        <w:t>有价证券</w:t>
      </w:r>
      <w:r>
        <w:rPr>
          <w:rFonts w:hint="eastAsia" w:ascii="仿宋_GB2312" w:eastAsia="仿宋_GB2312"/>
          <w:color w:val="000000" w:themeColor="text1"/>
          <w:sz w:val="30"/>
          <w:szCs w:val="30"/>
          <w:lang w:eastAsia="zh-CN"/>
        </w:rPr>
        <w:t>）</w:t>
      </w:r>
      <w:r>
        <w:rPr>
          <w:rFonts w:hint="eastAsia" w:ascii="仿宋_GB2312" w:eastAsia="仿宋_GB2312"/>
          <w:color w:val="000000" w:themeColor="text1"/>
          <w:sz w:val="30"/>
          <w:szCs w:val="30"/>
          <w:lang w:val="en-US" w:eastAsia="zh-CN"/>
        </w:rPr>
        <w:t>0</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在建工程</w:t>
      </w:r>
      <w:r>
        <w:rPr>
          <w:rFonts w:hint="eastAsia" w:ascii="仿宋_GB2312" w:eastAsia="仿宋_GB2312"/>
          <w:color w:val="000000" w:themeColor="text1"/>
          <w:sz w:val="30"/>
          <w:szCs w:val="30"/>
          <w:lang w:val="en-US" w:eastAsia="zh-CN"/>
        </w:rPr>
        <w:t>0</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、无形资产</w:t>
      </w:r>
      <w:r>
        <w:rPr>
          <w:rFonts w:hint="eastAsia" w:ascii="仿宋_GB2312" w:eastAsia="仿宋_GB2312"/>
          <w:color w:val="000000" w:themeColor="text1"/>
          <w:sz w:val="30"/>
          <w:szCs w:val="30"/>
          <w:lang w:val="en-US" w:eastAsia="zh-CN"/>
        </w:rPr>
        <w:t>0</w:t>
      </w:r>
      <w:r>
        <w:rPr>
          <w:rFonts w:hint="eastAsia" w:ascii="仿宋_GB2312" w:eastAsia="仿宋_GB2312"/>
          <w:color w:val="000000" w:themeColor="text1"/>
          <w:sz w:val="30"/>
          <w:szCs w:val="30"/>
          <w:lang w:eastAsia="zh-CN"/>
        </w:rPr>
        <w:t>万元、其他资产</w:t>
      </w:r>
      <w:r>
        <w:rPr>
          <w:rFonts w:hint="eastAsia" w:ascii="仿宋_GB2312" w:eastAsia="仿宋_GB2312"/>
          <w:color w:val="000000" w:themeColor="text1"/>
          <w:sz w:val="30"/>
          <w:szCs w:val="30"/>
          <w:lang w:val="en-US" w:eastAsia="zh-CN"/>
        </w:rPr>
        <w:t>0</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lang w:val="en-US" w:eastAsia="zh-CN"/>
        </w:rPr>
        <w:t>年末数5543.11</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其中，流动资产</w:t>
      </w:r>
      <w:r>
        <w:rPr>
          <w:rFonts w:hint="eastAsia" w:ascii="仿宋_GB2312" w:eastAsia="仿宋_GB2312"/>
          <w:color w:val="000000" w:themeColor="text1"/>
          <w:sz w:val="30"/>
          <w:szCs w:val="30"/>
          <w:lang w:val="en-US" w:eastAsia="zh-CN"/>
        </w:rPr>
        <w:t>5488.02</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、固定资产</w:t>
      </w:r>
      <w:r>
        <w:rPr>
          <w:rFonts w:hint="eastAsia" w:ascii="仿宋_GB2312" w:eastAsia="仿宋_GB2312"/>
          <w:color w:val="000000" w:themeColor="text1"/>
          <w:sz w:val="30"/>
          <w:szCs w:val="30"/>
          <w:lang w:val="en-US" w:eastAsia="zh-CN"/>
        </w:rPr>
        <w:t>55.09</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、对外投资</w:t>
      </w:r>
      <w:r>
        <w:rPr>
          <w:rFonts w:hint="eastAsia" w:ascii="仿宋_GB2312" w:eastAsia="仿宋_GB2312"/>
          <w:color w:val="000000" w:themeColor="text1"/>
          <w:sz w:val="30"/>
          <w:szCs w:val="30"/>
          <w:lang w:eastAsia="zh-CN"/>
        </w:rPr>
        <w:t>（</w:t>
      </w:r>
      <w:r>
        <w:rPr>
          <w:rFonts w:hint="eastAsia" w:ascii="仿宋_GB2312" w:eastAsia="仿宋_GB2312"/>
          <w:color w:val="000000" w:themeColor="text1"/>
          <w:sz w:val="30"/>
          <w:szCs w:val="30"/>
        </w:rPr>
        <w:t>有价证券</w:t>
      </w:r>
      <w:r>
        <w:rPr>
          <w:rFonts w:hint="eastAsia" w:ascii="仿宋_GB2312" w:eastAsia="仿宋_GB2312"/>
          <w:color w:val="000000" w:themeColor="text1"/>
          <w:sz w:val="30"/>
          <w:szCs w:val="30"/>
          <w:lang w:eastAsia="zh-CN"/>
        </w:rPr>
        <w:t>）</w:t>
      </w:r>
      <w:r>
        <w:rPr>
          <w:rFonts w:hint="eastAsia" w:ascii="仿宋_GB2312" w:eastAsia="仿宋_GB2312"/>
          <w:color w:val="000000" w:themeColor="text1"/>
          <w:sz w:val="30"/>
          <w:szCs w:val="30"/>
          <w:lang w:val="en-US" w:eastAsia="zh-CN"/>
        </w:rPr>
        <w:t>0</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在建工程</w:t>
      </w:r>
      <w:r>
        <w:rPr>
          <w:rFonts w:hint="eastAsia" w:ascii="仿宋_GB2312" w:eastAsia="仿宋_GB2312"/>
          <w:color w:val="000000" w:themeColor="text1"/>
          <w:sz w:val="30"/>
          <w:szCs w:val="30"/>
          <w:lang w:val="en-US" w:eastAsia="zh-CN"/>
        </w:rPr>
        <w:t>0</w:t>
      </w:r>
      <w:r>
        <w:rPr>
          <w:rFonts w:hint="eastAsia" w:ascii="仿宋_GB2312" w:eastAsia="仿宋_GB2312"/>
          <w:color w:val="000000" w:themeColor="text1"/>
          <w:sz w:val="30"/>
          <w:szCs w:val="30"/>
          <w:lang w:eastAsia="zh-CN"/>
        </w:rPr>
        <w:t>万元</w:t>
      </w:r>
      <w:r>
        <w:rPr>
          <w:rFonts w:hint="eastAsia" w:ascii="仿宋_GB2312" w:eastAsia="仿宋_GB2312"/>
          <w:color w:val="000000" w:themeColor="text1"/>
          <w:sz w:val="30"/>
          <w:szCs w:val="30"/>
        </w:rPr>
        <w:t>、无形资产</w:t>
      </w:r>
      <w:r>
        <w:rPr>
          <w:rFonts w:hint="eastAsia" w:ascii="仿宋_GB2312" w:eastAsia="仿宋_GB2312"/>
          <w:color w:val="000000" w:themeColor="text1"/>
          <w:sz w:val="30"/>
          <w:szCs w:val="30"/>
          <w:lang w:val="en-US" w:eastAsia="zh-CN"/>
        </w:rPr>
        <w:t>0</w:t>
      </w:r>
      <w:r>
        <w:rPr>
          <w:rFonts w:hint="eastAsia" w:ascii="仿宋_GB2312" w:eastAsia="仿宋_GB2312"/>
          <w:color w:val="000000" w:themeColor="text1"/>
          <w:sz w:val="30"/>
          <w:szCs w:val="30"/>
          <w:lang w:eastAsia="zh-CN"/>
        </w:rPr>
        <w:t>万元、其他资产</w:t>
      </w:r>
      <w:r>
        <w:rPr>
          <w:rFonts w:hint="eastAsia" w:ascii="仿宋_GB2312" w:eastAsia="仿宋_GB2312"/>
          <w:color w:val="000000" w:themeColor="text1"/>
          <w:sz w:val="30"/>
          <w:szCs w:val="30"/>
          <w:lang w:val="en-US" w:eastAsia="zh-CN"/>
        </w:rPr>
        <w:t>0</w:t>
      </w:r>
      <w:r>
        <w:rPr>
          <w:rFonts w:hint="eastAsia" w:ascii="仿宋_GB2312" w:eastAsia="仿宋_GB2312"/>
          <w:color w:val="000000" w:themeColor="text1"/>
          <w:sz w:val="30"/>
          <w:szCs w:val="30"/>
          <w:lang w:eastAsia="zh-CN"/>
        </w:rPr>
        <w:t>万元。</w:t>
      </w:r>
    </w:p>
    <w:p>
      <w:pPr>
        <w:spacing w:line="620" w:lineRule="exact"/>
        <w:ind w:firstLine="640"/>
        <w:rPr>
          <w:rFonts w:hint="eastAsia" w:ascii="仿宋_GB2312" w:eastAsia="仿宋_GB2312"/>
          <w:sz w:val="30"/>
          <w:szCs w:val="30"/>
        </w:rPr>
      </w:pPr>
      <w:r>
        <w:rPr>
          <w:rFonts w:hint="eastAsia" w:ascii="仿宋_GB2312" w:eastAsia="仿宋_GB2312"/>
          <w:sz w:val="30"/>
          <w:szCs w:val="30"/>
        </w:rPr>
        <w:t>主要实物资产数据</w:t>
      </w:r>
      <w:r>
        <w:rPr>
          <w:rFonts w:hint="eastAsia" w:ascii="仿宋_GB2312" w:eastAsia="仿宋_GB2312"/>
          <w:sz w:val="30"/>
          <w:szCs w:val="30"/>
          <w:lang w:eastAsia="zh-CN"/>
        </w:rPr>
        <w:t>情况：车辆</w:t>
      </w:r>
      <w:r>
        <w:rPr>
          <w:rFonts w:hint="eastAsia" w:ascii="仿宋_GB2312" w:eastAsia="仿宋_GB2312"/>
          <w:sz w:val="30"/>
          <w:szCs w:val="30"/>
          <w:lang w:val="en-US" w:eastAsia="zh-CN"/>
        </w:rPr>
        <w:t>37.21万元，办公设备17.88万元</w:t>
      </w:r>
      <w:r>
        <w:rPr>
          <w:rFonts w:hint="eastAsia" w:ascii="仿宋_GB2312" w:eastAsia="仿宋_GB2312"/>
          <w:sz w:val="30"/>
          <w:szCs w:val="30"/>
          <w:lang w:eastAsia="zh-CN"/>
        </w:rPr>
        <w:t>。</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公文小标宋简">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等线简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30271"/>
    <w:multiLevelType w:val="singleLevel"/>
    <w:tmpl w:val="5A730271"/>
    <w:lvl w:ilvl="0" w:tentative="0">
      <w:start w:val="2"/>
      <w:numFmt w:val="chineseCounting"/>
      <w:suff w:val="nothing"/>
      <w:lvlText w:val="（%1）"/>
      <w:lvlJc w:val="left"/>
    </w:lvl>
  </w:abstractNum>
  <w:abstractNum w:abstractNumId="1">
    <w:nsid w:val="5A8FBFD7"/>
    <w:multiLevelType w:val="singleLevel"/>
    <w:tmpl w:val="5A8FBFD7"/>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F4B248E"/>
    <w:rsid w:val="22FB1274"/>
    <w:rsid w:val="2521490F"/>
    <w:rsid w:val="35620CD2"/>
    <w:rsid w:val="3E121064"/>
    <w:rsid w:val="475D31D1"/>
    <w:rsid w:val="486E3177"/>
    <w:rsid w:val="49096AFA"/>
    <w:rsid w:val="53AD5E4C"/>
    <w:rsid w:val="5B647D94"/>
    <w:rsid w:val="5D2F27AE"/>
    <w:rsid w:val="642C6F16"/>
    <w:rsid w:val="74E8650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FollowedHyperlink"/>
    <w:basedOn w:val="7"/>
    <w:unhideWhenUsed/>
    <w:qFormat/>
    <w:uiPriority w:val="0"/>
    <w:rPr>
      <w:color w:val="000000"/>
      <w:u w:val="none"/>
    </w:rPr>
  </w:style>
  <w:style w:type="character" w:styleId="10">
    <w:name w:val="HTML Definition"/>
    <w:basedOn w:val="7"/>
    <w:unhideWhenUsed/>
    <w:qFormat/>
    <w:uiPriority w:val="0"/>
    <w:rPr>
      <w:i/>
    </w:rPr>
  </w:style>
  <w:style w:type="character" w:styleId="11">
    <w:name w:val="Hyperlink"/>
    <w:basedOn w:val="7"/>
    <w:unhideWhenUsed/>
    <w:qFormat/>
    <w:uiPriority w:val="0"/>
    <w:rPr>
      <w:color w:val="000000"/>
      <w:u w:val="none"/>
    </w:rPr>
  </w:style>
  <w:style w:type="character" w:styleId="12">
    <w:name w:val="HTML Code"/>
    <w:basedOn w:val="7"/>
    <w:unhideWhenUsed/>
    <w:qFormat/>
    <w:uiPriority w:val="0"/>
    <w:rPr>
      <w:rFonts w:hint="default" w:ascii="Menlo" w:hAnsi="Menlo" w:eastAsia="Menlo" w:cs="Menlo"/>
      <w:color w:val="C7254E"/>
      <w:sz w:val="21"/>
      <w:szCs w:val="21"/>
      <w:shd w:val="clear" w:fill="F9F2F4"/>
    </w:rPr>
  </w:style>
  <w:style w:type="character" w:styleId="13">
    <w:name w:val="annotation reference"/>
    <w:semiHidden/>
    <w:qFormat/>
    <w:uiPriority w:val="0"/>
    <w:rPr>
      <w:sz w:val="21"/>
      <w:szCs w:val="21"/>
    </w:rPr>
  </w:style>
  <w:style w:type="character" w:styleId="14">
    <w:name w:val="HTML Keyboard"/>
    <w:basedOn w:val="7"/>
    <w:unhideWhenUsed/>
    <w:qFormat/>
    <w:uiPriority w:val="0"/>
    <w:rPr>
      <w:rFonts w:ascii="Menlo" w:hAnsi="Menlo" w:eastAsia="Menlo" w:cs="Menlo"/>
      <w:color w:val="FFFFFF"/>
      <w:sz w:val="21"/>
      <w:szCs w:val="21"/>
      <w:shd w:val="clear" w:fill="475059"/>
    </w:rPr>
  </w:style>
  <w:style w:type="character" w:styleId="15">
    <w:name w:val="HTML Sample"/>
    <w:basedOn w:val="7"/>
    <w:unhideWhenUsed/>
    <w:qFormat/>
    <w:uiPriority w:val="0"/>
    <w:rPr>
      <w:rFonts w:hint="default" w:ascii="Menlo" w:hAnsi="Menlo" w:eastAsia="Menlo" w:cs="Menlo"/>
      <w:sz w:val="21"/>
      <w:szCs w:val="21"/>
      <w:shd w:val="clear" w:fill="D9534F"/>
    </w:rPr>
  </w:style>
  <w:style w:type="paragraph" w:customStyle="1" w:styleId="17">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first-child"/>
    <w:basedOn w:val="7"/>
    <w:qFormat/>
    <w:uiPriority w:val="0"/>
  </w:style>
  <w:style w:type="character" w:customStyle="1" w:styleId="19">
    <w:name w:val="layui-layer-tabnow"/>
    <w:basedOn w:val="7"/>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post</cp:lastModifiedBy>
  <cp:lastPrinted>2018-01-31T03:32:00Z</cp:lastPrinted>
  <dcterms:modified xsi:type="dcterms:W3CDTF">2018-02-23T08:06:05Z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