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default" w:ascii="宋体" w:hAnsi="宋体" w:eastAsia="方正小标宋_GBK" w:cs="Times New Roman"/>
          <w:i w:val="0"/>
          <w:color w:val="000000"/>
          <w:kern w:val="0"/>
          <w:sz w:val="40"/>
          <w:szCs w:val="40"/>
          <w:highlight w:val="none"/>
          <w:u w:val="none"/>
          <w:shd w:val="clear" w:color="auto" w:fill="auto"/>
          <w:lang w:val="en-US" w:eastAsia="zh-CN" w:bidi="ar"/>
        </w:rPr>
      </w:pPr>
      <w:r>
        <w:rPr>
          <w:rFonts w:hint="eastAsia" w:ascii="宋体" w:hAnsi="宋体" w:eastAsia="方正小标宋_GBK" w:cs="Times New Roman"/>
          <w:i w:val="0"/>
          <w:color w:val="000000"/>
          <w:kern w:val="0"/>
          <w:sz w:val="40"/>
          <w:szCs w:val="40"/>
          <w:highlight w:val="none"/>
          <w:u w:val="none"/>
          <w:shd w:val="clear" w:color="auto" w:fill="auto"/>
          <w:lang w:val="en-US" w:eastAsia="zh-CN" w:bidi="ar"/>
        </w:rPr>
        <w:t>盈江县交通运输局</w:t>
      </w:r>
      <w:r>
        <w:rPr>
          <w:rFonts w:hint="default" w:ascii="宋体" w:hAnsi="宋体" w:eastAsia="方正小标宋_GBK" w:cs="Times New Roman"/>
          <w:i w:val="0"/>
          <w:color w:val="000000"/>
          <w:kern w:val="0"/>
          <w:sz w:val="40"/>
          <w:szCs w:val="40"/>
          <w:highlight w:val="none"/>
          <w:u w:val="none"/>
          <w:shd w:val="clear" w:color="auto" w:fill="auto"/>
          <w:lang w:val="en-US" w:eastAsia="zh-CN" w:bidi="ar"/>
        </w:rPr>
        <w:t>行政许可事项清单（2023年版）</w:t>
      </w:r>
    </w:p>
    <w:p>
      <w:pPr>
        <w:pStyle w:val="4"/>
        <w:keepNext w:val="0"/>
        <w:keepLines w:val="0"/>
        <w:pageBreakBefore w:val="0"/>
        <w:widowControl w:val="0"/>
        <w:kinsoku/>
        <w:wordWrap/>
        <w:overflowPunct/>
        <w:topLinePunct w:val="0"/>
        <w:autoSpaceDE/>
        <w:autoSpaceDN/>
        <w:bidi w:val="0"/>
        <w:adjustRightInd/>
        <w:snapToGrid/>
        <w:spacing w:line="200" w:lineRule="exact"/>
        <w:ind w:left="0" w:leftChars="0"/>
        <w:textAlignment w:val="auto"/>
        <w:outlineLvl w:val="9"/>
        <w:rPr>
          <w:rFonts w:hint="default" w:ascii="宋体" w:hAnsi="宋体" w:eastAsia="方正小标宋_GBK" w:cs="Times New Roman"/>
          <w:i w:val="0"/>
          <w:color w:val="000000"/>
          <w:kern w:val="0"/>
          <w:sz w:val="40"/>
          <w:szCs w:val="40"/>
          <w:highlight w:val="none"/>
          <w:u w:val="none"/>
          <w:shd w:val="clear" w:color="auto" w:fill="auto"/>
          <w:lang w:val="en-US" w:eastAsia="zh-CN" w:bidi="ar"/>
        </w:rPr>
      </w:pPr>
    </w:p>
    <w:p>
      <w:pPr>
        <w:rPr>
          <w:rFonts w:hint="default" w:ascii="宋体" w:hAnsi="宋体" w:cs="Times New Roman"/>
          <w:color w:val="000000"/>
          <w:u w:val="none"/>
          <w:lang w:val="en-US" w:eastAsia="zh-CN"/>
        </w:rPr>
      </w:pPr>
      <w:r>
        <w:rPr>
          <w:rFonts w:hint="default" w:ascii="宋体" w:hAnsi="宋体" w:eastAsia="黑体" w:cs="Times New Roman"/>
          <w:i w:val="0"/>
          <w:color w:val="000000"/>
          <w:kern w:val="0"/>
          <w:sz w:val="28"/>
          <w:szCs w:val="28"/>
          <w:highlight w:val="none"/>
          <w:u w:val="none"/>
          <w:shd w:val="clear" w:color="auto" w:fill="auto"/>
          <w:lang w:val="en-US" w:eastAsia="zh-CN" w:bidi="ar"/>
        </w:rPr>
        <w:t>一、承接法律、行政法规、国务院决定设定的在云南省实施的行政许可事项（共</w:t>
      </w:r>
      <w:r>
        <w:rPr>
          <w:rFonts w:hint="eastAsia" w:ascii="宋体" w:hAnsi="宋体" w:eastAsia="黑体" w:cs="Times New Roman"/>
          <w:i w:val="0"/>
          <w:color w:val="000000"/>
          <w:kern w:val="0"/>
          <w:sz w:val="28"/>
          <w:szCs w:val="28"/>
          <w:highlight w:val="none"/>
          <w:u w:val="none"/>
          <w:shd w:val="clear" w:color="auto" w:fill="auto"/>
          <w:lang w:val="en-US" w:eastAsia="zh-CN" w:bidi="ar"/>
        </w:rPr>
        <w:t>18</w:t>
      </w:r>
      <w:r>
        <w:rPr>
          <w:rFonts w:hint="default" w:ascii="宋体" w:hAnsi="宋体" w:eastAsia="黑体" w:cs="Times New Roman"/>
          <w:i w:val="0"/>
          <w:color w:val="000000"/>
          <w:kern w:val="0"/>
          <w:sz w:val="28"/>
          <w:szCs w:val="28"/>
          <w:highlight w:val="none"/>
          <w:u w:val="none"/>
          <w:shd w:val="clear" w:color="auto" w:fill="auto"/>
          <w:lang w:val="en-US" w:eastAsia="zh-CN" w:bidi="ar"/>
        </w:rPr>
        <w:t>项）</w:t>
      </w:r>
    </w:p>
    <w:tbl>
      <w:tblPr>
        <w:tblStyle w:val="7"/>
        <w:tblW w:w="15174"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28" w:type="dxa"/>
          <w:left w:w="28" w:type="dxa"/>
          <w:bottom w:w="28" w:type="dxa"/>
          <w:right w:w="28" w:type="dxa"/>
        </w:tblCellMar>
      </w:tblPr>
      <w:tblGrid>
        <w:gridCol w:w="564"/>
        <w:gridCol w:w="1314"/>
        <w:gridCol w:w="1672"/>
        <w:gridCol w:w="1770"/>
        <w:gridCol w:w="5363"/>
        <w:gridCol w:w="449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487" w:hRule="atLeast"/>
          <w:tblHeader/>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序号</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主管部门</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pacing w:val="-6"/>
                <w:w w:val="100"/>
                <w:sz w:val="24"/>
                <w:szCs w:val="24"/>
                <w:highlight w:val="none"/>
                <w:u w:val="none"/>
                <w:shd w:val="clear" w:color="auto" w:fill="auto"/>
              </w:rPr>
            </w:pPr>
            <w:r>
              <w:rPr>
                <w:rFonts w:hint="default" w:ascii="宋体" w:hAnsi="宋体" w:eastAsia="黑体" w:cs="Times New Roman"/>
                <w:i w:val="0"/>
                <w:color w:val="000000"/>
                <w:spacing w:val="0"/>
                <w:w w:val="100"/>
                <w:kern w:val="0"/>
                <w:sz w:val="24"/>
                <w:szCs w:val="24"/>
                <w:highlight w:val="none"/>
                <w:u w:val="none"/>
                <w:shd w:val="clear" w:color="auto" w:fill="auto"/>
                <w:lang w:val="en-US" w:eastAsia="zh-CN" w:bidi="ar"/>
              </w:rPr>
              <w:t>事项名称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pacing w:val="-6"/>
                <w:w w:val="100"/>
                <w:sz w:val="24"/>
                <w:szCs w:val="24"/>
                <w:highlight w:val="none"/>
                <w:u w:val="none"/>
                <w:shd w:val="clear" w:color="auto" w:fill="auto"/>
              </w:rPr>
            </w:pPr>
            <w:r>
              <w:rPr>
                <w:rFonts w:hint="default" w:ascii="宋体" w:hAnsi="宋体" w:eastAsia="黑体" w:cs="Times New Roman"/>
                <w:i w:val="0"/>
                <w:color w:val="000000"/>
                <w:spacing w:val="0"/>
                <w:w w:val="100"/>
                <w:kern w:val="0"/>
                <w:sz w:val="24"/>
                <w:szCs w:val="24"/>
                <w:highlight w:val="none"/>
                <w:u w:val="none"/>
                <w:shd w:val="clear" w:color="auto" w:fill="auto"/>
                <w:lang w:val="en-US" w:eastAsia="zh-CN" w:bidi="ar"/>
              </w:rPr>
              <w:t>实施机关</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w w:val="100"/>
                <w:sz w:val="24"/>
                <w:szCs w:val="24"/>
                <w:highlight w:val="none"/>
                <w:u w:val="none"/>
                <w:shd w:val="clear" w:color="auto" w:fill="auto"/>
              </w:rPr>
            </w:pPr>
            <w:r>
              <w:rPr>
                <w:rFonts w:hint="default" w:ascii="宋体" w:hAnsi="宋体" w:eastAsia="黑体" w:cs="Times New Roman"/>
                <w:i w:val="0"/>
                <w:color w:val="000000"/>
                <w:w w:val="100"/>
                <w:kern w:val="0"/>
                <w:sz w:val="24"/>
                <w:szCs w:val="24"/>
                <w:highlight w:val="none"/>
                <w:u w:val="none"/>
                <w:shd w:val="clear" w:color="auto" w:fill="auto"/>
                <w:lang w:val="en-US" w:eastAsia="zh-CN" w:bidi="ar"/>
              </w:rPr>
              <w:t>设定和实施依据</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公路建设项目设计文件审批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《建设工程质量管理条例》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《建设工程勘察设计管理条例》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《农村公路建设管理办法》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公路建设项目施工许可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《公路建设市场管理办法》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《收费公路管理条例》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《公路工程</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竣</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（交）工验收办法》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《农村公路建设管理办法》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《云南省公路路政条例》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公路超限运输许可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《公路安全保护条例》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eastAsia="zh-CN"/>
              </w:rPr>
            </w:pPr>
            <w:r>
              <w:rPr>
                <w:rFonts w:hint="default" w:ascii="宋体" w:hAnsi="宋体" w:eastAsia="方正仿宋_GBK" w:cs="Times New Roman"/>
                <w:color w:val="000000"/>
                <w:kern w:val="0"/>
                <w:sz w:val="24"/>
                <w:szCs w:val="24"/>
                <w:highlight w:val="none"/>
                <w:u w:val="none"/>
                <w:shd w:val="clear" w:color="auto" w:fill="auto"/>
                <w:lang w:eastAsia="zh-CN" w:bidi="ar"/>
              </w:rPr>
              <w:t>《超限运输车辆行驶公路管理规定》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涉路施工许可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《公路安全保护条例》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《路政管理规定》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更新采伐护路林审批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《公路安全保护条例》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《路政管理规定》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《中华人民共和国道路运输条例》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《道路旅客运输及客运站管理规定》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道路旅客运输站经营许可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《中华人民共和国道路运输条例》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《道路旅客运输及客运站管理规定》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道路货物运输经营许可（除使用4500千克及以下普通</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货运车辆从事普通货运经营外）</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《中华人民共和国道路运输条例》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《道路货物运输及站场管理规定》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出租汽车经营许可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2"/>
                <w:rFonts w:ascii="宋体" w:hAnsi="宋体" w:cs="Times New Roman"/>
                <w:color w:val="000000"/>
                <w:w w:val="10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Style w:val="14"/>
                <w:rFonts w:hint="default" w:ascii="宋体" w:hAnsi="宋体" w:cs="Times New Roman"/>
                <w:color w:val="000000"/>
                <w:w w:val="100"/>
                <w:sz w:val="24"/>
                <w:szCs w:val="24"/>
                <w:highlight w:val="none"/>
                <w:u w:val="none"/>
                <w:shd w:val="clear" w:color="auto" w:fill="auto"/>
                <w:lang w:val="en-US" w:eastAsia="zh-CN" w:bidi="ar"/>
              </w:rPr>
              <w:t>《网络预约出租汽车经营服务管理暂行办法》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出租汽车车辆运营证核发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《网络预约出租汽车经营服务管理暂行办法》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港口岸线使用审批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《港口岸线使用审批管理办法》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《云南省人民政府关于调整一批行政许可事项的决定》（云政发〔2018〕28号）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水运建设项目设计文件审批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《中华人民共和国航道管理条例》</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《建设工程质量管理条例》</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《建设工程勘察设计管理条例》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eastAsia="zh-CN" w:bidi="ar"/>
              </w:rPr>
            </w:pPr>
            <w:r>
              <w:rPr>
                <w:rFonts w:hint="default" w:ascii="宋体" w:hAnsi="宋体" w:eastAsia="方正仿宋_GBK" w:cs="Times New Roman"/>
                <w:color w:val="000000"/>
                <w:kern w:val="0"/>
                <w:sz w:val="24"/>
                <w:szCs w:val="24"/>
                <w:highlight w:val="none"/>
                <w:u w:val="none"/>
                <w:shd w:val="clear" w:color="auto" w:fill="auto"/>
                <w:lang w:eastAsia="zh-CN" w:bidi="ar"/>
              </w:rPr>
              <w:t>《港口工程建设管理规定》</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lang w:eastAsia="zh-CN"/>
              </w:rPr>
            </w:pPr>
            <w:r>
              <w:rPr>
                <w:rFonts w:hint="default" w:ascii="宋体" w:hAnsi="宋体" w:eastAsia="方正仿宋_GBK" w:cs="Times New Roman"/>
                <w:color w:val="000000"/>
                <w:kern w:val="0"/>
                <w:sz w:val="24"/>
                <w:szCs w:val="24"/>
                <w:highlight w:val="none"/>
                <w:u w:val="none"/>
                <w:shd w:val="clear" w:color="auto" w:fill="auto"/>
                <w:lang w:eastAsia="zh-CN" w:bidi="ar"/>
              </w:rPr>
              <w:t>《航道工程建设管理规定》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航道通航条件影响评价审核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《航道通航条件影响评价审核管理办法》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省级管理航道的通航条件影响评价审核省级权限下放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水运工程建设项目竣工验收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《港口工程建设管理规定》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《航道工程建设管理规定》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《云南省人民政府关于简政放权取消和调整部分省级行政审批项目的决定》（云政发〔2013〕44号）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《云南省人民政府行政审批制度改革办公室关于取消和下放一批行政许可事项的通知》（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审改办发〔2017〕1号）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在内河通航水域载运、拖带超重、超长、超高、超宽、半</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潜</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物体或者拖放竹、木等物体许可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《中华人民共和国内河交通安全管理条例》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设置或者撤销内河渡口审批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《中华人民共和国内河交通安全管理条例》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2"/>
                <w:szCs w:val="22"/>
                <w:u w:val="none"/>
                <w:lang w:val="en-US" w:eastAsia="zh-CN" w:bidi="ar"/>
              </w:rPr>
            </w:pPr>
            <w:r>
              <w:rPr>
                <w:rFonts w:hint="eastAsia" w:ascii="宋体" w:hAnsi="宋体" w:eastAsia="方正仿宋_GBK" w:cs="Times New Roman"/>
                <w:i w:val="0"/>
                <w:color w:val="000000"/>
                <w:kern w:val="0"/>
                <w:sz w:val="22"/>
                <w:szCs w:val="22"/>
                <w:u w:val="none"/>
                <w:lang w:val="en-US" w:eastAsia="zh-CN" w:bidi="ar"/>
              </w:rPr>
              <w:t>18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占用国防交通控制范围土地审批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《中华人民共和国国防交通法》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《国防交通条例》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bl>
    <w:p>
      <w:pPr>
        <w:tabs>
          <w:tab w:val="left" w:pos="1744"/>
        </w:tabs>
        <w:bidi w:val="0"/>
        <w:jc w:val="left"/>
        <w:rPr>
          <w:rFonts w:hint="eastAsia"/>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eastAsia="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DY1NWVjOWE2ZWRlODE5ZTU5OTJjNmUxOGRmZDYifQ=="/>
  </w:docVars>
  <w:rsids>
    <w:rsidRoot w:val="6334424B"/>
    <w:rsid w:val="06A25961"/>
    <w:rsid w:val="0D7B221A"/>
    <w:rsid w:val="119E73CA"/>
    <w:rsid w:val="11EB2117"/>
    <w:rsid w:val="184125FC"/>
    <w:rsid w:val="1B290952"/>
    <w:rsid w:val="22261263"/>
    <w:rsid w:val="2BAF2522"/>
    <w:rsid w:val="2D1D1974"/>
    <w:rsid w:val="2EE86129"/>
    <w:rsid w:val="36EF648C"/>
    <w:rsid w:val="376637C1"/>
    <w:rsid w:val="38E25B09"/>
    <w:rsid w:val="3ADD75EF"/>
    <w:rsid w:val="3D8052C7"/>
    <w:rsid w:val="3D8C661A"/>
    <w:rsid w:val="3FC82BEA"/>
    <w:rsid w:val="409A3187"/>
    <w:rsid w:val="493B5B7D"/>
    <w:rsid w:val="53EF4791"/>
    <w:rsid w:val="55BB2804"/>
    <w:rsid w:val="56EC051C"/>
    <w:rsid w:val="5E8417F4"/>
    <w:rsid w:val="61BC5418"/>
    <w:rsid w:val="633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sz w:val="24"/>
    </w:rPr>
  </w:style>
  <w:style w:type="paragraph" w:styleId="3">
    <w:name w:val="toc 5"/>
    <w:basedOn w:val="1"/>
    <w:next w:val="1"/>
    <w:qFormat/>
    <w:uiPriority w:val="0"/>
    <w:pPr>
      <w:ind w:left="1680"/>
    </w:pPr>
  </w:style>
  <w:style w:type="paragraph" w:styleId="4">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 w:type="character" w:customStyle="1" w:styleId="11">
    <w:name w:val="NormalCharacter"/>
    <w:semiHidden/>
    <w:qFormat/>
    <w:uiPriority w:val="0"/>
    <w:rPr>
      <w:rFonts w:ascii="宋体" w:hAnsi="宋体" w:eastAsia="方正仿宋_GBK"/>
      <w:kern w:val="2"/>
      <w:sz w:val="31"/>
      <w:szCs w:val="24"/>
      <w:lang w:val="en-US" w:eastAsia="zh-CN" w:bidi="ar-SA"/>
    </w:rPr>
  </w:style>
  <w:style w:type="character" w:customStyle="1" w:styleId="12">
    <w:name w:val="font61"/>
    <w:basedOn w:val="8"/>
    <w:qFormat/>
    <w:uiPriority w:val="0"/>
    <w:rPr>
      <w:rFonts w:ascii="方正黑体_GBK" w:hAnsi="方正黑体_GBK" w:eastAsia="方正黑体_GBK" w:cs="方正黑体_GBK"/>
      <w:color w:val="000000"/>
      <w:sz w:val="22"/>
      <w:szCs w:val="22"/>
      <w:u w:val="none"/>
    </w:rPr>
  </w:style>
  <w:style w:type="paragraph" w:customStyle="1" w:styleId="13">
    <w:name w:val=" Char Char Char Char Char Char Char Char"/>
    <w:basedOn w:val="1"/>
    <w:qFormat/>
    <w:uiPriority w:val="0"/>
    <w:pPr>
      <w:widowControl/>
      <w:spacing w:after="160" w:line="240" w:lineRule="exact"/>
      <w:jc w:val="left"/>
    </w:pPr>
    <w:rPr>
      <w:rFonts w:ascii="Times New Roman" w:hAnsi="Times New Roman" w:eastAsia="Times New Roman" w:cs="Times New Roman"/>
      <w:kern w:val="0"/>
      <w:sz w:val="20"/>
      <w:szCs w:val="24"/>
    </w:rPr>
  </w:style>
  <w:style w:type="character" w:customStyle="1" w:styleId="14">
    <w:name w:val="font41"/>
    <w:basedOn w:val="8"/>
    <w:qFormat/>
    <w:uiPriority w:val="0"/>
    <w:rPr>
      <w:rFonts w:hint="eastAsia" w:ascii="方正仿宋_GBK" w:hAnsi="方正仿宋_GBK" w:eastAsia="方正仿宋_GBK" w:cs="方正仿宋_GBK"/>
      <w:color w:val="000000"/>
      <w:sz w:val="22"/>
      <w:szCs w:val="22"/>
      <w:u w:val="none"/>
    </w:rPr>
  </w:style>
  <w:style w:type="character" w:customStyle="1" w:styleId="15">
    <w:name w:val="font141"/>
    <w:basedOn w:val="8"/>
    <w:qFormat/>
    <w:uiPriority w:val="0"/>
    <w:rPr>
      <w:rFonts w:ascii="方正黑体_GBK" w:hAnsi="方正黑体_GBK" w:eastAsia="方正黑体_GBK" w:cs="方正黑体_GBK"/>
      <w:color w:val="000000"/>
      <w:sz w:val="22"/>
      <w:szCs w:val="22"/>
      <w:u w:val="none"/>
    </w:rPr>
  </w:style>
  <w:style w:type="character" w:customStyle="1" w:styleId="16">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方正仿宋_GBK" w:hAnsi="方正仿宋_GBK" w:eastAsia="方正仿宋_GBK" w:cs="方正仿宋_GBK"/>
      <w:strike/>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73</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2023-09-13T08:23:00Z</dcterms:created>
  <dc:creator>老唐</dc:creator>
  <cp:lastModifiedBy>杨立权</cp:lastModifiedBy>
  <dcterms:modified xsi:type="dcterms:W3CDTF">2023-10-08T07:54:03Z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16B3F9104EE74771A49B7B547F8A453E</vt:lpwstr>
  </property>
  <property fmtid="{D5CDD505-2E9C-101B-9397-08002B2CF9AE}" pid="4" name="hmcheck_markmode">
    <vt:i4>0</vt:i4>
  </property>
</Properties>
</file>