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盈江县民族完全中学2020年度部门决算</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outlineLvl w:val="0"/>
        <w:rPr>
          <w:rFonts w:hint="eastAsia"/>
        </w:rPr>
      </w:pPr>
      <w:r>
        <w:rPr>
          <w:rFonts w:hint="eastAsia"/>
        </w:rPr>
        <w:t>目录</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0"/>
        <w:rPr>
          <w:rFonts w:hint="eastAsia"/>
        </w:rPr>
      </w:pPr>
      <w:r>
        <w:rPr>
          <w:rFonts w:hint="eastAsia"/>
        </w:rPr>
        <w:t>第一部分    盈江县民族完全中学概况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一、主要职能</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二、部门基本情况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0"/>
        <w:rPr>
          <w:rFonts w:hint="eastAsia"/>
        </w:rPr>
      </w:pPr>
      <w:r>
        <w:rPr>
          <w:rFonts w:hint="eastAsia"/>
        </w:rPr>
        <w:t>第二部分    2020年度部门决算表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一、收入支出决算总表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二、收入决算表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三、支出决算表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四、财政拨款收入支出决算总表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五、一般公共预算财政拨款收入支出决算表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六、一般公共预算财政拨款基本支出决算表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七、政府性基金预算财政拨款收入支出决算表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八、国有资本经营预算财政拨款收入支出决算表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九、“三公”经费、行政参公单位机关运行经费情况表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0"/>
        <w:rPr>
          <w:rFonts w:hint="eastAsia"/>
        </w:rPr>
      </w:pPr>
      <w:r>
        <w:rPr>
          <w:rFonts w:hint="eastAsia"/>
        </w:rPr>
        <w:t>第三部分    2020年度部门决算情况说明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一、收入决算情况说明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三、一般公共预算财政拨款支出决算情况说明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四、一般公共预算财政拨款“三公”经费支出决算情况说明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0"/>
        <w:rPr>
          <w:rFonts w:hint="eastAsia"/>
        </w:rPr>
      </w:pPr>
      <w:r>
        <w:rPr>
          <w:rFonts w:hint="eastAsia"/>
        </w:rPr>
        <w:t>第四部分    其他重要事项及相关口径情况说明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一、机关运行经费支出情况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二、国有资产占用情况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三、政府采购支出情况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四、部门绩效自评情况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（一）部门整体支出绩效自评情况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（二）部门整体支出绩效自评表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（三）项目支出绩效自评表</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五、其他重要事项情况说明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0"/>
        <w:rPr>
          <w:rFonts w:hint="eastAsia"/>
        </w:rPr>
      </w:pPr>
      <w:r>
        <w:rPr>
          <w:rFonts w:hint="eastAsia"/>
        </w:rPr>
        <w:t>第五部分    名词解释</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第一部分    盈江县民族完全中学概况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一、主要职能</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（一）主要职能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盈发（2012）21号文件《贯彻国家和云南省中长期教育改革和发展规划纲要的实施意见》规定，主要职能是：全面推进素质教育，大力发展学前教育，巩固提高义务教育发展水平，稳步发展高中教育，加快发展职业教育和成人继续教育，推进特殊教育发展，高度重视民族教育，规范发展民办教育，加强教育合作与交流。</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（二）2020年度重点工作任务介绍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1.教改模式下，打造符合县情、校情的校园特色品牌。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2.加强学校领导班子建设，全面提高工作效率。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3.加强教师队伍建设，全面提高教师素养是学校教师的师德教育是一个永恒的主题。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4.加强德育常规管理，全面彰显办学特色。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5.加强教育教学管理，全面提高教学质量。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6.加强安全教育管理，确保学校正常的教学秩序。</w:t>
      </w:r>
      <w:bookmarkStart w:id="0" w:name="_GoBack"/>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7.加强后勤保障工作，全面推进学校整体建设。</w:t>
      </w:r>
    </w:p>
    <w:bookmarkEnd w:id="0"/>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8.加强学校党组织建设、党风廉政和工会工作，全面提高教职员工的</w:t>
      </w:r>
      <w:r>
        <w:rPr>
          <w:rFonts w:hint="eastAsia"/>
          <w:color w:val="FF0000"/>
          <w:highlight w:val="none"/>
        </w:rPr>
        <w:t>生活品</w:t>
      </w:r>
      <w:r>
        <w:rPr>
          <w:rFonts w:hint="eastAsia"/>
          <w:color w:val="FF0000"/>
          <w:highlight w:val="none"/>
          <w:lang w:val="en-US" w:eastAsia="zh-CN"/>
        </w:rPr>
        <w:t>位</w:t>
      </w:r>
      <w:r>
        <w:rPr>
          <w:rFonts w:hint="eastAsia"/>
        </w:rPr>
        <w:t>。学校党支部根据各级文件精神，结合实际情况，认真组织行政班子成员和全体党员教师积极参加政治理论学习，不断提高自己的政治理论素质和思想素养。</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二、部门基本情况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（一）部门决算单位构成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纳入盈江县民族完全中学2020年度部门决算编报的单位共1个。其中：行政单位0个，参照公务员法管理的事业单位0个，其他事业单位1个。</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（二）部门人员和车辆的编制及实有情况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末实有人员编制200人。其中：行政编制0人（含行政工勤编制0人），事业编制200人（含参公管理事业编制0人）；在职在编实有行政人员0人（含行政工勤人员0人），事业人员199人（含参公管理事业人员0人），其他人员0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离退休人员0人。其中：离休0人，退休0人。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实有车辆编制0辆，在编实有车辆0辆。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第二部分    2020年度部门决算表</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outlineLvl w:val="0"/>
        <w:rPr>
          <w:rFonts w:hint="eastAsia"/>
        </w:rPr>
      </w:pPr>
      <w:r>
        <w:rPr>
          <w:rFonts w:hint="eastAsia"/>
        </w:rPr>
        <w:t>（详见附件）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无政府性基金预算财政收入和支出，无国有资本经营预算财政拨款收入和支出，故公开07表《政府性基金预算财政拨款收入支出决算表》、公开8《国有资本经营预算财政拨款收入支出决算表》无数据。</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第三部分    2020年度部门决算情况说明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一、收入决算情况说明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度收入合计2,628.73万元。其中：财政拨款收入2,466.7万元，占总收入的93.84%；上级补助收入0万元，占总收入的0%；事业收入158.6万元，占总收入的6.03%；经营收入0万元，占总收入的0%；附属单位缴款收入0万元，占总收入的0%；其他收入3.43万元，占总收入的0.13%。与上年对比收入增加24.89万元，增长1.02%；财政拨款收入增加4.89万元，增长了0.19%，事业收入增加9.67万元，增长6.09%；其他收入增加3.43万元，增长100%；主要增加原因：日常学校运转经费增加。</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度支出合计2,604.23万元。其中：基本支出2,571.06万元，占总支出的98.73%；项目支出33.17万元，占总支出的1.27%；上缴上级支出、经营支出、对附属单位补助支出共0万元，占总支出的0%。与上年对比支出增加61.84万元，增长了2.37%；基本支出增加了130.22万元，增长5.33%；项目支出减少38.38万元，下降了67.34%；主要原因人员减少，人员经费减少，财政拨款支出减少。</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（一）基本支出情况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度用于保障盈江县民族完全中学机关、下属事业单位等机构正常运转的日常支出2,571.06万元。与上年对比增加130.22万元，增长5.33%；主要原因2019年度义务教育公用经费上年列支项目支出，本年转出至基本支出核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其中：基本工资、津贴补贴等人员经费支出2,372.87万元，占基本支出的92.29%。办公费、印刷费、水电费、办公设备购置等公用经费198.2万元，占基本支出的7.71%。人均0.99万元。</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（二）项目支出情况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度用于保障盈江县民族完全中学机构、下属事业单位等机构为完成特定的行政工作任务或事业发展目标，用于专项业务工作的经费支出33.17万元。与上年对比减少68.38万元，下降67.34%。主要原因家庭经济困难学生生活补助及2019年度义务教育公用经费上年列支项目支出，本年转出至基本支出核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中：义务教育公用经费19.26万元，占项目支出41.91%，主要用于办公费、水电费、邮电费、差旅费、维修费、会议费、培训费、专用材料费、办公设备购置等日常公用经费支出；义务教育寄宿生生活补助费0.01万元，占项目支出0.03%，主要用于寄宿学生生活补助费。义务教育营养改善计划13.9万元，占项目支出41.91%，主要用于学生营养改善计划补助费。</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三、一般公共预算财政拨款支出决算情况说明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（一）一般公共预算财政拨款支出决算总体情况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盈江县民族完全中学2020年度一般公共预算财政拨款支出2,446.85万元，占本年支出合计的93.96%。与上年对比减少48.09万元，下降1.93%，主要原因为人员减少，人员经费减少，财政拨款支出减少。</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（二）一般公共预算财政拨款支出决算具体情况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教育（205类）支出2,052.41万元，占一般公共预算财政拨款总支出的83.88%。其中：用于基本工资、津贴补贴等人员经费支出1,764.23万元占教育类支出的85.96%；用于办公费、印刷费、水电费等商品服务支出的56.62万元，占教育类支出的2.76%；用于个人家庭补助类支出224.57万元，占教育类支出的10.94%。</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社会保障和就业（208类）支出243.08万元，占一般公共预算财政拨款总支出的9.93%。其中用于事业单位养老保险支出232.74万元，占社会保障和就业类支出95.75%；机关事业单位职业年金缴费支出8.31万元，占社会保障和就业类支出3.42%；其他社会保障和就业（工伤保险费）支出2.03万元，占社会保障和就业类支出0.84%。</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3.住房保障（221类）支出151.37万元，占一般公共预算财政拨款总支出的6.19%。主要用于在职职工的住房公积金。</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四、一般公共预算财政拨款“三公”经费支出决算情况说明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(一) 一般公共预算财政拨款“三公”经费支出决算总体情况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度一般公共预算财政拨款“三公”经费支出预算为2万元，支出决算为0万元，完成预算的0%。其中：因公出国（境）费支出决算为0万元，完成预算的0%；公务用车购置及运行费支出决算为0万元，完成预算的0%；公务接待费支出决算为0万元，完成预算的0%。2020年度一般公共预算财政拨款“三公”经费支出决算数小于预算数的主要原因：严格执行中央八项规定，厉行节约，减少开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度一般公共预算财政拨款“三公”经费支出决算数比2019年对比持平。其中：因公出国（境）费支出决算0万元，与上年持平。；公务用车购置及运行费支出决算0万元；公务接待费支出决算0万元。2020年度一般公共预算财政拨款“三公”经费支出决算减少的主要原因提倡节俭，厉行节约。</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2"/>
        <w:rPr>
          <w:rFonts w:hint="eastAsia"/>
        </w:rPr>
      </w:pPr>
      <w:r>
        <w:rPr>
          <w:rFonts w:hint="eastAsia"/>
        </w:rPr>
        <w:t>(二) 一般公共预算财政拨款“三公”经费支出决算具体情况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2020年度一般公共预算财政拨款“三公”经费支出决算中，因公出国（境）费支出0万元，占0%；公务用车购置及运行维护费支出0万元，占0%；公务接待费支出0万元，占0%。具体情况如下：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1.因公出国（境）费支出0万元，共安排因公出国（境）团组0个，累计0人次。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2.公务用车购置及运行维护费支出0万元。其中：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公务用车购置支出0万元，购置车辆0辆。公务用车运行维护支出0万元，开支一般公共预算财政拨款的公务用车保有量为0辆。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3.公务接待费0万元。其中：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内接待费支出0万元（其中：外事接待费支出0万元），共安排国内公务接待0批次（其中：外事接待0批次），接待人次0人（其中：外事接待人次0人）。国（境）外接待费0万元，共安排国（境）外公务接待0批次，接待人次0人。</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第四部分    其他重要事项及相关口径情况说明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一、机关运行经费支出情况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盈江县民族完全中学2020年机关运行经费支出0万元，与上年对比2019年机关运行经费支出0万元，增减比例0%。</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二、国有资产占用情况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截至2020年12月31日，盈江县民族完全中学资产总额795.47万元，其中，流动资产143.02万元，固定资产652.45万元，对外投资及有价证券0万元，在建工程0万元，无形资产0万元，其他资产0万元（具体内容详见附表）。与上年相比，本年资产总额减少89.02万元，其中：流动资产增加15.25万元，固定资产减少102.27万元。对外投资及有价证券0万元，在建工程0万元，无形资产0万元，其他资产0万元。处置房屋建筑物0平方米，账面原值0万元；处置车辆0辆，账面原值0万元；报废报损资产0项，账面原值0万元，实现资产处置收入0万元；出租房屋0平方米，账面原值0万元，实现资产使用收入0万元。</w:t>
      </w:r>
    </w:p>
    <w:tbl>
      <w:tblPr>
        <w:tblStyle w:val="3"/>
        <w:tblpPr w:leftFromText="180" w:rightFromText="180" w:topFromText="100" w:bottomFromText="100" w:vertAnchor="text" w:horzAnchor="page" w:tblpX="1369" w:tblpY="573"/>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
        <w:gridCol w:w="512"/>
        <w:gridCol w:w="656"/>
        <w:gridCol w:w="641"/>
        <w:gridCol w:w="684"/>
        <w:gridCol w:w="562"/>
        <w:gridCol w:w="597"/>
        <w:gridCol w:w="68"/>
        <w:gridCol w:w="811"/>
        <w:gridCol w:w="305"/>
        <w:gridCol w:w="608"/>
        <w:gridCol w:w="183"/>
        <w:gridCol w:w="1031"/>
        <w:gridCol w:w="803"/>
        <w:gridCol w:w="917"/>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9800" w:type="dxa"/>
            <w:gridSpan w:val="16"/>
            <w:tcBorders>
              <w:top w:val="nil"/>
              <w:left w:val="nil"/>
              <w:bottom w:val="nil"/>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b/>
                <w:color w:val="000000"/>
                <w:kern w:val="0"/>
                <w:sz w:val="21"/>
                <w:szCs w:val="21"/>
              </w:rPr>
              <w:t>国有资产占有使用情况表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4217" w:type="dxa"/>
            <w:gridSpan w:val="8"/>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textAlignment w:val="center"/>
              <w:rPr>
                <w:rFonts w:hint="eastAsia" w:ascii="Times New Roman" w:hAnsi="Times New Roman" w:cs="Times New Roman" w:eastAsiaTheme="minorEastAsia"/>
                <w:color w:val="000000"/>
                <w:kern w:val="0"/>
                <w:sz w:val="21"/>
                <w:szCs w:val="21"/>
                <w:lang w:eastAsia="zh-CN"/>
              </w:rPr>
            </w:pPr>
          </w:p>
        </w:tc>
        <w:tc>
          <w:tcPr>
            <w:tcW w:w="811" w:type="dxa"/>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913" w:type="dxa"/>
            <w:gridSpan w:val="2"/>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183" w:type="dxa"/>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1031" w:type="dxa"/>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803" w:type="dxa"/>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1842" w:type="dxa"/>
            <w:gridSpan w:val="2"/>
            <w:tcBorders>
              <w:top w:val="nil"/>
              <w:left w:val="nil"/>
              <w:bottom w:val="single" w:color="808080" w:sz="4" w:space="0"/>
              <w:right w:val="nil"/>
              <w:tl2br w:val="nil"/>
              <w:tr2bl w:val="nil"/>
            </w:tcBorders>
            <w:shd w:val="clear" w:color="auto" w:fill="auto"/>
            <w:noWrap w:val="0"/>
            <w:tcMar>
              <w:top w:w="15" w:type="dxa"/>
              <w:left w:w="15" w:type="dxa"/>
              <w:bottom w:w="15" w:type="dxa"/>
              <w:right w:w="15" w:type="dxa"/>
            </w:tcMar>
            <w:vAlign w:val="center"/>
          </w:tcPr>
          <w:p>
            <w:pPr>
              <w:spacing w:beforeLines="0" w:afterLines="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4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项目</w:t>
            </w:r>
          </w:p>
        </w:tc>
        <w:tc>
          <w:tcPr>
            <w:tcW w:w="51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行次</w:t>
            </w:r>
          </w:p>
        </w:tc>
        <w:tc>
          <w:tcPr>
            <w:tcW w:w="656"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资产总额</w:t>
            </w:r>
          </w:p>
        </w:tc>
        <w:tc>
          <w:tcPr>
            <w:tcW w:w="64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流动资产</w:t>
            </w:r>
          </w:p>
        </w:tc>
        <w:tc>
          <w:tcPr>
            <w:tcW w:w="3818"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固定资产</w:t>
            </w:r>
          </w:p>
        </w:tc>
        <w:tc>
          <w:tcPr>
            <w:tcW w:w="103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对外投资/有价证券</w:t>
            </w:r>
          </w:p>
        </w:tc>
        <w:tc>
          <w:tcPr>
            <w:tcW w:w="80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在建工程</w:t>
            </w:r>
          </w:p>
        </w:tc>
        <w:tc>
          <w:tcPr>
            <w:tcW w:w="917" w:type="dxa"/>
            <w:vMerge w:val="restart"/>
            <w:tcBorders>
              <w:top w:val="nil"/>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无形资产</w:t>
            </w:r>
          </w:p>
        </w:tc>
        <w:tc>
          <w:tcPr>
            <w:tcW w:w="925" w:type="dxa"/>
            <w:vMerge w:val="restart"/>
            <w:tcBorders>
              <w:top w:val="nil"/>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4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5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8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小计</w:t>
            </w:r>
          </w:p>
        </w:tc>
        <w:tc>
          <w:tcPr>
            <w:tcW w:w="56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房屋构筑物</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车辆</w:t>
            </w:r>
          </w:p>
        </w:tc>
        <w:tc>
          <w:tcPr>
            <w:tcW w:w="1184"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单价200万以上大型设备</w:t>
            </w:r>
          </w:p>
        </w:tc>
        <w:tc>
          <w:tcPr>
            <w:tcW w:w="79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其他固定资产</w:t>
            </w:r>
          </w:p>
        </w:tc>
        <w:tc>
          <w:tcPr>
            <w:tcW w:w="10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917"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925"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4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5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6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5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1184"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79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103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8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917"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c>
          <w:tcPr>
            <w:tcW w:w="925"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jc w:val="left"/>
              <w:rPr>
                <w:rFonts w:hint="default" w:ascii="Times New Roman" w:hAnsi="Times New Roman" w:cs="Times New Roman" w:eastAsiaTheme="minorEastAsia"/>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49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栏次</w:t>
            </w:r>
          </w:p>
        </w:tc>
        <w:tc>
          <w:tcPr>
            <w:tcW w:w="51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left"/>
              <w:rPr>
                <w:rFonts w:hint="eastAsia" w:ascii="Times New Roman" w:hAnsi="Times New Roman" w:cs="Times New Roman" w:eastAsiaTheme="minorEastAsia"/>
                <w:color w:val="000000"/>
                <w:kern w:val="0"/>
                <w:sz w:val="21"/>
                <w:szCs w:val="21"/>
                <w:lang w:eastAsia="zh-CN"/>
              </w:rPr>
            </w:pP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68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w:t>
            </w:r>
          </w:p>
        </w:tc>
        <w:tc>
          <w:tcPr>
            <w:tcW w:w="59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w:t>
            </w:r>
          </w:p>
        </w:tc>
        <w:tc>
          <w:tcPr>
            <w:tcW w:w="118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w:t>
            </w:r>
          </w:p>
        </w:tc>
        <w:tc>
          <w:tcPr>
            <w:tcW w:w="79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w:t>
            </w:r>
          </w:p>
        </w:tc>
        <w:tc>
          <w:tcPr>
            <w:tcW w:w="103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8</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9</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10</w:t>
            </w:r>
          </w:p>
        </w:tc>
        <w:tc>
          <w:tcPr>
            <w:tcW w:w="9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49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合计</w:t>
            </w:r>
          </w:p>
        </w:tc>
        <w:tc>
          <w:tcPr>
            <w:tcW w:w="51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795.47</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143.02</w:t>
            </w:r>
          </w:p>
        </w:tc>
        <w:tc>
          <w:tcPr>
            <w:tcW w:w="68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652.45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168.9</w:t>
            </w:r>
          </w:p>
        </w:tc>
        <w:tc>
          <w:tcPr>
            <w:tcW w:w="59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0</w:t>
            </w:r>
          </w:p>
        </w:tc>
        <w:tc>
          <w:tcPr>
            <w:tcW w:w="1184"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0</w:t>
            </w:r>
          </w:p>
        </w:tc>
        <w:tc>
          <w:tcPr>
            <w:tcW w:w="791"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483.55</w:t>
            </w:r>
          </w:p>
        </w:tc>
        <w:tc>
          <w:tcPr>
            <w:tcW w:w="103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0</w:t>
            </w:r>
          </w:p>
        </w:tc>
        <w:tc>
          <w:tcPr>
            <w:tcW w:w="80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0</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0</w:t>
            </w:r>
          </w:p>
        </w:tc>
        <w:tc>
          <w:tcPr>
            <w:tcW w:w="9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spacing w:beforeLines="0" w:afterLines="0"/>
              <w:jc w:val="righ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0</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1.资产总额＝流动资产＋固定资产＋对外投资+有价证券＋在建工程＋无形资产＋其他资产</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sz w:val="18"/>
          <w:szCs w:val="18"/>
        </w:rPr>
      </w:pPr>
      <w:r>
        <w:rPr>
          <w:rFonts w:hint="eastAsia"/>
          <w:sz w:val="18"/>
          <w:szCs w:val="18"/>
        </w:rPr>
        <w:t>2.固定资产＝房屋构筑物＋车辆＋单价200万元以上大型设备＋其他固定资产</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三、政府采购支出情况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2020年度，部门政府采购支出总额0万元，其中：政府采购货物支出0万元；政府采购工程支出0万元；政府采购服务支出0万元。授予中小企业合同金额0万元，占政府采购支出总额的0%。</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四、部门绩效自评情况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部门绩效自评情况详见附表（附表10-附表12）。</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五、其他重要事项情况说明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无</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六、相关口径说明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（一）基本支出中人员经费包括工资福利支出和对个人和家庭的补助，公用经费包括商品和服务支出、资本性支出等人员经费以外的支出。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（二）机关运行经费指行政单位和参照公务员法管理的事业单位使用一般公共预算财政拨款安排的基本支出中的公用经费支出。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jc w:val="center"/>
        <w:textAlignment w:val="auto"/>
        <w:outlineLvl w:val="0"/>
        <w:rPr>
          <w:rFonts w:hint="eastAsia"/>
          <w:b/>
          <w:bCs/>
        </w:rPr>
      </w:pPr>
      <w:r>
        <w:rPr>
          <w:rFonts w:hint="eastAsia"/>
          <w:b/>
          <w:bCs/>
        </w:rPr>
        <w:t>第五部分    名词解释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财政拨款收入：指县级财政当年拨付的资金。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基本支出：为保障机构正常运行，完成日常工作任务而发生的人员支出和公用支出。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人员经费支出：指工资福利支出和对个人和家庭的补助支出。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政府采购：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固定资产：是指政府会计主体为满足自身开展业务活动或其他活动需要而控制的，使用年限超过1年（不含1年）、单位价值在规定标准以上，并在使用过程中基本保持原有物质形态的资产，一般包括房屋及构筑物、专用设备、通用设备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无形资产：是指政府会计主体拥有或控制的没有实物形态的可辨认非货币性资产，主要包括专利权、商标权、著作权、土地使用权、非专利技术等。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公共基础设施：是指政府会计主体为满足社会公共需求而控制的，同时具有以下特征的有形资产：</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（1）是一个有形资产系统或网络的组成部分。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（2）具有特定用途。</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rPr>
      </w:pPr>
      <w:r>
        <w:rPr>
          <w:rFonts w:hint="eastAsia"/>
        </w:rPr>
        <w:t>（3）一般不可移动。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282E"/>
    <w:rsid w:val="138E20A1"/>
    <w:rsid w:val="14C646A9"/>
    <w:rsid w:val="20F54BF6"/>
    <w:rsid w:val="28EB1EA3"/>
    <w:rsid w:val="52FE1A03"/>
    <w:rsid w:val="63511CFF"/>
    <w:rsid w:val="69D24F75"/>
    <w:rsid w:val="6CCB598F"/>
    <w:rsid w:val="7DA8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next w:val="1"/>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5">
    <w:name w:val="一级标题"/>
    <w:basedOn w:val="1"/>
    <w:qFormat/>
    <w:uiPriority w:val="0"/>
    <w:pPr>
      <w:spacing w:beforeLines="0" w:afterLines="0" w:line="560" w:lineRule="exact"/>
      <w:ind w:firstLine="880" w:firstLineChars="200"/>
    </w:pPr>
    <w:rPr>
      <w:rFonts w:hint="eastAsia" w:ascii="方正黑体_GBK" w:hAnsi="方正黑体_GBK" w:eastAsia="方正黑体_GBK"/>
      <w:sz w:val="32"/>
    </w:rPr>
  </w:style>
  <w:style w:type="paragraph" w:customStyle="1" w:styleId="6">
    <w:name w:val="二级标题"/>
    <w:basedOn w:val="1"/>
    <w:uiPriority w:val="0"/>
    <w:pPr>
      <w:spacing w:beforeLines="0" w:afterLines="0" w:line="560" w:lineRule="exact"/>
      <w:ind w:firstLine="880" w:firstLineChars="200"/>
    </w:pPr>
    <w:rPr>
      <w:rFonts w:hint="eastAsia" w:ascii="方正楷体_GBK" w:hAnsi="方正楷体_GBK" w:eastAsia="方正楷体_GBK"/>
      <w:sz w:val="32"/>
    </w:rPr>
  </w:style>
  <w:style w:type="paragraph" w:customStyle="1" w:styleId="7">
    <w:name w:val="大标题"/>
    <w:basedOn w:val="1"/>
    <w:unhideWhenUsed/>
    <w:qFormat/>
    <w:uiPriority w:val="0"/>
    <w:pPr>
      <w:spacing w:beforeLines="0" w:afterLines="0" w:line="720" w:lineRule="exact"/>
      <w:jc w:val="center"/>
    </w:pPr>
    <w:rPr>
      <w:rFonts w:hint="eastAsia" w:ascii="Times New Roman" w:hAnsi="Times New Roman" w:eastAsia="方正小标宋简体"/>
      <w:sz w:val="44"/>
    </w:rPr>
  </w:style>
  <w:style w:type="paragraph" w:customStyle="1" w:styleId="8">
    <w:name w:val="落款"/>
    <w:basedOn w:val="1"/>
    <w:qFormat/>
    <w:uiPriority w:val="0"/>
    <w:pPr>
      <w:spacing w:line="560" w:lineRule="exact"/>
      <w:ind w:firstLine="5459" w:firstLineChars="1706"/>
    </w:pPr>
    <w:rPr>
      <w:rFonts w:hint="eastAsia" w:ascii="Times New Roman" w:hAnsi="Times New Roman" w:eastAsia="方正仿宋_GBK" w:cs="Times New Roman"/>
      <w:color w:val="auto"/>
      <w:sz w:val="32"/>
      <w:szCs w:val="3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2021-10-13T09:24:00Z</dcterms:created>
  <dc:creator>Bruce</dc:creator>
  <cp:lastModifiedBy>邵瑞</cp:lastModifiedBy>
  <dcterms:modified xsi:type="dcterms:W3CDTF">2024-04-11T12:02:54Z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DBA5196796424F6EA52EFE9C382C6621</vt:lpwstr>
  </property>
</Properties>
</file>