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default" w:ascii="Times New Roman" w:hAnsi="Times New Roman" w:eastAsia="方正小标宋_GBK" w:cs="Times New Roman"/>
          <w:sz w:val="40"/>
          <w:szCs w:val="40"/>
        </w:rPr>
      </w:pPr>
    </w:p>
    <w:p>
      <w:pPr>
        <w:spacing w:after="156" w:afterLines="50" w:line="540" w:lineRule="exact"/>
        <w:jc w:val="center"/>
        <w:outlineLvl w:val="0"/>
        <w:rPr>
          <w:rFonts w:hint="default" w:ascii="Times New Roman" w:hAnsi="Times New Roman" w:cs="Times New Roman"/>
          <w:color w:val="FF0000"/>
          <w:sz w:val="28"/>
          <w:szCs w:val="28"/>
        </w:rPr>
      </w:pPr>
      <w:r>
        <w:rPr>
          <w:rFonts w:hint="default" w:ascii="Times New Roman" w:hAnsi="Times New Roman" w:eastAsia="方正小标宋_GBK" w:cs="Times New Roman"/>
          <w:sz w:val="40"/>
          <w:szCs w:val="40"/>
        </w:rPr>
        <w:t>行政许可事项实施规范</w:t>
      </w:r>
    </w:p>
    <w:p>
      <w:pPr>
        <w:spacing w:after="156" w:afterLines="50" w:line="540" w:lineRule="exact"/>
        <w:jc w:val="center"/>
        <w:outlineLvl w:val="0"/>
        <w:rPr>
          <w:rFonts w:hint="default" w:ascii="Times New Roman" w:hAnsi="Times New Roman" w:cs="Times New Roman"/>
          <w:sz w:val="28"/>
          <w:szCs w:val="28"/>
        </w:rPr>
      </w:pPr>
      <w:r>
        <w:rPr>
          <w:rFonts w:hint="default" w:ascii="Times New Roman" w:hAnsi="Times New Roman" w:eastAsia="方正楷体_GBK" w:cs="Times New Roman"/>
          <w:sz w:val="32"/>
          <w:szCs w:val="32"/>
        </w:rPr>
        <w:t>（基本要素）</w:t>
      </w:r>
    </w:p>
    <w:p>
      <w:pPr>
        <w:spacing w:after="156" w:afterLines="50" w:line="540" w:lineRule="exact"/>
        <w:jc w:val="center"/>
        <w:outlineLvl w:val="0"/>
        <w:rPr>
          <w:rFonts w:hint="default" w:ascii="Times New Roman" w:hAnsi="Times New Roman" w:cs="Times New Roman"/>
          <w:color w:val="FF0000"/>
          <w:sz w:val="28"/>
          <w:szCs w:val="28"/>
        </w:rPr>
      </w:pP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一、行政许可事项名称：</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二、主管部门：</w:t>
      </w:r>
    </w:p>
    <w:p>
      <w:pPr>
        <w:spacing w:line="540" w:lineRule="exact"/>
        <w:ind w:firstLine="560" w:firstLineChars="200"/>
        <w:outlineLvl w:val="1"/>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州林草局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三、实施机关：</w:t>
      </w:r>
    </w:p>
    <w:p>
      <w:pPr>
        <w:spacing w:line="540" w:lineRule="exact"/>
        <w:ind w:firstLine="560" w:firstLineChars="200"/>
        <w:outlineLvl w:val="1"/>
        <w:rPr>
          <w:rFonts w:hint="default" w:ascii="Times New Roman" w:hAnsi="Times New Roman" w:eastAsia="黑体" w:cs="Times New Roman"/>
          <w:sz w:val="28"/>
          <w:szCs w:val="28"/>
        </w:rPr>
      </w:pPr>
      <w:r>
        <w:rPr>
          <w:rFonts w:hint="default" w:ascii="Times New Roman" w:hAnsi="Times New Roman" w:eastAsia="方正仿宋_GBK" w:cs="Times New Roman"/>
          <w:sz w:val="28"/>
          <w:szCs w:val="28"/>
        </w:rPr>
        <w:t>县级政府（由林草部门承办）；县级林草部门</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四、设定和实施依据：</w:t>
      </w:r>
    </w:p>
    <w:p>
      <w:pPr>
        <w:spacing w:line="540" w:lineRule="exact"/>
        <w:ind w:firstLine="420"/>
        <w:outlineLvl w:val="1"/>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w:t>《森林防火条例》《草原防火条例》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五、子项：</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rPr>
        <w:t>.森林高火险期内进入森林高火险区审批（县级权限）</w:t>
      </w:r>
    </w:p>
    <w:p>
      <w:pPr>
        <w:spacing w:line="540" w:lineRule="exact"/>
        <w:ind w:firstLine="42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rPr>
        <w:t>.进入草原防火管制区审批（县级权限）</w:t>
      </w: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森林高火险期内进入森林高火险区审批</w:t>
      </w:r>
    </w:p>
    <w:p>
      <w:pPr>
        <w:spacing w:line="540" w:lineRule="exact"/>
        <w:jc w:val="center"/>
        <w:outlineLvl w:val="1"/>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【000164227005】</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森林高火险期内进入森林高火险区审批（县级权限）【000164227005】</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（1）森林高火险期内进入森林高火险区新办审批（县级权限）【00016422700501】</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（2）森林高火险期内进入森林高火险区延续审批（县级权限）【00016422700502】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5.实施依据：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《森林防火条例》第二十九条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《森林防火条例》第五十二条</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县级政府（由林草部门承办）；县级林草部门</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森林高火险期内，进入森林高火险区的活动审批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（1）无下列行为：吸烟、烧纸、烧香；烧蜂、烧山狩猎；</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烤火、野炊、使用火把照明；燃放烟花爆竹和孔明灯；焚烧垃圾；</w:t>
      </w:r>
    </w:p>
    <w:p>
      <w:p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（2）依法执行“禁止携带火种和易燃易爆物品进入森林防火区”</w:t>
      </w:r>
    </w:p>
    <w:p>
      <w:pPr>
        <w:numPr>
          <w:ilvl w:val="0"/>
          <w:numId w:val="0"/>
        </w:numPr>
        <w:spacing w:line="600" w:lineRule="exact"/>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（3）森林草火险期内禁止一切野外用火。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1</w:t>
      </w:r>
      <w:r>
        <w:rPr>
          <w:rFonts w:hint="default" w:ascii="Times New Roman" w:hAnsi="Times New Roman" w:eastAsia="方正仿宋_GBK" w:cs="Times New Roman"/>
          <w:b w:val="0"/>
          <w:bCs w:val="0"/>
          <w:strike w:val="0"/>
          <w:dstrike w:val="0"/>
          <w:color w:val="000000"/>
          <w:sz w:val="28"/>
          <w:szCs w:val="28"/>
          <w:lang w:val="en" w:eastAsia="zh-CN"/>
        </w:rPr>
        <w:t>）</w:t>
      </w:r>
      <w:r>
        <w:rPr>
          <w:rFonts w:hint="default" w:ascii="Times New Roman" w:hAnsi="Times New Roman" w:eastAsia="方正仿宋_GBK" w:cs="Times New Roman"/>
          <w:b w:val="0"/>
          <w:bCs w:val="0"/>
          <w:strike w:val="0"/>
          <w:dstrike w:val="0"/>
          <w:color w:val="000000"/>
          <w:sz w:val="28"/>
          <w:szCs w:val="28"/>
          <w:lang w:val="en-US" w:eastAsia="zh-CN"/>
        </w:rPr>
        <w:t>《森林防火条例》第二十九条</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（2）《云南省森林防火条例》第十三条、第二十条、第二十一条、第二十二条。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压减至5个工作日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（3）林区活动方案；</w:t>
      </w:r>
    </w:p>
    <w:p>
      <w:pPr>
        <w:spacing w:line="540" w:lineRule="exact"/>
        <w:ind w:firstLine="560" w:firstLineChars="200"/>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default" w:ascii="Times New Roman" w:hAnsi="Times New Roman" w:eastAsia="方正仿宋_GBK" w:cs="Times New Roman"/>
          <w:sz w:val="28"/>
          <w:szCs w:val="28"/>
        </w:rPr>
        <w:t>5个工作日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default" w:ascii="Times New Roman" w:hAnsi="Times New Roman" w:eastAsia="方正仿宋_GBK" w:cs="Times New Roman"/>
          <w:sz w:val="28"/>
          <w:szCs w:val="28"/>
          <w:lang w:val="en-US" w:eastAsia="zh-CN"/>
        </w:rPr>
        <w:t>5</w:t>
      </w:r>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森林防火通行证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4.规定审批结果有效期限的依据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10.规定审批结果有效地域范围的依据</w:t>
      </w:r>
    </w:p>
    <w:p>
      <w:pPr>
        <w:spacing w:line="600" w:lineRule="exact"/>
        <w:ind w:firstLine="560" w:firstLineChars="200"/>
        <w:rPr>
          <w:rFonts w:hint="default" w:ascii="Times New Roman" w:hAnsi="Times New Roman" w:eastAsia="仿宋GB2312" w:cs="Times New Roman"/>
          <w:sz w:val="28"/>
          <w:szCs w:val="28"/>
        </w:rPr>
      </w:pPr>
      <w:r>
        <w:rPr>
          <w:rFonts w:hint="default" w:ascii="Times New Roman" w:hAnsi="Times New Roman" w:eastAsia="方正仿宋_GBK" w:cs="Times New Roman"/>
          <w:sz w:val="28"/>
          <w:szCs w:val="28"/>
        </w:rPr>
        <w:t>《森林防火条例》第二十九条</w:t>
      </w:r>
      <w:r>
        <w:rPr>
          <w:rFonts w:hint="default" w:ascii="Times New Roman" w:hAnsi="Times New Roman" w:eastAsia="方正仿宋_GBK" w:cs="Times New Roman"/>
          <w:sz w:val="28"/>
          <w:szCs w:val="28"/>
          <w:lang w:eastAsia="zh-Hans"/>
        </w:rPr>
        <w:t>：</w:t>
      </w:r>
      <w:r>
        <w:rPr>
          <w:rFonts w:hint="default" w:ascii="Times New Roman" w:hAnsi="Times New Roman" w:eastAsia="方正仿宋_GBK" w:cs="Times New Roman"/>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县级人民政府（省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、县级林草部门）</w:t>
      </w:r>
    </w:p>
    <w:p>
      <w:pPr>
        <w:numPr>
          <w:ilvl w:val="0"/>
          <w:numId w:val="1"/>
        </w:num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备注</w:t>
      </w:r>
    </w:p>
    <w:p>
      <w:pPr>
        <w:numPr>
          <w:ilvl w:val="-1"/>
          <w:numId w:val="0"/>
        </w:numPr>
        <w:spacing w:line="540" w:lineRule="exact"/>
        <w:ind w:firstLine="560" w:firstLineChars="200"/>
        <w:outlineLvl w:val="1"/>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540" w:lineRule="exact"/>
        <w:ind w:firstLine="560" w:firstLineChars="200"/>
        <w:rPr>
          <w:rFonts w:hint="default" w:ascii="Times New Roman" w:hAnsi="Times New Roman" w:eastAsia="方正仿宋_GBK" w:cs="Times New Roman"/>
          <w:sz w:val="28"/>
          <w:szCs w:val="28"/>
        </w:rPr>
      </w:pPr>
    </w:p>
    <w:p>
      <w:pPr>
        <w:spacing w:line="540" w:lineRule="exact"/>
        <w:ind w:firstLine="560" w:firstLineChars="200"/>
        <w:rPr>
          <w:rFonts w:hint="default" w:ascii="Times New Roman" w:hAnsi="Times New Roman" w:eastAsia="仿宋GB2312" w:cs="Times New Roman"/>
          <w:sz w:val="28"/>
          <w:szCs w:val="28"/>
          <w:lang w:eastAsia="zh-CN"/>
        </w:rPr>
      </w:pPr>
      <w:r>
        <w:rPr>
          <w:rFonts w:hint="default" w:ascii="Times New Roman" w:hAnsi="Times New Roman" w:eastAsia="方正仿宋_GBK" w:cs="Times New Roman"/>
          <w:sz w:val="28"/>
          <w:szCs w:val="28"/>
        </w:rPr>
        <w:br w:type="page"/>
      </w:r>
    </w:p>
    <w:p>
      <w:pPr>
        <w:spacing w:line="600" w:lineRule="exact"/>
        <w:ind w:firstLine="800" w:firstLineChars="200"/>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进入草原防火管制区审批（县级权限）</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rPr>
        <w:t>【000164227006】</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一、基本要素</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1.行政许可事项名称及编码</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进入森林高火险区、草原防火管制区审批【00016422700Y】</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2.行政许可事项子项名称及编码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进入草原防火管制区审批（县级权限）【000164227006】</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3.行政许可事项业务办理项名称及编码</w:t>
      </w:r>
    </w:p>
    <w:p>
      <w:pPr>
        <w:spacing w:line="360" w:lineRule="auto"/>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（1）进入草原防火管制区新办审批（县级权限）【00016422700601】</w:t>
      </w:r>
    </w:p>
    <w:p>
      <w:pPr>
        <w:spacing w:line="360" w:lineRule="auto"/>
        <w:ind w:left="839" w:leftChars="266" w:hanging="280" w:hangingChars="100"/>
        <w:jc w:val="left"/>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lang w:val="en-US" w:eastAsia="zh-CN"/>
        </w:rPr>
        <w:t>2</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进入草原防火管制区延续审批（县级权限）</w:t>
      </w:r>
      <w:bookmarkStart w:id="0" w:name="_GoBack"/>
      <w:bookmarkEnd w:id="0"/>
      <w:r>
        <w:rPr>
          <w:rFonts w:hint="default" w:ascii="Times New Roman" w:hAnsi="Times New Roman" w:eastAsia="方正仿宋_GBK" w:cs="Times New Roman"/>
          <w:sz w:val="28"/>
          <w:szCs w:val="28"/>
        </w:rPr>
        <w:t>【00016422700602)】</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4.设定依据：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5.实施依据：</w:t>
      </w:r>
      <w:r>
        <w:rPr>
          <w:rFonts w:hint="default" w:ascii="Times New Roman" w:hAnsi="Times New Roman" w:eastAsia="方正仿宋_GBK" w:cs="Times New Roman"/>
          <w:sz w:val="28"/>
          <w:szCs w:val="28"/>
        </w:rPr>
        <w:t>《草原防火条例》第二十二条</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6.监管依据：</w:t>
      </w:r>
      <w:r>
        <w:rPr>
          <w:rFonts w:hint="default" w:ascii="Times New Roman" w:hAnsi="Times New Roman" w:eastAsia="方正仿宋_GBK" w:cs="Times New Roman"/>
          <w:sz w:val="28"/>
          <w:szCs w:val="28"/>
        </w:rPr>
        <w:t>《草原防火条例》第四十四条</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7.实施机关：</w:t>
      </w:r>
      <w:r>
        <w:rPr>
          <w:rFonts w:hint="default" w:ascii="Times New Roman" w:hAnsi="Times New Roman" w:eastAsia="方正仿宋_GBK" w:cs="Times New Roman"/>
          <w:sz w:val="28"/>
          <w:szCs w:val="28"/>
        </w:rPr>
        <w:t>县级政府（由林草部门承办）；县级林草部门</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8.审批层级：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9.行使层级：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10.是否由审批机关受理：</w:t>
      </w:r>
      <w:r>
        <w:rPr>
          <w:rFonts w:hint="default" w:ascii="Times New Roman" w:hAnsi="Times New Roman" w:eastAsia="方正仿宋_GBK" w:cs="Times New Roman"/>
          <w:sz w:val="28"/>
          <w:szCs w:val="28"/>
        </w:rPr>
        <w:t>是</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11.受理层级：</w:t>
      </w:r>
      <w:r>
        <w:rPr>
          <w:rFonts w:hint="default" w:ascii="Times New Roman" w:hAnsi="Times New Roman" w:eastAsia="方正仿宋_GBK" w:cs="Times New Roman"/>
          <w:sz w:val="28"/>
          <w:szCs w:val="28"/>
        </w:rPr>
        <w:t>县级</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12.是否存在初审环节：</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highlight w:val="yellow"/>
        </w:rPr>
      </w:pPr>
      <w:r>
        <w:rPr>
          <w:rFonts w:hint="default" w:ascii="Times New Roman" w:hAnsi="Times New Roman" w:eastAsia="仿宋GB2312" w:cs="Times New Roman"/>
          <w:b/>
          <w:bCs/>
          <w:sz w:val="28"/>
          <w:szCs w:val="28"/>
        </w:rPr>
        <w:t>13.初审层级：</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14.对应政务服务事项国家级基本目录名称：</w:t>
      </w:r>
      <w:r>
        <w:rPr>
          <w:rFonts w:hint="default" w:ascii="Times New Roman" w:hAnsi="Times New Roman" w:eastAsia="方正仿宋_GBK" w:cs="Times New Roman"/>
          <w:sz w:val="28"/>
          <w:szCs w:val="28"/>
        </w:rPr>
        <w:t>进入草原防火管制区车辆的草原防火通行证审批</w:t>
      </w:r>
    </w:p>
    <w:p>
      <w:pPr>
        <w:spacing w:line="600" w:lineRule="exact"/>
        <w:ind w:firstLine="562" w:firstLineChars="200"/>
        <w:jc w:val="left"/>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15.要素统一情况：</w:t>
      </w:r>
      <w:r>
        <w:rPr>
          <w:rFonts w:hint="default" w:ascii="Times New Roman" w:hAnsi="Times New Roman" w:eastAsia="方正仿宋_GBK" w:cs="Times New Roman"/>
          <w:sz w:val="28"/>
          <w:szCs w:val="28"/>
          <w:lang w:eastAsia="zh-CN"/>
        </w:rPr>
        <w:t>全省</w:t>
      </w:r>
      <w:r>
        <w:rPr>
          <w:rFonts w:hint="default" w:ascii="Times New Roman" w:hAnsi="Times New Roman" w:eastAsia="方正仿宋_GBK" w:cs="Times New Roman"/>
          <w:sz w:val="28"/>
          <w:szCs w:val="28"/>
        </w:rPr>
        <w:t>要素统一</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二、行政许可事项类型</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条件型</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三、行政许可条件</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1"/>
          <w:numId w:val="0"/>
        </w:num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（2）依法执行“禁止携带火种和易燃易爆物品进入草原防火管制区”等草原防火有关规定；</w:t>
      </w:r>
    </w:p>
    <w:p>
      <w:pPr>
        <w:numPr>
          <w:ilvl w:val="-1"/>
          <w:numId w:val="0"/>
        </w:numPr>
        <w:spacing w:line="600" w:lineRule="exact"/>
        <w:ind w:firstLine="560" w:firstLineChars="200"/>
        <w:outlineLvl w:val="9"/>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（3）草原管制区内禁止一切野外用火。</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2.规定行政许可条件的依据：</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《草原防火条例》第十八条、第二十一条、第二十二条</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四、行政许可服务对象类型与改革举措</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1.服务对象类型：</w:t>
      </w:r>
      <w:r>
        <w:rPr>
          <w:rFonts w:hint="default" w:ascii="Times New Roman" w:hAnsi="Times New Roman" w:eastAsia="方正仿宋_GBK" w:cs="Times New Roman"/>
          <w:sz w:val="28"/>
          <w:szCs w:val="28"/>
        </w:rPr>
        <w:t>自然人，企业法人，事业单位法人，社会组织法人，非法人企业，行政机关，其他组织</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2.是否为涉企许可事项：</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3.涉企经营许可事项名称：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4.许可证件名称：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lang w:eastAsia="zh-CN"/>
        </w:rPr>
      </w:pPr>
      <w:r>
        <w:rPr>
          <w:rFonts w:hint="default" w:ascii="Times New Roman" w:hAnsi="Times New Roman" w:eastAsia="仿宋GB2312" w:cs="Times New Roman"/>
          <w:b/>
          <w:bCs/>
          <w:sz w:val="28"/>
          <w:szCs w:val="28"/>
        </w:rPr>
        <w:t>5.改革方式：</w:t>
      </w:r>
      <w:r>
        <w:rPr>
          <w:rFonts w:hint="default" w:ascii="Times New Roman" w:hAnsi="Times New Roman" w:eastAsia="方正仿宋_GBK" w:cs="Times New Roman"/>
          <w:sz w:val="28"/>
          <w:szCs w:val="28"/>
          <w:lang w:eastAsia="zh-CN"/>
        </w:rPr>
        <w:t>减时限</w:t>
      </w:r>
    </w:p>
    <w:p>
      <w:pPr>
        <w:spacing w:line="54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6.具体改革举措：</w:t>
      </w:r>
      <w:r>
        <w:rPr>
          <w:rFonts w:hint="default" w:ascii="Times New Roman" w:hAnsi="Times New Roman" w:eastAsia="方正仿宋_GBK" w:cs="Times New Roman"/>
          <w:sz w:val="28"/>
          <w:szCs w:val="28"/>
        </w:rPr>
        <w:t>将承诺审批时限由20个工作</w:t>
      </w:r>
      <w:r>
        <w:rPr>
          <w:rFonts w:hint="default" w:ascii="Times New Roman" w:hAnsi="Times New Roman" w:eastAsia="方正仿宋_GBK" w:cs="Times New Roman"/>
          <w:sz w:val="28"/>
          <w:szCs w:val="28"/>
          <w:lang w:eastAsia="zh-CN"/>
        </w:rPr>
        <w:t>日</w:t>
      </w:r>
      <w:r>
        <w:rPr>
          <w:rFonts w:hint="default" w:ascii="Times New Roman" w:hAnsi="Times New Roman" w:eastAsia="方正仿宋_GBK" w:cs="Times New Roman"/>
          <w:sz w:val="28"/>
          <w:szCs w:val="28"/>
        </w:rPr>
        <w:t>压减至5个工作日</w:t>
      </w:r>
    </w:p>
    <w:p>
      <w:pPr>
        <w:spacing w:line="54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7.加强事中事后监管措施</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（2）加强信用监管，加大监督检查力度，依法依规对失信主体开展失信惩戒。</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（3）加强“互联网+监管”，推动监管数据归集应用。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（4）按照“谁审批、谁监管，谁主管、谁监管”的原则，指导各级林草主管部门落实相关监管责任，加强属地监管。</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（5）强化社会监督，公布举报电话，依法及时处理投诉举报。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五、申请材料</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（2）进入草原防火管制区开展活动的有关上级主管部门文件；</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（3）活动实施方案；</w:t>
      </w:r>
    </w:p>
    <w:p>
      <w:pPr>
        <w:spacing w:line="540" w:lineRule="exact"/>
        <w:ind w:firstLine="560" w:firstLineChars="200"/>
        <w:outlineLvl w:val="2"/>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2.规定申请材料的依据：</w:t>
      </w:r>
      <w:r>
        <w:rPr>
          <w:rFonts w:hint="default" w:ascii="Times New Roman" w:hAnsi="Times New Roman" w:eastAsia="方正仿宋_GBK" w:cs="Times New Roman"/>
          <w:b w:val="0"/>
          <w:bCs w:val="0"/>
          <w:strike w:val="0"/>
          <w:dstrike w:val="0"/>
          <w:color w:val="auto"/>
          <w:sz w:val="28"/>
          <w:szCs w:val="28"/>
          <w:lang w:val="en-US" w:eastAsia="zh-CN"/>
        </w:rPr>
        <w:t>暂无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六、中介服务</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1.有无法定中介服务事项：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2.中介服务事项名称：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3.设定中介服务事项的依据：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4.提供中介服务的机构：</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5.中介服务事项的收费性质：</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七、审批程序</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（1）申请；</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（2）受理；</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（3）审查；</w:t>
      </w:r>
    </w:p>
    <w:p>
      <w:pPr>
        <w:spacing w:line="600" w:lineRule="exact"/>
        <w:ind w:firstLine="560" w:firstLineChars="200"/>
        <w:rPr>
          <w:rFonts w:hint="default" w:ascii="Times New Roman" w:hAnsi="Times New Roman" w:eastAsia="方正仿宋_GBK" w:cs="Times New Roman"/>
          <w:b w:val="0"/>
          <w:bCs w:val="0"/>
          <w:strike w:val="0"/>
          <w:dstrike w:val="0"/>
          <w:color w:val="000000"/>
          <w:sz w:val="28"/>
          <w:szCs w:val="28"/>
          <w:lang w:val="en-US" w:eastAsia="zh-CN"/>
        </w:rPr>
      </w:pPr>
      <w:r>
        <w:rPr>
          <w:rFonts w:hint="default" w:ascii="Times New Roman" w:hAnsi="Times New Roman" w:eastAsia="方正仿宋_GBK" w:cs="Times New Roman"/>
          <w:b w:val="0"/>
          <w:bCs w:val="0"/>
          <w:strike w:val="0"/>
          <w:dstrike w:val="0"/>
          <w:color w:val="000000"/>
          <w:sz w:val="28"/>
          <w:szCs w:val="28"/>
          <w:lang w:val="en-US" w:eastAsia="zh-CN"/>
        </w:rPr>
        <w:t>（4）决定;</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b w:val="0"/>
          <w:bCs w:val="0"/>
          <w:strike w:val="0"/>
          <w:dstrike w:val="0"/>
          <w:color w:val="000000"/>
          <w:sz w:val="28"/>
          <w:szCs w:val="28"/>
          <w:lang w:val="en-US" w:eastAsia="zh-CN"/>
        </w:rPr>
        <w:t>（5）送达。</w:t>
      </w:r>
    </w:p>
    <w:p>
      <w:pPr>
        <w:spacing w:line="540" w:lineRule="exact"/>
        <w:ind w:firstLine="562" w:firstLineChars="200"/>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仿宋GB2312" w:cs="Times New Roman"/>
          <w:b/>
          <w:bCs/>
          <w:sz w:val="28"/>
          <w:szCs w:val="28"/>
        </w:rPr>
        <w:t>2.规定行政许可程序的依据：</w:t>
      </w:r>
      <w:r>
        <w:rPr>
          <w:rFonts w:hint="default" w:ascii="Times New Roman" w:hAnsi="Times New Roman" w:eastAsia="方正仿宋_GBK" w:cs="Times New Roman"/>
          <w:b w:val="0"/>
          <w:bCs w:val="0"/>
          <w:strike w:val="0"/>
          <w:dstrike w:val="0"/>
          <w:color w:val="auto"/>
          <w:sz w:val="28"/>
          <w:szCs w:val="28"/>
          <w:lang w:val="en-US" w:eastAsia="zh-CN"/>
        </w:rPr>
        <w:t>《中华人民共和国行政许可法》</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3.是否需要现场勘验：</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4.是否需要组织听证：</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5.是否需要招标、拍卖、挂牌交易：</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6.是否需要检验、检测、检疫：</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7.是否需要鉴定：</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8.是否需要专家评审：</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9.是否需要向社会公示：</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10.是否实行告知承诺办理：</w:t>
      </w:r>
      <w:r>
        <w:rPr>
          <w:rFonts w:hint="default" w:ascii="Times New Roman" w:hAnsi="Times New Roman" w:eastAsia="方正仿宋_GBK" w:cs="Times New Roman"/>
          <w:sz w:val="28"/>
          <w:szCs w:val="28"/>
        </w:rPr>
        <w:t>否</w:t>
      </w:r>
    </w:p>
    <w:p>
      <w:pPr>
        <w:spacing w:line="600" w:lineRule="exact"/>
        <w:ind w:firstLine="562" w:firstLineChars="200"/>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11.审批机关是否委托服务机构开展技术性服务：</w:t>
      </w:r>
      <w:r>
        <w:rPr>
          <w:rFonts w:hint="default" w:ascii="Times New Roman" w:hAnsi="Times New Roman" w:eastAsia="方正仿宋_GBK" w:cs="Times New Roman"/>
          <w:sz w:val="28"/>
          <w:szCs w:val="28"/>
        </w:rPr>
        <w:t>否</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八、受理和审批时限</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1.承诺受理时限：</w:t>
      </w:r>
      <w:r>
        <w:rPr>
          <w:rFonts w:hint="default" w:ascii="Times New Roman" w:hAnsi="Times New Roman" w:eastAsia="方正仿宋_GBK" w:cs="Times New Roman"/>
          <w:sz w:val="28"/>
          <w:szCs w:val="28"/>
        </w:rPr>
        <w:t>5个工作日</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2.法定审批时限：</w:t>
      </w:r>
      <w:r>
        <w:rPr>
          <w:rFonts w:hint="default" w:ascii="Times New Roman" w:hAnsi="Times New Roman" w:eastAsia="方正仿宋_GBK" w:cs="Times New Roman"/>
          <w:sz w:val="28"/>
          <w:szCs w:val="28"/>
        </w:rPr>
        <w:t>20个工作日</w:t>
      </w:r>
    </w:p>
    <w:p>
      <w:pPr>
        <w:spacing w:line="540" w:lineRule="exact"/>
        <w:ind w:firstLine="562" w:firstLineChars="200"/>
        <w:outlineLvl w:val="2"/>
        <w:rPr>
          <w:rFonts w:hint="default" w:ascii="Times New Roman" w:hAnsi="Times New Roman" w:eastAsia="仿宋GB2312" w:cs="Times New Roman"/>
          <w:b/>
          <w:bCs/>
          <w:sz w:val="28"/>
          <w:szCs w:val="28"/>
        </w:rPr>
      </w:pPr>
      <w:r>
        <w:rPr>
          <w:rFonts w:hint="default" w:ascii="Times New Roman" w:hAnsi="Times New Roman" w:eastAsia="仿宋GB2312" w:cs="Times New Roman"/>
          <w:b/>
          <w:bCs/>
          <w:sz w:val="28"/>
          <w:szCs w:val="28"/>
        </w:rPr>
        <w:t>3.规定法定审批时限依据</w:t>
      </w:r>
    </w:p>
    <w:p>
      <w:pPr>
        <w:spacing w:line="600" w:lineRule="exact"/>
        <w:ind w:firstLine="560" w:firstLineChars="200"/>
        <w:rPr>
          <w:rFonts w:hint="default" w:ascii="Times New Roman" w:hAnsi="Times New Roman" w:eastAsia="仿宋GB2312" w:cs="Times New Roman"/>
          <w:sz w:val="32"/>
          <w:szCs w:val="32"/>
        </w:rPr>
      </w:pPr>
      <w:r>
        <w:rPr>
          <w:rFonts w:hint="default" w:ascii="Times New Roman" w:hAnsi="Times New Roman" w:eastAsia="方正仿宋_GBK" w:cs="Times New Roman"/>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4.承诺审批时限：</w:t>
      </w:r>
      <w:r>
        <w:rPr>
          <w:rFonts w:hint="default" w:ascii="Times New Roman" w:hAnsi="Times New Roman" w:eastAsia="方正仿宋_GBK" w:cs="Times New Roman"/>
          <w:sz w:val="28"/>
          <w:szCs w:val="28"/>
          <w:lang w:val="en-US" w:eastAsia="zh-CN"/>
        </w:rPr>
        <w:t>5</w:t>
      </w:r>
      <w:r>
        <w:rPr>
          <w:rFonts w:hint="default" w:ascii="Times New Roman" w:hAnsi="Times New Roman" w:eastAsia="方正仿宋_GBK" w:cs="Times New Roman"/>
          <w:sz w:val="28"/>
          <w:szCs w:val="28"/>
        </w:rPr>
        <w:t>个工作日</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九、收费</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1.办理行政许可是否收费：</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方正仿宋_GBK" w:cs="Times New Roman"/>
          <w:b/>
          <w:bCs/>
          <w:color w:val="FF0000"/>
          <w:sz w:val="28"/>
          <w:szCs w:val="28"/>
        </w:rPr>
      </w:pPr>
      <w:r>
        <w:rPr>
          <w:rFonts w:hint="default" w:ascii="Times New Roman" w:hAnsi="Times New Roman" w:eastAsia="仿宋GB2312" w:cs="Times New Roman"/>
          <w:b/>
          <w:bCs/>
          <w:sz w:val="28"/>
          <w:szCs w:val="28"/>
        </w:rPr>
        <w:t>2.收费项目的名称、收费项目的标准、设定收费项目的依据、规定收费标准的依据：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十、行政许可证件</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1.审批结果类型：</w:t>
      </w:r>
      <w:r>
        <w:rPr>
          <w:rFonts w:hint="default" w:ascii="Times New Roman" w:hAnsi="Times New Roman" w:eastAsia="方正仿宋_GBK" w:cs="Times New Roman"/>
          <w:sz w:val="28"/>
          <w:szCs w:val="28"/>
        </w:rPr>
        <w:t>其他</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2.审批结果名称：</w:t>
      </w:r>
      <w:r>
        <w:rPr>
          <w:rFonts w:hint="default" w:ascii="Times New Roman" w:hAnsi="Times New Roman" w:eastAsia="方正仿宋_GBK" w:cs="Times New Roman"/>
          <w:sz w:val="28"/>
          <w:szCs w:val="28"/>
        </w:rPr>
        <w:t>草原防火通行证</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3.审批结果的有效期限：</w:t>
      </w:r>
      <w:r>
        <w:rPr>
          <w:rFonts w:hint="default" w:ascii="Times New Roman" w:hAnsi="Times New Roman" w:eastAsia="方正仿宋_GBK" w:cs="Times New Roman"/>
          <w:sz w:val="28"/>
          <w:szCs w:val="28"/>
        </w:rPr>
        <w:t>以审批确定的有效期限为准</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4.规定审批结果有效期限的依据：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5.是否需要办理审批结果变更手续：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6.办理审批结果变更手续的要求：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7.是否需要办理审批结果延续手续：</w:t>
      </w:r>
      <w:r>
        <w:rPr>
          <w:rFonts w:hint="default" w:ascii="Times New Roman" w:hAnsi="Times New Roman" w:eastAsia="方正仿宋_GBK" w:cs="Times New Roman"/>
          <w:sz w:val="28"/>
          <w:szCs w:val="28"/>
        </w:rPr>
        <w:t>否</w:t>
      </w:r>
    </w:p>
    <w:p>
      <w:pPr>
        <w:spacing w:line="540" w:lineRule="exact"/>
        <w:ind w:firstLine="562" w:firstLineChars="200"/>
        <w:outlineLvl w:val="2"/>
        <w:rPr>
          <w:rFonts w:hint="default" w:ascii="Times New Roman" w:hAnsi="Times New Roman" w:eastAsia="仿宋GB2312" w:cs="Times New Roman"/>
          <w:sz w:val="32"/>
          <w:szCs w:val="32"/>
        </w:rPr>
      </w:pPr>
      <w:r>
        <w:rPr>
          <w:rFonts w:hint="default" w:ascii="Times New Roman" w:hAnsi="Times New Roman" w:eastAsia="仿宋GB2312" w:cs="Times New Roman"/>
          <w:b/>
          <w:bCs/>
          <w:sz w:val="28"/>
          <w:szCs w:val="28"/>
        </w:rPr>
        <w:t>8.办理审批结果延续手续的要求：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9.审批结果的有效地域范围：</w:t>
      </w:r>
      <w:r>
        <w:rPr>
          <w:rFonts w:hint="default" w:ascii="Times New Roman" w:hAnsi="Times New Roman" w:eastAsia="方正仿宋_GBK" w:cs="Times New Roman"/>
          <w:sz w:val="28"/>
          <w:szCs w:val="28"/>
        </w:rPr>
        <w:t>以审批确定的范围为准</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10.规定审批结果有效地域范围的依据：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十一、行政许可数量限制</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1.有无行政许可数量限制：</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2.公布数量限制的方式：</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3.公布数量限制的周期：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4.在数量限制条件下实施行政许可的方式：</w:t>
      </w:r>
      <w:r>
        <w:rPr>
          <w:rFonts w:hint="default" w:ascii="Times New Roman" w:hAnsi="Times New Roman" w:eastAsia="方正仿宋_GBK" w:cs="Times New Roman"/>
          <w:sz w:val="28"/>
          <w:szCs w:val="28"/>
        </w:rPr>
        <w:t>无</w:t>
      </w:r>
    </w:p>
    <w:p>
      <w:pPr>
        <w:spacing w:line="600" w:lineRule="exact"/>
        <w:ind w:firstLine="562" w:firstLineChars="200"/>
        <w:jc w:val="left"/>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5.规定在数量限制条件下实施行政许可方式的依据：</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十二、行政许可后年检</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1.有无年检要求：</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2.设定年检要求的依据：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3.年检周期：</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4.年检是否要求报送材料：</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5.年检报送材料名称：</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6.年检是否收费：</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7.年检收费项目的名称、年检收费项目的标准、设定年检收费项目的依据、规定年检项目收费标准的依据：</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8.通过年检的证明或者标志：</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十三、行政许可后年报</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1.有无年报要求：</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2.年报报送材料名称：</w:t>
      </w:r>
      <w:r>
        <w:rPr>
          <w:rFonts w:hint="default" w:ascii="Times New Roman" w:hAnsi="Times New Roman" w:eastAsia="方正仿宋_GBK" w:cs="Times New Roman"/>
          <w:sz w:val="28"/>
          <w:szCs w:val="28"/>
        </w:rPr>
        <w:t>无</w:t>
      </w:r>
    </w:p>
    <w:p>
      <w:pPr>
        <w:spacing w:line="540" w:lineRule="exact"/>
        <w:ind w:firstLine="562" w:firstLineChars="200"/>
        <w:outlineLvl w:val="2"/>
        <w:rPr>
          <w:rFonts w:hint="default" w:ascii="Times New Roman" w:hAnsi="Times New Roman" w:eastAsia="方正仿宋_GBK" w:cs="Times New Roman"/>
          <w:sz w:val="28"/>
          <w:szCs w:val="28"/>
        </w:rPr>
      </w:pPr>
      <w:r>
        <w:rPr>
          <w:rFonts w:hint="default" w:ascii="Times New Roman" w:hAnsi="Times New Roman" w:eastAsia="仿宋GB2312" w:cs="Times New Roman"/>
          <w:b/>
          <w:bCs/>
          <w:sz w:val="28"/>
          <w:szCs w:val="28"/>
        </w:rPr>
        <w:t>3.设定年报要求的依据：</w:t>
      </w:r>
      <w:r>
        <w:rPr>
          <w:rFonts w:hint="default" w:ascii="Times New Roman" w:hAnsi="Times New Roman" w:eastAsia="方正仿宋_GBK" w:cs="Times New Roman"/>
          <w:sz w:val="28"/>
          <w:szCs w:val="28"/>
        </w:rPr>
        <w:t>无</w:t>
      </w:r>
    </w:p>
    <w:p>
      <w:pPr>
        <w:spacing w:line="600" w:lineRule="exact"/>
        <w:ind w:firstLine="562" w:firstLineChars="200"/>
        <w:rPr>
          <w:rFonts w:hint="default" w:ascii="Times New Roman" w:hAnsi="Times New Roman" w:eastAsia="仿宋GB2312" w:cs="Times New Roman"/>
          <w:sz w:val="28"/>
          <w:szCs w:val="28"/>
        </w:rPr>
      </w:pPr>
      <w:r>
        <w:rPr>
          <w:rFonts w:hint="default" w:ascii="Times New Roman" w:hAnsi="Times New Roman" w:eastAsia="仿宋GB2312" w:cs="Times New Roman"/>
          <w:b/>
          <w:bCs/>
          <w:sz w:val="28"/>
          <w:szCs w:val="28"/>
        </w:rPr>
        <w:t>4.年报周期：</w:t>
      </w:r>
      <w:r>
        <w:rPr>
          <w:rFonts w:hint="default" w:ascii="Times New Roman" w:hAnsi="Times New Roman" w:eastAsia="方正仿宋_GBK" w:cs="Times New Roman"/>
          <w:sz w:val="28"/>
          <w:szCs w:val="28"/>
        </w:rPr>
        <w:t>无</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十四、监管主体</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、县级林草部门</w:t>
      </w:r>
    </w:p>
    <w:p>
      <w:pPr>
        <w:spacing w:line="540" w:lineRule="exact"/>
        <w:outlineLvl w:val="1"/>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十五、备注</w:t>
      </w:r>
    </w:p>
    <w:p>
      <w:pPr>
        <w:spacing w:line="60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《德宏州人民政府关于调整63项州级行政权力事项的决定》（德政发〔2021〕10号）附件3 州级不再实施，保留县级审批权限。</w:t>
      </w:r>
    </w:p>
    <w:p>
      <w:pPr>
        <w:spacing w:line="600" w:lineRule="exact"/>
        <w:ind w:firstLine="560" w:firstLineChars="200"/>
        <w:rPr>
          <w:rFonts w:hint="default" w:ascii="Times New Roman" w:hAnsi="Times New Roman" w:eastAsia="方正仿宋_GBK" w:cs="Times New Roman"/>
          <w:sz w:val="28"/>
          <w:szCs w:val="28"/>
        </w:rPr>
      </w:pPr>
    </w:p>
    <w:p>
      <w:pPr>
        <w:spacing w:line="540" w:lineRule="exact"/>
        <w:outlineLvl w:val="1"/>
        <w:rPr>
          <w:rFonts w:hint="default" w:ascii="Times New Roman" w:hAnsi="Times New Roman" w:eastAsia="黑体" w:cs="Times New Roman"/>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Bookshelf Symbol 7">
    <w:panose1 w:val="05010101010101010101"/>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834111"/>
    <w:multiLevelType w:val="singleLevel"/>
    <w:tmpl w:val="FB834111"/>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jNWQ3NmMzNmQxMjgwYzQyNDQ1YTQ1Y2EwNWM2OWMifQ=="/>
  </w:docVars>
  <w:rsids>
    <w:rsidRoot w:val="00172A27"/>
    <w:rsid w:val="00172A27"/>
    <w:rsid w:val="00544F01"/>
    <w:rsid w:val="005E13C8"/>
    <w:rsid w:val="00840119"/>
    <w:rsid w:val="008F7E45"/>
    <w:rsid w:val="00D47681"/>
    <w:rsid w:val="00F647C8"/>
    <w:rsid w:val="06652B29"/>
    <w:rsid w:val="0CD41170"/>
    <w:rsid w:val="13E148E4"/>
    <w:rsid w:val="166337EC"/>
    <w:rsid w:val="284850F7"/>
    <w:rsid w:val="289268E7"/>
    <w:rsid w:val="2F668C69"/>
    <w:rsid w:val="317B79E6"/>
    <w:rsid w:val="374E4846"/>
    <w:rsid w:val="439F69ED"/>
    <w:rsid w:val="45FCDF71"/>
    <w:rsid w:val="4A7A67AF"/>
    <w:rsid w:val="4A8065CD"/>
    <w:rsid w:val="579D1772"/>
    <w:rsid w:val="5FFF66BD"/>
    <w:rsid w:val="6BDB1632"/>
    <w:rsid w:val="723221FD"/>
    <w:rsid w:val="75FE9009"/>
    <w:rsid w:val="76205D30"/>
    <w:rsid w:val="76965FD4"/>
    <w:rsid w:val="77D25723"/>
    <w:rsid w:val="7FFD34B7"/>
    <w:rsid w:val="CDB3244E"/>
    <w:rsid w:val="CFFFA959"/>
    <w:rsid w:val="DBEFC229"/>
    <w:rsid w:val="DDF47CF0"/>
    <w:rsid w:val="DE9D9321"/>
    <w:rsid w:val="DFF2EA06"/>
    <w:rsid w:val="E91B5F3B"/>
    <w:rsid w:val="EFDD24DF"/>
    <w:rsid w:val="F72FFF1B"/>
    <w:rsid w:val="FC1F8969"/>
    <w:rsid w:val="FDF78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2048</Words>
  <Characters>11675</Characters>
  <Lines>97</Lines>
  <Paragraphs>27</Paragraphs>
  <TotalTime>1</TotalTime>
  <ScaleCrop>false</ScaleCrop>
  <LinksUpToDate>false</LinksUpToDate>
  <CharactersWithSpaces>13696</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张艳丽</cp:lastModifiedBy>
  <cp:lastPrinted>2022-06-19T06:53:00Z</cp:lastPrinted>
  <dcterms:modified xsi:type="dcterms:W3CDTF">2023-10-25T02:37:05Z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2052-12.1.0.15336</vt:lpwstr>
  </property>
</Properties>
</file>