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方正仿宋_GBK" w:cs="仿宋_GB2312"/>
          <w:color w:val="auto"/>
          <w:sz w:val="32"/>
          <w:szCs w:val="32"/>
          <w:lang w:val="en-US" w:eastAsia="zh-CN"/>
        </w:rPr>
        <w:t>2：移交赋权事项目录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213"/>
        <w:gridCol w:w="3498"/>
        <w:gridCol w:w="1223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移交赋权事项目录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县级主管部门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事项名称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事项类型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设定和实施依据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县民政局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对采取虚报、隐瞒、伪造等手段，骗取享受城市居民最低生活保障待遇的处罚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《城市居民最低生活保障条例》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县民政局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在享受城市居民最低生活保障待遇期间家庭收入情况好转，不按规定告知管理审批机关，继续享受城市居民最低生活保障待遇的处罚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行政处罚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《城市居民最低生活保障条例》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方正仿宋_GBK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73F0B"/>
    <w:rsid w:val="44945C7A"/>
    <w:rsid w:val="4C0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2023-12-18T07:58:00Z</dcterms:created>
  <dc:creator>三轮车。</dc:creator>
  <cp:lastModifiedBy>三轮车。</cp:lastModifiedBy>
  <dcterms:modified xsi:type="dcterms:W3CDTF">2023-12-18T08:09:32Z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5171F63F7A2445E798DFB1FFE767DB62</vt:lpwstr>
  </property>
</Properties>
</file>