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olor w:val="7030A0"/>
          <w:sz w:val="36"/>
          <w:szCs w:val="36"/>
        </w:rPr>
      </w:pPr>
      <w:r>
        <w:rPr>
          <w:rFonts w:hint="eastAsia" w:ascii="黑体" w:hAnsi="黑体" w:eastAsia="黑体"/>
          <w:sz w:val="36"/>
          <w:szCs w:val="36"/>
        </w:rPr>
        <w:t>盈江县那邦镇人民政府2017年度部门决算</w:t>
      </w:r>
    </w:p>
    <w:p>
      <w:pPr>
        <w:jc w:val="left"/>
        <w:rPr>
          <w:rFonts w:ascii="黑体" w:hAnsi="黑体" w:eastAsia="黑体"/>
          <w:sz w:val="30"/>
          <w:szCs w:val="30"/>
        </w:rPr>
      </w:pPr>
    </w:p>
    <w:p>
      <w:pPr>
        <w:jc w:val="left"/>
        <w:rPr>
          <w:rFonts w:ascii="黑体" w:hAnsi="黑体" w:eastAsia="黑体"/>
          <w:sz w:val="30"/>
          <w:szCs w:val="30"/>
        </w:rPr>
      </w:pPr>
      <w:r>
        <w:rPr>
          <w:rFonts w:hint="eastAsia" w:ascii="黑体" w:hAnsi="黑体" w:eastAsia="黑体"/>
          <w:sz w:val="30"/>
          <w:szCs w:val="30"/>
        </w:rPr>
        <w:t>第一部分  盈江县那邦镇人民政府概况</w:t>
      </w:r>
    </w:p>
    <w:p>
      <w:pPr>
        <w:spacing w:line="240" w:lineRule="atLeast"/>
        <w:jc w:val="left"/>
        <w:rPr>
          <w:rFonts w:ascii="楷体" w:hAnsi="楷体" w:eastAsia="楷体"/>
          <w:sz w:val="30"/>
          <w:szCs w:val="30"/>
        </w:rPr>
      </w:pPr>
      <w:r>
        <w:rPr>
          <w:rFonts w:hint="eastAsia" w:ascii="楷体" w:hAnsi="楷体" w:eastAsia="楷体"/>
          <w:sz w:val="30"/>
          <w:szCs w:val="30"/>
        </w:rPr>
        <w:t>一、主要职能</w:t>
      </w:r>
    </w:p>
    <w:p>
      <w:pPr>
        <w:spacing w:line="240" w:lineRule="atLeast"/>
        <w:jc w:val="left"/>
        <w:rPr>
          <w:rFonts w:ascii="楷体" w:hAnsi="楷体" w:eastAsia="楷体"/>
          <w:sz w:val="30"/>
          <w:szCs w:val="30"/>
        </w:rPr>
      </w:pPr>
      <w:r>
        <w:rPr>
          <w:rFonts w:hint="eastAsia" w:ascii="楷体" w:hAnsi="楷体" w:eastAsia="楷体"/>
          <w:sz w:val="30"/>
          <w:szCs w:val="30"/>
        </w:rPr>
        <w:t>二、部门基本情况</w:t>
      </w:r>
    </w:p>
    <w:p>
      <w:pPr>
        <w:jc w:val="left"/>
        <w:rPr>
          <w:rFonts w:ascii="黑体" w:hAnsi="黑体" w:eastAsia="黑体"/>
          <w:sz w:val="30"/>
          <w:szCs w:val="30"/>
        </w:rPr>
      </w:pPr>
      <w:r>
        <w:rPr>
          <w:rFonts w:hint="eastAsia" w:ascii="黑体" w:hAnsi="黑体" w:eastAsia="黑体"/>
          <w:sz w:val="30"/>
          <w:szCs w:val="30"/>
        </w:rPr>
        <w:t xml:space="preserve">第二部分 </w:t>
      </w:r>
      <w:r>
        <w:rPr>
          <w:rFonts w:hint="eastAsia" w:ascii="黑体" w:hAnsi="黑体" w:eastAsia="黑体"/>
          <w:color w:val="7030A0"/>
          <w:sz w:val="30"/>
          <w:szCs w:val="30"/>
        </w:rPr>
        <w:t xml:space="preserve"> </w:t>
      </w:r>
      <w:r>
        <w:rPr>
          <w:rFonts w:hint="eastAsia" w:ascii="黑体" w:hAnsi="黑体" w:eastAsia="黑体"/>
          <w:sz w:val="30"/>
          <w:szCs w:val="30"/>
        </w:rPr>
        <w:t>2017年度部门决算表</w:t>
      </w:r>
    </w:p>
    <w:p>
      <w:pPr>
        <w:jc w:val="left"/>
        <w:rPr>
          <w:rFonts w:ascii="楷体" w:hAnsi="楷体" w:eastAsia="楷体"/>
          <w:sz w:val="30"/>
          <w:szCs w:val="30"/>
        </w:rPr>
      </w:pPr>
      <w:r>
        <w:rPr>
          <w:rFonts w:hint="eastAsia" w:ascii="楷体" w:hAnsi="楷体" w:eastAsia="楷体"/>
          <w:sz w:val="30"/>
          <w:szCs w:val="30"/>
        </w:rPr>
        <w:t>一、收入支出决算总表</w:t>
      </w:r>
    </w:p>
    <w:p>
      <w:pPr>
        <w:jc w:val="left"/>
        <w:rPr>
          <w:rFonts w:ascii="楷体" w:hAnsi="楷体" w:eastAsia="楷体"/>
          <w:sz w:val="30"/>
          <w:szCs w:val="30"/>
        </w:rPr>
      </w:pPr>
      <w:r>
        <w:rPr>
          <w:rFonts w:hint="eastAsia" w:ascii="楷体" w:hAnsi="楷体" w:eastAsia="楷体"/>
          <w:sz w:val="30"/>
          <w:szCs w:val="30"/>
        </w:rPr>
        <w:t>二、收入决算表</w:t>
      </w:r>
    </w:p>
    <w:p>
      <w:pPr>
        <w:jc w:val="left"/>
        <w:rPr>
          <w:rFonts w:ascii="楷体" w:hAnsi="楷体" w:eastAsia="楷体"/>
          <w:sz w:val="30"/>
          <w:szCs w:val="30"/>
        </w:rPr>
      </w:pPr>
      <w:r>
        <w:rPr>
          <w:rFonts w:hint="eastAsia" w:ascii="楷体" w:hAnsi="楷体" w:eastAsia="楷体"/>
          <w:sz w:val="30"/>
          <w:szCs w:val="30"/>
        </w:rPr>
        <w:t>三、支出决算表</w:t>
      </w:r>
    </w:p>
    <w:p>
      <w:pPr>
        <w:jc w:val="left"/>
        <w:rPr>
          <w:rFonts w:ascii="楷体" w:hAnsi="楷体" w:eastAsia="楷体"/>
          <w:sz w:val="30"/>
          <w:szCs w:val="30"/>
        </w:rPr>
      </w:pPr>
      <w:r>
        <w:rPr>
          <w:rFonts w:hint="eastAsia" w:ascii="楷体" w:hAnsi="楷体" w:eastAsia="楷体"/>
          <w:sz w:val="30"/>
          <w:szCs w:val="30"/>
        </w:rPr>
        <w:t>四、财政拨款收入支出决算总表</w:t>
      </w:r>
    </w:p>
    <w:p>
      <w:pPr>
        <w:jc w:val="left"/>
        <w:rPr>
          <w:rFonts w:ascii="楷体" w:hAnsi="楷体" w:eastAsia="楷体"/>
          <w:sz w:val="30"/>
          <w:szCs w:val="30"/>
        </w:rPr>
      </w:pPr>
      <w:r>
        <w:rPr>
          <w:rFonts w:hint="eastAsia" w:ascii="楷体" w:hAnsi="楷体" w:eastAsia="楷体"/>
          <w:sz w:val="30"/>
          <w:szCs w:val="30"/>
        </w:rPr>
        <w:t>五、一般公共预算财政拨款收入支出决算表</w:t>
      </w:r>
    </w:p>
    <w:p>
      <w:pPr>
        <w:jc w:val="left"/>
        <w:rPr>
          <w:rFonts w:ascii="楷体" w:hAnsi="楷体" w:eastAsia="楷体"/>
          <w:sz w:val="30"/>
          <w:szCs w:val="30"/>
        </w:rPr>
      </w:pPr>
      <w:r>
        <w:rPr>
          <w:rFonts w:hint="eastAsia" w:ascii="楷体" w:hAnsi="楷体" w:eastAsia="楷体"/>
          <w:sz w:val="30"/>
          <w:szCs w:val="30"/>
        </w:rPr>
        <w:t>六、一般公共预算财政拨款基本支出决算表</w:t>
      </w:r>
    </w:p>
    <w:p>
      <w:pPr>
        <w:jc w:val="left"/>
        <w:rPr>
          <w:rFonts w:ascii="楷体" w:hAnsi="楷体" w:eastAsia="楷体"/>
          <w:sz w:val="30"/>
          <w:szCs w:val="30"/>
        </w:rPr>
      </w:pPr>
      <w:r>
        <w:rPr>
          <w:rFonts w:hint="eastAsia" w:ascii="楷体" w:hAnsi="楷体" w:eastAsia="楷体"/>
          <w:sz w:val="30"/>
          <w:szCs w:val="30"/>
        </w:rPr>
        <w:t>七、政府性基金预算财政拨款收入支出决算表</w:t>
      </w:r>
    </w:p>
    <w:p>
      <w:pPr>
        <w:jc w:val="left"/>
        <w:rPr>
          <w:rFonts w:ascii="楷体" w:hAnsi="楷体" w:eastAsia="楷体"/>
          <w:sz w:val="30"/>
          <w:szCs w:val="30"/>
        </w:rPr>
      </w:pPr>
      <w:r>
        <w:rPr>
          <w:rFonts w:hint="eastAsia" w:ascii="楷体" w:hAnsi="楷体" w:eastAsia="楷体"/>
          <w:sz w:val="30"/>
          <w:szCs w:val="30"/>
        </w:rPr>
        <w:t>八、财政专户管理资金收入支出决算表</w:t>
      </w:r>
    </w:p>
    <w:p>
      <w:pPr>
        <w:jc w:val="left"/>
        <w:rPr>
          <w:rFonts w:ascii="楷体" w:hAnsi="楷体" w:eastAsia="楷体"/>
          <w:sz w:val="30"/>
          <w:szCs w:val="30"/>
        </w:rPr>
      </w:pPr>
      <w:r>
        <w:rPr>
          <w:rFonts w:hint="eastAsia" w:ascii="楷体" w:hAnsi="楷体" w:eastAsia="楷体"/>
          <w:sz w:val="30"/>
          <w:szCs w:val="30"/>
        </w:rPr>
        <w:t>九、“三公”经费、行政参公单位机关运行经费情况表</w:t>
      </w:r>
    </w:p>
    <w:p>
      <w:pPr>
        <w:jc w:val="left"/>
        <w:rPr>
          <w:rFonts w:ascii="黑体" w:hAnsi="黑体" w:eastAsia="黑体"/>
          <w:sz w:val="30"/>
          <w:szCs w:val="30"/>
        </w:rPr>
      </w:pPr>
      <w:r>
        <w:rPr>
          <w:rFonts w:hint="eastAsia" w:ascii="黑体" w:hAnsi="黑体" w:eastAsia="黑体"/>
          <w:sz w:val="30"/>
          <w:szCs w:val="30"/>
        </w:rPr>
        <w:t>第三部分 2017年度部门决算情况说明</w:t>
      </w:r>
    </w:p>
    <w:p>
      <w:pPr>
        <w:jc w:val="left"/>
        <w:rPr>
          <w:rFonts w:ascii="楷体" w:hAnsi="楷体" w:eastAsia="楷体"/>
          <w:sz w:val="30"/>
          <w:szCs w:val="30"/>
        </w:rPr>
      </w:pPr>
      <w:r>
        <w:rPr>
          <w:rFonts w:hint="eastAsia" w:ascii="楷体" w:hAnsi="楷体" w:eastAsia="楷体"/>
          <w:sz w:val="30"/>
          <w:szCs w:val="30"/>
        </w:rPr>
        <w:t>一、收入决算情况说明</w:t>
      </w:r>
    </w:p>
    <w:p>
      <w:pPr>
        <w:jc w:val="left"/>
        <w:rPr>
          <w:rFonts w:ascii="楷体" w:hAnsi="楷体" w:eastAsia="楷体"/>
          <w:sz w:val="30"/>
          <w:szCs w:val="30"/>
        </w:rPr>
      </w:pPr>
      <w:r>
        <w:rPr>
          <w:rFonts w:hint="eastAsia" w:ascii="楷体" w:hAnsi="楷体" w:eastAsia="楷体"/>
          <w:sz w:val="30"/>
          <w:szCs w:val="30"/>
        </w:rPr>
        <w:t>二、支出决算情况说明</w:t>
      </w:r>
    </w:p>
    <w:p>
      <w:pPr>
        <w:jc w:val="left"/>
        <w:rPr>
          <w:rFonts w:ascii="楷体" w:hAnsi="楷体" w:eastAsia="楷体"/>
          <w:sz w:val="30"/>
          <w:szCs w:val="30"/>
        </w:rPr>
      </w:pPr>
      <w:r>
        <w:rPr>
          <w:rFonts w:hint="eastAsia" w:ascii="楷体" w:hAnsi="楷体" w:eastAsia="楷体"/>
          <w:sz w:val="30"/>
          <w:szCs w:val="30"/>
        </w:rPr>
        <w:t>三、一般公共预算财政拨款支出决算情况说明</w:t>
      </w:r>
    </w:p>
    <w:p>
      <w:pPr>
        <w:widowControl/>
        <w:snapToGrid w:val="0"/>
        <w:spacing w:before="100" w:after="100" w:line="360" w:lineRule="auto"/>
        <w:jc w:val="left"/>
        <w:rPr>
          <w:rFonts w:ascii="楷体" w:hAnsi="楷体" w:eastAsia="楷体"/>
          <w:sz w:val="30"/>
          <w:szCs w:val="30"/>
        </w:rPr>
      </w:pPr>
      <w:r>
        <w:rPr>
          <w:rFonts w:hint="eastAsia" w:ascii="楷体" w:hAnsi="楷体" w:eastAsia="楷体"/>
          <w:sz w:val="30"/>
          <w:szCs w:val="30"/>
        </w:rPr>
        <w:t>四、一般公共预算财政拨款“三公”经费支出决算情况说明</w:t>
      </w:r>
    </w:p>
    <w:p>
      <w:pPr>
        <w:widowControl/>
        <w:snapToGrid w:val="0"/>
        <w:spacing w:before="100" w:after="100" w:line="360" w:lineRule="auto"/>
        <w:jc w:val="left"/>
        <w:rPr>
          <w:rFonts w:ascii="楷体" w:hAnsi="楷体" w:eastAsia="楷体"/>
          <w:sz w:val="30"/>
          <w:szCs w:val="30"/>
        </w:rPr>
      </w:pPr>
      <w:r>
        <w:rPr>
          <w:rFonts w:hint="eastAsia" w:ascii="楷体" w:hAnsi="楷体" w:eastAsia="楷体"/>
          <w:sz w:val="30"/>
          <w:szCs w:val="30"/>
        </w:rPr>
        <w:t>五、其他重要事项及相关口径情况说明</w:t>
      </w:r>
    </w:p>
    <w:p>
      <w:pPr>
        <w:widowControl/>
        <w:snapToGrid w:val="0"/>
        <w:spacing w:before="100" w:after="100" w:line="360" w:lineRule="auto"/>
        <w:jc w:val="left"/>
        <w:rPr>
          <w:rFonts w:ascii="黑体" w:hAnsi="黑体" w:eastAsia="黑体"/>
          <w:sz w:val="30"/>
          <w:szCs w:val="30"/>
        </w:rPr>
      </w:pPr>
      <w:r>
        <w:rPr>
          <w:rFonts w:hint="eastAsia" w:ascii="黑体" w:hAnsi="黑体" w:eastAsia="黑体"/>
          <w:sz w:val="30"/>
          <w:szCs w:val="30"/>
        </w:rPr>
        <w:t>第四部分  名词解释</w:t>
      </w:r>
    </w:p>
    <w:p>
      <w:pPr>
        <w:jc w:val="center"/>
        <w:rPr>
          <w:rFonts w:ascii="黑体" w:hAnsi="黑体" w:eastAsia="黑体"/>
          <w:sz w:val="32"/>
          <w:szCs w:val="32"/>
        </w:rPr>
      </w:pPr>
      <w:r>
        <w:rPr>
          <w:rFonts w:hint="eastAsia" w:ascii="黑体" w:hAnsi="黑体" w:eastAsia="黑体"/>
          <w:sz w:val="32"/>
          <w:szCs w:val="32"/>
        </w:rPr>
        <w:t>第一部分  盈江县那邦镇人民政府概况</w:t>
      </w:r>
    </w:p>
    <w:p>
      <w:pPr>
        <w:spacing w:line="600" w:lineRule="exact"/>
        <w:ind w:firstLine="600" w:firstLineChars="200"/>
        <w:rPr>
          <w:rFonts w:ascii="黑体" w:hAnsi="黑体" w:eastAsia="黑体"/>
          <w:sz w:val="30"/>
          <w:szCs w:val="30"/>
        </w:rPr>
      </w:pPr>
      <w:r>
        <w:rPr>
          <w:rFonts w:hint="eastAsia" w:ascii="黑体" w:hAnsi="黑体" w:eastAsia="黑体"/>
          <w:sz w:val="30"/>
          <w:szCs w:val="30"/>
        </w:rPr>
        <w:t>一、主要职能</w:t>
      </w:r>
    </w:p>
    <w:p>
      <w:pPr>
        <w:spacing w:line="600" w:lineRule="exact"/>
        <w:ind w:firstLine="600" w:firstLineChars="200"/>
        <w:rPr>
          <w:rFonts w:ascii="楷体" w:hAnsi="楷体" w:eastAsia="楷体"/>
          <w:sz w:val="30"/>
          <w:szCs w:val="30"/>
        </w:rPr>
      </w:pPr>
      <w:r>
        <w:rPr>
          <w:rFonts w:hint="eastAsia" w:ascii="楷体" w:hAnsi="楷体" w:eastAsia="楷体"/>
          <w:bCs/>
          <w:sz w:val="30"/>
          <w:szCs w:val="30"/>
        </w:rPr>
        <w:t>（一）主要职能</w:t>
      </w:r>
    </w:p>
    <w:p>
      <w:pPr>
        <w:spacing w:line="560" w:lineRule="exact"/>
        <w:ind w:firstLine="720" w:firstLineChars="225"/>
        <w:rPr>
          <w:rFonts w:ascii="仿宋_GB2312" w:eastAsia="仿宋_GB2312"/>
          <w:color w:val="000000"/>
          <w:sz w:val="32"/>
          <w:szCs w:val="32"/>
        </w:rPr>
      </w:pPr>
      <w:r>
        <w:rPr>
          <w:rFonts w:hint="eastAsia" w:ascii="仿宋_GB2312" w:eastAsia="仿宋_GB2312"/>
          <w:color w:val="000000"/>
          <w:sz w:val="32"/>
          <w:szCs w:val="32"/>
        </w:rPr>
        <w:t>根据《中国共产党农村基层组织工作条例》、《云南省镇镇人民代表大会主席团工作条例》及《中华人民共和国地方各级人民代表大会和地方各级人民政府组织法》等规定，那邦镇党委、人大、政府的主要职责分别是：</w:t>
      </w:r>
    </w:p>
    <w:p>
      <w:pPr>
        <w:spacing w:line="560" w:lineRule="exact"/>
        <w:ind w:firstLine="723" w:firstLineChars="225"/>
        <w:rPr>
          <w:rFonts w:ascii="仿宋_GB2312" w:eastAsia="仿宋_GB2312"/>
          <w:b/>
          <w:color w:val="000000"/>
          <w:sz w:val="32"/>
          <w:szCs w:val="32"/>
        </w:rPr>
      </w:pPr>
      <w:r>
        <w:rPr>
          <w:rFonts w:hint="eastAsia" w:ascii="仿宋_GB2312" w:eastAsia="仿宋_GB2312"/>
          <w:b/>
          <w:color w:val="000000"/>
          <w:sz w:val="32"/>
          <w:szCs w:val="32"/>
        </w:rPr>
        <w:t>1、那邦镇党委的主要职责：</w:t>
      </w:r>
    </w:p>
    <w:p>
      <w:pPr>
        <w:spacing w:line="560" w:lineRule="exact"/>
        <w:ind w:firstLine="720" w:firstLineChars="225"/>
        <w:rPr>
          <w:rFonts w:ascii="仿宋_GB2312" w:eastAsia="仿宋_GB2312"/>
          <w:color w:val="000000"/>
          <w:sz w:val="32"/>
          <w:szCs w:val="32"/>
        </w:rPr>
      </w:pPr>
      <w:r>
        <w:rPr>
          <w:rFonts w:hint="eastAsia" w:ascii="仿宋_GB2312" w:hAnsi="宋体" w:eastAsia="仿宋_GB2312"/>
          <w:color w:val="000000"/>
          <w:sz w:val="32"/>
          <w:szCs w:val="32"/>
        </w:rPr>
        <w:t>⑴</w:t>
      </w:r>
      <w:r>
        <w:rPr>
          <w:rFonts w:hint="eastAsia" w:ascii="仿宋_GB2312" w:eastAsia="仿宋_GB2312"/>
          <w:color w:val="000000"/>
          <w:sz w:val="32"/>
          <w:szCs w:val="32"/>
        </w:rPr>
        <w:t>贯彻执行党的路线、方针、政策和上级党组织及本镇党员代表大会的决议，组织全镇干部群众认真学习马列主义、毛泽东思想、邓小平理论、江泽民同志“三个代表”重要思想和科学发展观理论、党的基本知识。</w:t>
      </w:r>
    </w:p>
    <w:p>
      <w:pPr>
        <w:spacing w:line="560" w:lineRule="exact"/>
        <w:ind w:firstLine="720" w:firstLineChars="225"/>
        <w:rPr>
          <w:rFonts w:ascii="仿宋_GB2312" w:eastAsia="仿宋_GB2312"/>
          <w:color w:val="000000"/>
          <w:sz w:val="32"/>
          <w:szCs w:val="32"/>
        </w:rPr>
      </w:pPr>
      <w:r>
        <w:rPr>
          <w:rFonts w:hint="eastAsia" w:ascii="仿宋_GB2312" w:hAnsi="宋体" w:eastAsia="仿宋_GB2312"/>
          <w:color w:val="000000"/>
          <w:sz w:val="32"/>
          <w:szCs w:val="32"/>
        </w:rPr>
        <w:t>⑵</w:t>
      </w:r>
      <w:r>
        <w:rPr>
          <w:rFonts w:hint="eastAsia" w:ascii="仿宋_GB2312" w:eastAsia="仿宋_GB2312"/>
          <w:color w:val="000000"/>
          <w:sz w:val="32"/>
          <w:szCs w:val="32"/>
        </w:rPr>
        <w:t>根据党委在各个历史时期中心任务，加强农村政权建设、基层组织建设和党风廉政建设。抓好两个文明建设，深入开展政治思想工作。</w:t>
      </w:r>
    </w:p>
    <w:p>
      <w:pPr>
        <w:spacing w:line="560" w:lineRule="exact"/>
        <w:ind w:firstLine="720" w:firstLineChars="225"/>
        <w:rPr>
          <w:rFonts w:ascii="仿宋_GB2312" w:eastAsia="仿宋_GB2312"/>
          <w:color w:val="000000"/>
          <w:sz w:val="32"/>
          <w:szCs w:val="32"/>
        </w:rPr>
      </w:pPr>
      <w:r>
        <w:rPr>
          <w:rFonts w:hint="eastAsia" w:ascii="仿宋_GB2312" w:hAnsi="宋体" w:eastAsia="仿宋_GB2312"/>
          <w:color w:val="000000"/>
          <w:sz w:val="32"/>
          <w:szCs w:val="32"/>
        </w:rPr>
        <w:t>⑶</w:t>
      </w:r>
      <w:r>
        <w:rPr>
          <w:rFonts w:hint="eastAsia" w:ascii="仿宋_GB2312" w:eastAsia="仿宋_GB2312"/>
          <w:color w:val="000000"/>
          <w:sz w:val="32"/>
          <w:szCs w:val="32"/>
        </w:rPr>
        <w:t>制定全镇社会经济发展规划，对经济建设等重大问题作出方向性的决定。团结、组织和带领全镇党内外干部群众，努力完成本镇所担负的任务。</w:t>
      </w:r>
    </w:p>
    <w:p>
      <w:pPr>
        <w:spacing w:line="560" w:lineRule="exact"/>
        <w:ind w:firstLine="720" w:firstLineChars="225"/>
        <w:rPr>
          <w:rFonts w:ascii="仿宋_GB2312" w:eastAsia="仿宋_GB2312"/>
          <w:color w:val="000000"/>
          <w:sz w:val="32"/>
          <w:szCs w:val="32"/>
        </w:rPr>
      </w:pPr>
      <w:r>
        <w:rPr>
          <w:rFonts w:hint="eastAsia" w:ascii="仿宋_GB2312" w:hAnsi="宋体" w:eastAsia="仿宋_GB2312"/>
          <w:color w:val="000000"/>
          <w:sz w:val="32"/>
          <w:szCs w:val="32"/>
        </w:rPr>
        <w:t>⑷</w:t>
      </w:r>
      <w:r>
        <w:rPr>
          <w:rFonts w:hint="eastAsia" w:ascii="仿宋_GB2312" w:eastAsia="仿宋_GB2312"/>
          <w:color w:val="000000"/>
          <w:sz w:val="32"/>
          <w:szCs w:val="32"/>
        </w:rPr>
        <w:t>抓好全镇党员干部的培训、管理和发展工作，教育广大党员认真履行义务、遵纪守法，充分发挥基层党组织的战斗堡垒作用和党员的先锋模范作用。</w:t>
      </w:r>
    </w:p>
    <w:p>
      <w:pPr>
        <w:spacing w:line="560" w:lineRule="exact"/>
        <w:ind w:firstLine="720" w:firstLineChars="225"/>
        <w:rPr>
          <w:rFonts w:ascii="仿宋_GB2312" w:eastAsia="仿宋_GB2312"/>
          <w:color w:val="000000"/>
          <w:sz w:val="32"/>
          <w:szCs w:val="32"/>
        </w:rPr>
      </w:pPr>
      <w:r>
        <w:rPr>
          <w:rFonts w:hint="eastAsia" w:ascii="仿宋_GB2312" w:hAnsi="宋体" w:eastAsia="仿宋_GB2312"/>
          <w:color w:val="000000"/>
          <w:sz w:val="32"/>
          <w:szCs w:val="32"/>
        </w:rPr>
        <w:t>⑸</w:t>
      </w:r>
      <w:r>
        <w:rPr>
          <w:rFonts w:hint="eastAsia" w:ascii="仿宋_GB2312" w:eastAsia="仿宋_GB2312"/>
          <w:color w:val="000000"/>
          <w:sz w:val="32"/>
          <w:szCs w:val="32"/>
        </w:rPr>
        <w:t>领导纪检、武装、共青团、妇联、工会组织认真开展工作，做好人大、政府、纪委、政协、组织、宣传工作。</w:t>
      </w:r>
    </w:p>
    <w:p>
      <w:pPr>
        <w:spacing w:line="560" w:lineRule="exact"/>
        <w:ind w:firstLine="720" w:firstLineChars="225"/>
        <w:rPr>
          <w:rFonts w:ascii="仿宋_GB2312" w:eastAsia="仿宋_GB2312"/>
          <w:color w:val="000000"/>
          <w:sz w:val="32"/>
          <w:szCs w:val="32"/>
        </w:rPr>
      </w:pPr>
      <w:r>
        <w:rPr>
          <w:rFonts w:hint="eastAsia" w:ascii="仿宋_GB2312" w:hAnsi="宋体" w:eastAsia="仿宋_GB2312"/>
          <w:color w:val="000000"/>
          <w:sz w:val="32"/>
          <w:szCs w:val="32"/>
        </w:rPr>
        <w:t>⑹</w:t>
      </w:r>
      <w:r>
        <w:rPr>
          <w:rFonts w:hint="eastAsia" w:ascii="仿宋_GB2312" w:eastAsia="仿宋_GB2312"/>
          <w:color w:val="000000"/>
          <w:sz w:val="32"/>
          <w:szCs w:val="32"/>
        </w:rPr>
        <w:t>研究决定全镇政治、经济、文化和社会发展中的重大事宜。</w:t>
      </w:r>
    </w:p>
    <w:p>
      <w:pPr>
        <w:spacing w:line="560" w:lineRule="exact"/>
        <w:ind w:firstLine="720" w:firstLineChars="225"/>
        <w:rPr>
          <w:rFonts w:ascii="仿宋_GB2312" w:eastAsia="仿宋_GB2312"/>
          <w:color w:val="000000"/>
          <w:sz w:val="32"/>
          <w:szCs w:val="32"/>
        </w:rPr>
      </w:pPr>
      <w:r>
        <w:rPr>
          <w:rFonts w:hint="eastAsia" w:ascii="仿宋_GB2312" w:hAnsi="宋体" w:eastAsia="仿宋_GB2312"/>
          <w:color w:val="000000"/>
          <w:sz w:val="32"/>
          <w:szCs w:val="32"/>
        </w:rPr>
        <w:t>⑺</w:t>
      </w:r>
      <w:r>
        <w:rPr>
          <w:rFonts w:hint="eastAsia" w:ascii="仿宋_GB2312" w:eastAsia="仿宋_GB2312"/>
          <w:color w:val="000000"/>
          <w:sz w:val="32"/>
          <w:szCs w:val="32"/>
        </w:rPr>
        <w:t>完成上级党委政府赋予的其它工作任务。</w:t>
      </w:r>
    </w:p>
    <w:p>
      <w:pPr>
        <w:spacing w:line="56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2、那邦镇人大主席团的主要职责：</w:t>
      </w:r>
    </w:p>
    <w:p>
      <w:pPr>
        <w:spacing w:line="560" w:lineRule="exact"/>
        <w:ind w:firstLine="720" w:firstLineChars="225"/>
        <w:rPr>
          <w:rFonts w:ascii="仿宋_GB2312" w:eastAsia="仿宋_GB2312"/>
          <w:b/>
          <w:color w:val="000000"/>
          <w:sz w:val="32"/>
          <w:szCs w:val="32"/>
        </w:rPr>
      </w:pPr>
      <w:r>
        <w:rPr>
          <w:rFonts w:hint="eastAsia" w:ascii="仿宋_GB2312" w:hAnsi="宋体" w:eastAsia="仿宋_GB2312"/>
          <w:color w:val="000000"/>
          <w:sz w:val="32"/>
          <w:szCs w:val="32"/>
        </w:rPr>
        <w:t>⑴</w:t>
      </w:r>
      <w:r>
        <w:rPr>
          <w:rFonts w:hint="eastAsia" w:ascii="仿宋_GB2312" w:eastAsia="仿宋_GB2312"/>
          <w:color w:val="000000"/>
          <w:kern w:val="0"/>
          <w:sz w:val="32"/>
          <w:szCs w:val="32"/>
        </w:rPr>
        <w:t>检查、督促宪法、法律、法规及镇人民代表大会和上级人民代表大会及其常务委员会的决议、决定在全镇行政区域的贯彻执行。</w:t>
      </w:r>
    </w:p>
    <w:p>
      <w:pPr>
        <w:widowControl/>
        <w:spacing w:line="560" w:lineRule="exact"/>
        <w:ind w:firstLine="720" w:firstLineChars="225"/>
        <w:jc w:val="left"/>
        <w:rPr>
          <w:rFonts w:ascii="仿宋_GB2312" w:eastAsia="仿宋_GB2312"/>
          <w:color w:val="000000"/>
          <w:kern w:val="0"/>
          <w:sz w:val="32"/>
          <w:szCs w:val="32"/>
        </w:rPr>
      </w:pPr>
      <w:r>
        <w:rPr>
          <w:rFonts w:hint="eastAsia" w:ascii="仿宋_GB2312" w:hAnsi="宋体" w:eastAsia="仿宋_GB2312"/>
          <w:color w:val="000000"/>
          <w:sz w:val="32"/>
          <w:szCs w:val="32"/>
        </w:rPr>
        <w:t>⑵</w:t>
      </w:r>
      <w:r>
        <w:rPr>
          <w:rFonts w:hint="eastAsia" w:ascii="仿宋_GB2312" w:eastAsia="仿宋_GB2312"/>
          <w:color w:val="000000"/>
          <w:kern w:val="0"/>
          <w:sz w:val="32"/>
          <w:szCs w:val="32"/>
        </w:rPr>
        <w:t>听取和审议镇政府的经济、教育、科学、文化、卫生、民政、民族、社会治安等工作情况的汇报，监督镇政府的工作。</w:t>
      </w:r>
    </w:p>
    <w:p>
      <w:pPr>
        <w:widowControl/>
        <w:spacing w:line="560" w:lineRule="exact"/>
        <w:ind w:firstLine="720" w:firstLineChars="225"/>
        <w:jc w:val="left"/>
        <w:rPr>
          <w:rFonts w:ascii="仿宋_GB2312" w:eastAsia="仿宋_GB2312"/>
          <w:color w:val="000000"/>
          <w:kern w:val="0"/>
          <w:sz w:val="32"/>
          <w:szCs w:val="32"/>
        </w:rPr>
      </w:pPr>
      <w:r>
        <w:rPr>
          <w:rFonts w:hint="eastAsia" w:ascii="仿宋_GB2312" w:hAnsi="宋体" w:eastAsia="仿宋_GB2312"/>
          <w:color w:val="000000"/>
          <w:sz w:val="32"/>
          <w:szCs w:val="32"/>
        </w:rPr>
        <w:t>⑶</w:t>
      </w:r>
      <w:r>
        <w:rPr>
          <w:rFonts w:hint="eastAsia" w:ascii="仿宋_GB2312" w:eastAsia="仿宋_GB2312"/>
          <w:color w:val="000000"/>
          <w:kern w:val="0"/>
          <w:sz w:val="32"/>
          <w:szCs w:val="32"/>
        </w:rPr>
        <w:t>对镇的重大事项、镇政府的经济、文化、公共事业和财政预算的年度计划提出建议和提请镇人民代表大会审议决定。</w:t>
      </w:r>
    </w:p>
    <w:p>
      <w:pPr>
        <w:widowControl/>
        <w:spacing w:line="560" w:lineRule="exact"/>
        <w:ind w:firstLine="720" w:firstLineChars="225"/>
        <w:jc w:val="left"/>
        <w:rPr>
          <w:rFonts w:ascii="仿宋_GB2312" w:eastAsia="仿宋_GB2312"/>
          <w:color w:val="000000"/>
          <w:kern w:val="0"/>
          <w:sz w:val="32"/>
          <w:szCs w:val="32"/>
        </w:rPr>
      </w:pPr>
      <w:r>
        <w:rPr>
          <w:rFonts w:hint="eastAsia" w:ascii="仿宋_GB2312" w:hAnsi="宋体" w:eastAsia="仿宋_GB2312"/>
          <w:color w:val="000000"/>
          <w:sz w:val="32"/>
          <w:szCs w:val="32"/>
        </w:rPr>
        <w:t>⑷</w:t>
      </w:r>
      <w:r>
        <w:rPr>
          <w:rFonts w:hint="eastAsia" w:ascii="仿宋_GB2312" w:eastAsia="仿宋_GB2312"/>
          <w:color w:val="000000"/>
          <w:kern w:val="0"/>
          <w:sz w:val="32"/>
          <w:szCs w:val="32"/>
        </w:rPr>
        <w:t>检查、督促镇政府及有关单位办理镇人民代表大会代表提出的议案、建议、批评和意见。</w:t>
      </w:r>
    </w:p>
    <w:p>
      <w:pPr>
        <w:widowControl/>
        <w:spacing w:line="560" w:lineRule="exact"/>
        <w:ind w:firstLine="720" w:firstLineChars="225"/>
        <w:jc w:val="left"/>
        <w:rPr>
          <w:rFonts w:ascii="仿宋_GB2312" w:eastAsia="仿宋_GB2312"/>
          <w:color w:val="000000"/>
          <w:kern w:val="0"/>
          <w:sz w:val="32"/>
          <w:szCs w:val="32"/>
        </w:rPr>
      </w:pPr>
      <w:r>
        <w:rPr>
          <w:rFonts w:hint="eastAsia" w:ascii="仿宋_GB2312" w:hAnsi="宋体" w:eastAsia="仿宋_GB2312"/>
          <w:color w:val="000000"/>
          <w:sz w:val="32"/>
          <w:szCs w:val="32"/>
        </w:rPr>
        <w:t>⑸</w:t>
      </w:r>
      <w:r>
        <w:rPr>
          <w:rFonts w:hint="eastAsia" w:ascii="仿宋_GB2312" w:eastAsia="仿宋_GB2312"/>
          <w:color w:val="000000"/>
          <w:kern w:val="0"/>
          <w:sz w:val="32"/>
          <w:szCs w:val="32"/>
        </w:rPr>
        <w:t>组织各级人民代表对全镇国家机关和有关单位的工作进行评议和视察。</w:t>
      </w:r>
    </w:p>
    <w:p>
      <w:pPr>
        <w:widowControl/>
        <w:spacing w:line="560" w:lineRule="exact"/>
        <w:ind w:firstLine="720" w:firstLineChars="225"/>
        <w:jc w:val="left"/>
        <w:rPr>
          <w:rFonts w:ascii="仿宋_GB2312" w:eastAsia="仿宋_GB2312"/>
          <w:color w:val="000000"/>
          <w:kern w:val="0"/>
          <w:sz w:val="32"/>
          <w:szCs w:val="32"/>
        </w:rPr>
      </w:pPr>
      <w:r>
        <w:rPr>
          <w:rFonts w:hint="eastAsia" w:ascii="仿宋_GB2312" w:hAnsi="宋体" w:eastAsia="仿宋_GB2312"/>
          <w:color w:val="000000"/>
          <w:sz w:val="32"/>
          <w:szCs w:val="32"/>
        </w:rPr>
        <w:t>⑹</w:t>
      </w:r>
      <w:r>
        <w:rPr>
          <w:rFonts w:hint="eastAsia" w:ascii="仿宋_GB2312" w:eastAsia="仿宋_GB2312"/>
          <w:color w:val="000000"/>
          <w:kern w:val="0"/>
          <w:sz w:val="32"/>
          <w:szCs w:val="32"/>
        </w:rPr>
        <w:t>联系镇人大代表和接受上级人大常委会的委托，联系本镇内的上级人大代表，组织代表小组开展活动。</w:t>
      </w:r>
    </w:p>
    <w:p>
      <w:pPr>
        <w:widowControl/>
        <w:spacing w:line="560" w:lineRule="exact"/>
        <w:ind w:firstLine="720" w:firstLineChars="225"/>
        <w:jc w:val="left"/>
        <w:rPr>
          <w:rFonts w:ascii="仿宋_GB2312" w:eastAsia="仿宋_GB2312"/>
          <w:color w:val="000000"/>
          <w:kern w:val="0"/>
          <w:sz w:val="32"/>
          <w:szCs w:val="32"/>
        </w:rPr>
      </w:pPr>
      <w:r>
        <w:rPr>
          <w:rFonts w:hint="eastAsia" w:ascii="仿宋_GB2312" w:hAnsi="宋体" w:eastAsia="仿宋_GB2312"/>
          <w:color w:val="000000"/>
          <w:kern w:val="0"/>
          <w:sz w:val="32"/>
          <w:szCs w:val="32"/>
        </w:rPr>
        <w:t>⑺</w:t>
      </w:r>
      <w:r>
        <w:rPr>
          <w:rFonts w:hint="eastAsia" w:ascii="仿宋_GB2312" w:eastAsia="仿宋_GB2312"/>
          <w:color w:val="000000"/>
          <w:spacing w:val="-8"/>
          <w:kern w:val="0"/>
          <w:sz w:val="32"/>
          <w:szCs w:val="32"/>
        </w:rPr>
        <w:t>受理人民群众对镇国家机关和工作人员的申诉和意见。</w:t>
      </w:r>
    </w:p>
    <w:p>
      <w:pPr>
        <w:widowControl/>
        <w:spacing w:line="560" w:lineRule="exact"/>
        <w:ind w:firstLine="720" w:firstLineChars="225"/>
        <w:jc w:val="left"/>
        <w:rPr>
          <w:rFonts w:ascii="仿宋_GB2312" w:eastAsia="仿宋_GB2312"/>
          <w:color w:val="000000"/>
          <w:kern w:val="0"/>
          <w:sz w:val="32"/>
          <w:szCs w:val="32"/>
        </w:rPr>
      </w:pPr>
      <w:r>
        <w:rPr>
          <w:rFonts w:hint="eastAsia" w:ascii="仿宋_GB2312" w:hAnsi="宋体" w:eastAsia="仿宋_GB2312"/>
          <w:color w:val="000000"/>
          <w:kern w:val="0"/>
          <w:sz w:val="32"/>
          <w:szCs w:val="32"/>
        </w:rPr>
        <w:t>⑻</w:t>
      </w:r>
      <w:r>
        <w:rPr>
          <w:rFonts w:hint="eastAsia" w:ascii="仿宋_GB2312" w:eastAsia="仿宋_GB2312"/>
          <w:color w:val="000000"/>
          <w:kern w:val="0"/>
          <w:sz w:val="32"/>
          <w:szCs w:val="32"/>
        </w:rPr>
        <w:t>监督检查政务、村务、财务</w:t>
      </w:r>
      <w:bookmarkStart w:id="0" w:name="_GoBack"/>
      <w:bookmarkEnd w:id="0"/>
      <w:r>
        <w:rPr>
          <w:rFonts w:hint="eastAsia" w:ascii="仿宋_GB2312" w:eastAsia="仿宋_GB2312"/>
          <w:color w:val="000000"/>
          <w:kern w:val="0"/>
          <w:sz w:val="32"/>
          <w:szCs w:val="32"/>
        </w:rPr>
        <w:t>公开制度实行情况。</w:t>
      </w:r>
      <w:r>
        <w:rPr>
          <w:rFonts w:eastAsia="仿宋_GB2312"/>
          <w:color w:val="000000"/>
          <w:kern w:val="0"/>
          <w:sz w:val="32"/>
          <w:szCs w:val="32"/>
        </w:rPr>
        <w:t> </w:t>
      </w:r>
    </w:p>
    <w:p>
      <w:pPr>
        <w:widowControl/>
        <w:spacing w:line="560" w:lineRule="exact"/>
        <w:ind w:firstLine="720" w:firstLineChars="225"/>
        <w:jc w:val="left"/>
        <w:rPr>
          <w:rFonts w:ascii="仿宋_GB2312" w:eastAsia="仿宋_GB2312"/>
          <w:color w:val="000000"/>
          <w:kern w:val="0"/>
          <w:sz w:val="32"/>
          <w:szCs w:val="32"/>
        </w:rPr>
      </w:pPr>
      <w:r>
        <w:rPr>
          <w:rFonts w:hint="eastAsia" w:ascii="仿宋_GB2312" w:hAnsi="宋体" w:eastAsia="仿宋_GB2312"/>
          <w:color w:val="000000"/>
          <w:kern w:val="0"/>
          <w:sz w:val="32"/>
          <w:szCs w:val="32"/>
        </w:rPr>
        <w:t>⑼</w:t>
      </w:r>
      <w:r>
        <w:rPr>
          <w:rFonts w:hint="eastAsia" w:ascii="仿宋_GB2312" w:eastAsia="仿宋_GB2312"/>
          <w:color w:val="000000"/>
          <w:kern w:val="0"/>
          <w:sz w:val="32"/>
          <w:szCs w:val="32"/>
        </w:rPr>
        <w:t>受理镇人大代表的辞职，并报本级人民代表大会备案，</w:t>
      </w:r>
      <w:r>
        <w:rPr>
          <w:rFonts w:eastAsia="仿宋_GB2312"/>
          <w:color w:val="000000"/>
          <w:kern w:val="0"/>
          <w:sz w:val="32"/>
          <w:szCs w:val="32"/>
        </w:rPr>
        <w:t> </w:t>
      </w:r>
      <w:r>
        <w:rPr>
          <w:rFonts w:hint="eastAsia" w:ascii="仿宋_GB2312" w:eastAsia="仿宋_GB2312"/>
          <w:color w:val="000000"/>
          <w:kern w:val="0"/>
          <w:sz w:val="32"/>
          <w:szCs w:val="32"/>
        </w:rPr>
        <w:t>主持各级人大代表的选举产生工作。</w:t>
      </w:r>
    </w:p>
    <w:p>
      <w:pPr>
        <w:widowControl/>
        <w:spacing w:line="560" w:lineRule="exact"/>
        <w:ind w:firstLine="720" w:firstLineChars="225"/>
        <w:jc w:val="left"/>
        <w:rPr>
          <w:rFonts w:ascii="仿宋_GB2312" w:eastAsia="仿宋_GB2312"/>
          <w:color w:val="000000"/>
          <w:kern w:val="0"/>
          <w:sz w:val="32"/>
          <w:szCs w:val="32"/>
        </w:rPr>
      </w:pPr>
      <w:r>
        <w:rPr>
          <w:rFonts w:hint="eastAsia" w:ascii="仿宋_GB2312" w:hAnsi="宋体" w:eastAsia="仿宋_GB2312"/>
          <w:color w:val="000000"/>
          <w:kern w:val="0"/>
          <w:sz w:val="32"/>
          <w:szCs w:val="32"/>
        </w:rPr>
        <w:t>⑽</w:t>
      </w:r>
      <w:r>
        <w:rPr>
          <w:rFonts w:hint="eastAsia" w:ascii="仿宋_GB2312" w:eastAsia="仿宋_GB2312"/>
          <w:color w:val="000000"/>
          <w:kern w:val="0"/>
          <w:sz w:val="32"/>
          <w:szCs w:val="32"/>
        </w:rPr>
        <w:t>决定召集本届人民代表大会会议和下届人代会第一次会议，受理镇人大主席团成员、镇长、副镇长的辞职，并报镇人民代表大会备案。</w:t>
      </w:r>
    </w:p>
    <w:p>
      <w:pPr>
        <w:widowControl/>
        <w:spacing w:line="560" w:lineRule="exact"/>
        <w:ind w:firstLine="720" w:firstLineChars="225"/>
        <w:jc w:val="left"/>
        <w:rPr>
          <w:rFonts w:ascii="仿宋_GB2312" w:eastAsia="仿宋_GB2312"/>
          <w:color w:val="000000"/>
          <w:kern w:val="0"/>
          <w:sz w:val="32"/>
          <w:szCs w:val="32"/>
        </w:rPr>
      </w:pPr>
      <w:r>
        <w:rPr>
          <w:rFonts w:hint="eastAsia" w:ascii="仿宋_GB2312" w:hAnsi="宋体" w:eastAsia="仿宋_GB2312"/>
          <w:color w:val="000000"/>
          <w:kern w:val="0"/>
          <w:sz w:val="32"/>
          <w:szCs w:val="32"/>
        </w:rPr>
        <w:t>⑾</w:t>
      </w:r>
      <w:r>
        <w:rPr>
          <w:rFonts w:hint="eastAsia" w:ascii="仿宋_GB2312" w:eastAsia="仿宋_GB2312"/>
          <w:color w:val="000000"/>
          <w:kern w:val="0"/>
          <w:sz w:val="32"/>
          <w:szCs w:val="32"/>
        </w:rPr>
        <w:t>办理镇人民代表大会和上级人大常委会交付的其它各项工作。</w:t>
      </w:r>
    </w:p>
    <w:p>
      <w:pPr>
        <w:spacing w:line="560" w:lineRule="exact"/>
        <w:ind w:firstLine="723" w:firstLineChars="225"/>
        <w:rPr>
          <w:rFonts w:ascii="仿宋_GB2312" w:eastAsia="仿宋_GB2312"/>
          <w:b/>
          <w:color w:val="000000"/>
          <w:sz w:val="32"/>
          <w:szCs w:val="32"/>
        </w:rPr>
      </w:pPr>
      <w:r>
        <w:rPr>
          <w:rFonts w:hint="eastAsia" w:ascii="仿宋_GB2312" w:eastAsia="仿宋_GB2312"/>
          <w:b/>
          <w:color w:val="000000"/>
          <w:sz w:val="32"/>
          <w:szCs w:val="32"/>
        </w:rPr>
        <w:t>3、那邦镇人民政府的主要职责:</w:t>
      </w:r>
    </w:p>
    <w:p>
      <w:pPr>
        <w:spacing w:line="560" w:lineRule="exact"/>
        <w:ind w:firstLine="720" w:firstLineChars="225"/>
        <w:rPr>
          <w:rFonts w:ascii="仿宋_GB2312" w:eastAsia="仿宋_GB2312"/>
          <w:color w:val="000000"/>
          <w:sz w:val="32"/>
          <w:szCs w:val="32"/>
        </w:rPr>
      </w:pPr>
      <w:r>
        <w:rPr>
          <w:rFonts w:hint="eastAsia" w:ascii="仿宋_GB2312" w:hAnsi="宋体" w:eastAsia="仿宋_GB2312"/>
          <w:color w:val="000000"/>
          <w:sz w:val="32"/>
          <w:szCs w:val="32"/>
        </w:rPr>
        <w:t>⑴</w:t>
      </w:r>
      <w:r>
        <w:rPr>
          <w:rFonts w:hint="eastAsia" w:ascii="仿宋_GB2312" w:eastAsia="仿宋_GB2312"/>
          <w:color w:val="000000"/>
          <w:sz w:val="32"/>
          <w:szCs w:val="32"/>
        </w:rPr>
        <w:t>贯彻执行党和国家的路线、方针、政策和法律法规。</w:t>
      </w:r>
    </w:p>
    <w:p>
      <w:pPr>
        <w:spacing w:line="560" w:lineRule="exact"/>
        <w:ind w:firstLine="720" w:firstLineChars="225"/>
        <w:rPr>
          <w:rFonts w:ascii="仿宋_GB2312" w:eastAsia="仿宋_GB2312"/>
          <w:color w:val="000000"/>
          <w:sz w:val="32"/>
          <w:szCs w:val="32"/>
        </w:rPr>
      </w:pPr>
      <w:r>
        <w:rPr>
          <w:rFonts w:hint="eastAsia" w:ascii="仿宋_GB2312" w:hAnsi="宋体" w:eastAsia="仿宋_GB2312"/>
          <w:color w:val="000000"/>
          <w:sz w:val="32"/>
          <w:szCs w:val="32"/>
        </w:rPr>
        <w:t>⑵</w:t>
      </w:r>
      <w:r>
        <w:rPr>
          <w:rFonts w:hint="eastAsia" w:ascii="仿宋_GB2312" w:eastAsia="仿宋_GB2312"/>
          <w:color w:val="000000"/>
          <w:sz w:val="32"/>
          <w:szCs w:val="32"/>
        </w:rPr>
        <w:t>在镇党委的领导、镇人大的监督下，制定并执行本级人民代表大会的决议和上级国家行政机关的决定和命令，执行本行政区内的经济和社会发展计划、规划，按期组织实施。管理本行政区域内的经济、教育、科学、文化、卫生、体育和财政、民政、公安、司法、计划生育、土地城建等行政工作。</w:t>
      </w:r>
    </w:p>
    <w:p>
      <w:pPr>
        <w:spacing w:line="560" w:lineRule="exact"/>
        <w:ind w:firstLine="720" w:firstLineChars="225"/>
        <w:rPr>
          <w:rFonts w:ascii="仿宋_GB2312" w:eastAsia="仿宋_GB2312"/>
          <w:color w:val="000000"/>
          <w:sz w:val="32"/>
          <w:szCs w:val="32"/>
        </w:rPr>
      </w:pPr>
      <w:r>
        <w:rPr>
          <w:rFonts w:hint="eastAsia" w:ascii="仿宋_GB2312" w:hAnsi="宋体" w:eastAsia="仿宋_GB2312"/>
          <w:color w:val="000000"/>
          <w:sz w:val="32"/>
          <w:szCs w:val="32"/>
        </w:rPr>
        <w:t>⑶</w:t>
      </w:r>
      <w:r>
        <w:rPr>
          <w:rFonts w:hint="eastAsia" w:ascii="仿宋_GB2312" w:eastAsia="仿宋_GB2312"/>
          <w:color w:val="000000"/>
          <w:sz w:val="32"/>
          <w:szCs w:val="32"/>
        </w:rPr>
        <w:t>保护社会主义的全民所有财产和劳动群众集体所有财产，保护公民私人所有的合法财产，维护社会秩序，保障公民的人身权利、民主权利和其它权利，保护各种经济的合法权益。</w:t>
      </w:r>
    </w:p>
    <w:p>
      <w:pPr>
        <w:spacing w:line="560" w:lineRule="exact"/>
        <w:ind w:firstLine="720" w:firstLineChars="225"/>
        <w:rPr>
          <w:rFonts w:ascii="仿宋_GB2312" w:eastAsia="仿宋_GB2312"/>
          <w:color w:val="000000"/>
          <w:sz w:val="32"/>
          <w:szCs w:val="32"/>
        </w:rPr>
      </w:pPr>
      <w:r>
        <w:rPr>
          <w:rFonts w:hint="eastAsia" w:ascii="仿宋_GB2312" w:hAnsi="宋体" w:eastAsia="仿宋_GB2312"/>
          <w:color w:val="000000"/>
          <w:sz w:val="32"/>
          <w:szCs w:val="32"/>
        </w:rPr>
        <w:t>⑷</w:t>
      </w:r>
      <w:r>
        <w:rPr>
          <w:rFonts w:hint="eastAsia" w:ascii="仿宋_GB2312" w:eastAsia="仿宋_GB2312"/>
          <w:color w:val="000000"/>
          <w:sz w:val="32"/>
          <w:szCs w:val="32"/>
        </w:rPr>
        <w:t>切实推行政务、财务公开，使政务、财务公开走入法制化轨道。</w:t>
      </w:r>
    </w:p>
    <w:p>
      <w:pPr>
        <w:pStyle w:val="9"/>
        <w:spacing w:line="580" w:lineRule="exact"/>
        <w:ind w:firstLineChars="200"/>
        <w:rPr>
          <w:rFonts w:ascii="仿宋_GB2312" w:hAnsi="Times New Roman" w:eastAsia="仿宋_GB2312" w:cs="Times New Roman"/>
          <w:color w:val="000000"/>
          <w:sz w:val="32"/>
          <w:szCs w:val="32"/>
        </w:rPr>
      </w:pPr>
      <w:r>
        <w:rPr>
          <w:rFonts w:hint="eastAsia" w:ascii="仿宋_GB2312" w:eastAsia="仿宋_GB2312"/>
          <w:color w:val="000000"/>
          <w:sz w:val="32"/>
          <w:szCs w:val="32"/>
        </w:rPr>
        <w:t>⑸有计划、有目标地组织实施好本镇的经济发展、基础设施建设、社会公益事业建设；开展好社会福利活动；保障少数民族的权利和尊重少数民族的风俗习惯；保障宪法和法律赋予妇女儿童和残疾人的正当权益；实行男女平等、婚姻自由；保障劳工经商的合法权益，做到同工同酬。</w:t>
      </w:r>
    </w:p>
    <w:p>
      <w:pPr>
        <w:pStyle w:val="2"/>
        <w:adjustRightInd w:val="0"/>
        <w:snapToGrid w:val="0"/>
        <w:spacing w:line="600" w:lineRule="exact"/>
        <w:ind w:firstLine="630" w:firstLineChars="210"/>
        <w:rPr>
          <w:rFonts w:ascii="楷体" w:hAnsi="楷体" w:eastAsia="楷体"/>
          <w:bCs/>
          <w:szCs w:val="30"/>
        </w:rPr>
      </w:pPr>
      <w:r>
        <w:rPr>
          <w:rFonts w:hint="eastAsia" w:ascii="楷体" w:hAnsi="楷体" w:eastAsia="楷体"/>
          <w:bCs/>
          <w:szCs w:val="30"/>
        </w:rPr>
        <w:t>（二）那邦镇2017年度重点工作任务介绍</w:t>
      </w:r>
    </w:p>
    <w:p>
      <w:pPr>
        <w:ind w:firstLine="630"/>
        <w:rPr>
          <w:rFonts w:ascii="仿宋_GB2312" w:eastAsia="仿宋_GB2312"/>
          <w:bCs/>
          <w:sz w:val="30"/>
          <w:szCs w:val="30"/>
        </w:rPr>
      </w:pPr>
      <w:r>
        <w:rPr>
          <w:rFonts w:hint="eastAsia" w:ascii="仿宋_GB2312" w:eastAsia="仿宋_GB2312"/>
          <w:bCs/>
          <w:sz w:val="30"/>
          <w:szCs w:val="30"/>
        </w:rPr>
        <w:t>2017年重点工作任务：</w:t>
      </w:r>
    </w:p>
    <w:p>
      <w:pPr>
        <w:spacing w:line="560" w:lineRule="atLeast"/>
        <w:ind w:firstLine="640" w:firstLineChars="200"/>
        <w:rPr>
          <w:rFonts w:ascii="仿宋_GB2312" w:eastAsia="仿宋_GB2312"/>
          <w:sz w:val="30"/>
          <w:szCs w:val="30"/>
        </w:rPr>
      </w:pPr>
      <w:r>
        <w:rPr>
          <w:rFonts w:hint="eastAsia" w:ascii="仿宋_GB2312" w:hAnsi="仿宋_GB2312" w:eastAsia="仿宋_GB2312" w:cs="仿宋_GB2312"/>
          <w:sz w:val="32"/>
          <w:szCs w:val="32"/>
        </w:rPr>
        <w:t>第一，狠抓组织建设，加强阵地建设，镇党委始终把增强基层党组织的凝聚力、号召力和战斗力作为党建工作重点，全面落实党建工作责任，健全和完善组织体系，不断增强干部队伍整体素质和工作能力，积极完善村级组织活动场所服务功能；第二，狠抓思想建设，建立健全了党政领导班子中心组学习制度，定期组织班子成员认真学习中国特色社会主义理论体系、党章党纪和中央会议精神，切实提高班子成员的理论修养和知识水平，搭建坚实领导基础；第三，积极发展产业，结合那邦特殊的地理气候环境，因地制宜，积极探索新产业，如湿地观鸟棚等发展；第四，集中精力坚决打赢脱贫攻坚战。</w:t>
      </w:r>
    </w:p>
    <w:p>
      <w:pPr>
        <w:spacing w:line="600" w:lineRule="exact"/>
        <w:ind w:firstLine="600" w:firstLineChars="200"/>
        <w:rPr>
          <w:rFonts w:ascii="黑体" w:hAnsi="黑体" w:eastAsia="黑体"/>
          <w:sz w:val="30"/>
          <w:szCs w:val="30"/>
        </w:rPr>
      </w:pPr>
      <w:r>
        <w:rPr>
          <w:rFonts w:hint="eastAsia" w:ascii="黑体" w:hAnsi="黑体" w:eastAsia="黑体"/>
          <w:sz w:val="30"/>
          <w:szCs w:val="30"/>
        </w:rPr>
        <w:t>二、部门基本情况</w:t>
      </w:r>
    </w:p>
    <w:p>
      <w:pPr>
        <w:spacing w:line="600" w:lineRule="exact"/>
        <w:ind w:firstLine="600" w:firstLineChars="200"/>
        <w:rPr>
          <w:rFonts w:ascii="楷体" w:hAnsi="楷体" w:eastAsia="楷体"/>
          <w:sz w:val="30"/>
          <w:szCs w:val="30"/>
        </w:rPr>
      </w:pPr>
      <w:r>
        <w:rPr>
          <w:rFonts w:hint="eastAsia" w:ascii="楷体" w:hAnsi="楷体" w:eastAsia="楷体"/>
          <w:sz w:val="30"/>
          <w:szCs w:val="30"/>
        </w:rPr>
        <w:t>（一）部门决算单位构成</w:t>
      </w:r>
    </w:p>
    <w:p>
      <w:pPr>
        <w:spacing w:line="600" w:lineRule="exact"/>
        <w:ind w:firstLine="600" w:firstLineChars="200"/>
        <w:rPr>
          <w:rFonts w:ascii="仿宋_GB2312" w:eastAsia="仿宋_GB2312"/>
          <w:color w:val="FF0000"/>
          <w:sz w:val="30"/>
          <w:szCs w:val="30"/>
        </w:rPr>
      </w:pPr>
      <w:r>
        <w:rPr>
          <w:rFonts w:hint="eastAsia" w:ascii="仿宋_GB2312" w:eastAsia="仿宋_GB2312"/>
          <w:sz w:val="30"/>
          <w:szCs w:val="30"/>
        </w:rPr>
        <w:t>纳入那邦镇2017年度部门决算编报的单位共</w:t>
      </w:r>
      <w:r>
        <w:rPr>
          <w:rFonts w:hint="eastAsia" w:ascii="仿宋_GB2312" w:eastAsia="仿宋_GB2312"/>
          <w:sz w:val="30"/>
          <w:szCs w:val="30"/>
          <w:lang w:val="en-US" w:eastAsia="zh-CN"/>
        </w:rPr>
        <w:t>6</w:t>
      </w:r>
      <w:r>
        <w:rPr>
          <w:rFonts w:hint="eastAsia" w:ascii="仿宋_GB2312" w:eastAsia="仿宋_GB2312"/>
          <w:sz w:val="30"/>
          <w:szCs w:val="30"/>
        </w:rPr>
        <w:t>个。其中：行政单位</w:t>
      </w:r>
      <w:r>
        <w:rPr>
          <w:rFonts w:hint="eastAsia" w:ascii="仿宋_GB2312" w:eastAsia="仿宋_GB2312"/>
          <w:sz w:val="30"/>
          <w:szCs w:val="30"/>
          <w:lang w:val="en-US" w:eastAsia="zh-CN"/>
        </w:rPr>
        <w:t>3</w:t>
      </w:r>
      <w:r>
        <w:rPr>
          <w:rFonts w:hint="eastAsia" w:ascii="仿宋_GB2312" w:eastAsia="仿宋_GB2312"/>
          <w:sz w:val="30"/>
          <w:szCs w:val="30"/>
        </w:rPr>
        <w:t>个</w:t>
      </w:r>
      <w:r>
        <w:rPr>
          <w:rFonts w:hint="eastAsia" w:ascii="仿宋_GB2312" w:eastAsia="仿宋_GB2312"/>
          <w:sz w:val="30"/>
          <w:szCs w:val="30"/>
          <w:lang w:eastAsia="zh-CN"/>
        </w:rPr>
        <w:t>，分别是：1.共产党机关、</w:t>
      </w:r>
      <w:r>
        <w:rPr>
          <w:rFonts w:hint="eastAsia" w:ascii="仿宋_GB2312" w:eastAsia="仿宋_GB2312"/>
          <w:sz w:val="30"/>
          <w:szCs w:val="30"/>
          <w:lang w:val="en-US" w:eastAsia="zh-CN"/>
        </w:rPr>
        <w:t>2.政府机关、3.人大常委会机关</w:t>
      </w:r>
      <w:r>
        <w:rPr>
          <w:rFonts w:hint="eastAsia" w:ascii="仿宋_GB2312" w:eastAsia="仿宋_GB2312"/>
          <w:sz w:val="30"/>
          <w:szCs w:val="30"/>
        </w:rPr>
        <w:t>，参照公务员法管理的事业单位</w:t>
      </w:r>
      <w:r>
        <w:rPr>
          <w:rFonts w:hint="eastAsia" w:ascii="仿宋_GB2312" w:eastAsia="仿宋_GB2312"/>
          <w:bCs/>
          <w:sz w:val="30"/>
          <w:szCs w:val="30"/>
          <w:lang w:val="en-US" w:eastAsia="zh-CN"/>
        </w:rPr>
        <w:t>0</w:t>
      </w:r>
      <w:r>
        <w:rPr>
          <w:rFonts w:hint="eastAsia" w:ascii="仿宋_GB2312" w:eastAsia="仿宋_GB2312"/>
          <w:sz w:val="30"/>
          <w:szCs w:val="30"/>
        </w:rPr>
        <w:t>个，其他事业单位</w:t>
      </w:r>
      <w:r>
        <w:rPr>
          <w:rFonts w:hint="eastAsia" w:ascii="仿宋_GB2312" w:eastAsia="仿宋_GB2312"/>
          <w:sz w:val="30"/>
          <w:szCs w:val="30"/>
          <w:lang w:val="en-US" w:eastAsia="zh-CN"/>
        </w:rPr>
        <w:t>3</w:t>
      </w:r>
      <w:r>
        <w:rPr>
          <w:rFonts w:hint="eastAsia" w:ascii="仿宋_GB2312" w:eastAsia="仿宋_GB2312"/>
          <w:sz w:val="30"/>
          <w:szCs w:val="30"/>
        </w:rPr>
        <w:t>个</w:t>
      </w:r>
      <w:r>
        <w:rPr>
          <w:rFonts w:hint="eastAsia" w:ascii="仿宋_GB2312" w:eastAsia="仿宋_GB2312"/>
          <w:sz w:val="30"/>
          <w:szCs w:val="30"/>
          <w:lang w:val="en-US" w:eastAsia="zh-CN"/>
        </w:rPr>
        <w:t>,分别是：1.农业综合服务中心、2.文化广播服务中心、3.社会保障服务中心</w:t>
      </w:r>
      <w:r>
        <w:rPr>
          <w:rFonts w:hint="eastAsia" w:ascii="仿宋_GB2312" w:eastAsia="仿宋_GB2312"/>
          <w:sz w:val="30"/>
          <w:szCs w:val="30"/>
        </w:rPr>
        <w:t>。</w:t>
      </w:r>
    </w:p>
    <w:p>
      <w:pPr>
        <w:ind w:firstLine="600" w:firstLineChars="200"/>
        <w:rPr>
          <w:rFonts w:ascii="楷体" w:hAnsi="楷体" w:eastAsia="楷体"/>
          <w:sz w:val="30"/>
          <w:szCs w:val="30"/>
        </w:rPr>
      </w:pPr>
      <w:r>
        <w:rPr>
          <w:rFonts w:hint="eastAsia" w:ascii="楷体" w:hAnsi="楷体" w:eastAsia="楷体"/>
          <w:sz w:val="30"/>
          <w:szCs w:val="30"/>
        </w:rPr>
        <w:t xml:space="preserve">（二）部门人员和车辆的编制及实有情况 </w:t>
      </w:r>
    </w:p>
    <w:p>
      <w:pPr>
        <w:spacing w:line="600" w:lineRule="exact"/>
        <w:ind w:firstLine="600" w:firstLineChars="200"/>
        <w:rPr>
          <w:rFonts w:ascii="仿宋_GB2312" w:hAnsi="宋体" w:eastAsia="仿宋_GB2312" w:cs="Arial"/>
          <w:kern w:val="0"/>
          <w:sz w:val="30"/>
          <w:szCs w:val="30"/>
        </w:rPr>
      </w:pPr>
      <w:r>
        <w:rPr>
          <w:rFonts w:hint="eastAsia" w:ascii="仿宋_GB2312" w:eastAsia="仿宋_GB2312"/>
          <w:sz w:val="30"/>
          <w:szCs w:val="30"/>
        </w:rPr>
        <w:t>那邦镇2017年末实有人员编制65</w:t>
      </w:r>
      <w:r>
        <w:rPr>
          <w:rFonts w:hint="eastAsia" w:ascii="仿宋_GB2312" w:hAnsi="宋体" w:eastAsia="仿宋_GB2312" w:cs="Arial"/>
          <w:kern w:val="0"/>
          <w:sz w:val="30"/>
          <w:szCs w:val="30"/>
        </w:rPr>
        <w:t>人。其中：行政编制</w:t>
      </w:r>
      <w:r>
        <w:rPr>
          <w:rFonts w:hint="eastAsia" w:ascii="仿宋_GB2312" w:eastAsia="仿宋_GB2312"/>
          <w:sz w:val="30"/>
          <w:szCs w:val="30"/>
        </w:rPr>
        <w:t>30</w:t>
      </w:r>
      <w:r>
        <w:rPr>
          <w:rFonts w:hint="eastAsia" w:ascii="仿宋_GB2312" w:hAnsi="宋体" w:eastAsia="仿宋_GB2312" w:cs="Arial"/>
          <w:kern w:val="0"/>
          <w:sz w:val="30"/>
          <w:szCs w:val="30"/>
        </w:rPr>
        <w:t>人（含行政工勤编制</w:t>
      </w:r>
      <w:r>
        <w:rPr>
          <w:rFonts w:hint="eastAsia" w:ascii="仿宋_GB2312" w:eastAsia="仿宋_GB2312"/>
          <w:sz w:val="30"/>
          <w:szCs w:val="30"/>
        </w:rPr>
        <w:t>3</w:t>
      </w:r>
      <w:r>
        <w:rPr>
          <w:rFonts w:hint="eastAsia" w:ascii="仿宋_GB2312" w:hAnsi="宋体" w:eastAsia="仿宋_GB2312" w:cs="Arial"/>
          <w:kern w:val="0"/>
          <w:sz w:val="30"/>
          <w:szCs w:val="30"/>
        </w:rPr>
        <w:t>人），事业编制</w:t>
      </w:r>
      <w:r>
        <w:rPr>
          <w:rFonts w:hint="eastAsia" w:ascii="仿宋_GB2312" w:eastAsia="仿宋_GB2312"/>
          <w:sz w:val="30"/>
          <w:szCs w:val="30"/>
        </w:rPr>
        <w:t>35</w:t>
      </w:r>
      <w:r>
        <w:rPr>
          <w:rFonts w:hint="eastAsia" w:ascii="仿宋_GB2312" w:hAnsi="宋体" w:eastAsia="仿宋_GB2312" w:cs="Arial"/>
          <w:kern w:val="0"/>
          <w:sz w:val="30"/>
          <w:szCs w:val="30"/>
        </w:rPr>
        <w:t>人（含参公管理事业编制</w:t>
      </w:r>
      <w:r>
        <w:rPr>
          <w:rFonts w:hint="eastAsia" w:ascii="仿宋_GB2312" w:eastAsia="仿宋_GB2312"/>
          <w:sz w:val="30"/>
          <w:szCs w:val="30"/>
        </w:rPr>
        <w:t>7</w:t>
      </w:r>
      <w:r>
        <w:rPr>
          <w:rFonts w:hint="eastAsia" w:ascii="仿宋_GB2312" w:hAnsi="宋体" w:eastAsia="仿宋_GB2312" w:cs="Arial"/>
          <w:kern w:val="0"/>
          <w:sz w:val="30"/>
          <w:szCs w:val="30"/>
        </w:rPr>
        <w:t>人）；在职在编实有行政人员</w:t>
      </w:r>
      <w:r>
        <w:rPr>
          <w:rFonts w:hint="eastAsia" w:ascii="仿宋_GB2312" w:eastAsia="仿宋_GB2312"/>
          <w:sz w:val="30"/>
          <w:szCs w:val="30"/>
        </w:rPr>
        <w:t>28</w:t>
      </w:r>
      <w:r>
        <w:rPr>
          <w:rFonts w:hint="eastAsia" w:ascii="仿宋_GB2312" w:hAnsi="宋体" w:eastAsia="仿宋_GB2312" w:cs="Arial"/>
          <w:kern w:val="0"/>
          <w:sz w:val="30"/>
          <w:szCs w:val="30"/>
        </w:rPr>
        <w:t>人（含行政工勤人员</w:t>
      </w:r>
      <w:r>
        <w:rPr>
          <w:rFonts w:hint="eastAsia" w:ascii="仿宋_GB2312" w:eastAsia="仿宋_GB2312"/>
          <w:sz w:val="30"/>
          <w:szCs w:val="30"/>
        </w:rPr>
        <w:t>3</w:t>
      </w:r>
      <w:r>
        <w:rPr>
          <w:rFonts w:hint="eastAsia" w:ascii="仿宋_GB2312" w:hAnsi="宋体" w:eastAsia="仿宋_GB2312" w:cs="Arial"/>
          <w:kern w:val="0"/>
          <w:sz w:val="30"/>
          <w:szCs w:val="30"/>
        </w:rPr>
        <w:t>人），事业人员15人（含参公管理事业人员</w:t>
      </w:r>
      <w:r>
        <w:rPr>
          <w:rFonts w:hint="eastAsia" w:ascii="仿宋_GB2312" w:eastAsia="仿宋_GB2312"/>
          <w:sz w:val="30"/>
          <w:szCs w:val="30"/>
        </w:rPr>
        <w:t>0</w:t>
      </w:r>
      <w:r>
        <w:rPr>
          <w:rFonts w:hint="eastAsia" w:ascii="仿宋_GB2312" w:hAnsi="宋体" w:eastAsia="仿宋_GB2312" w:cs="Arial"/>
          <w:kern w:val="0"/>
          <w:sz w:val="30"/>
          <w:szCs w:val="30"/>
        </w:rPr>
        <w:t>人）。</w:t>
      </w:r>
    </w:p>
    <w:p>
      <w:pPr>
        <w:spacing w:line="600" w:lineRule="exact"/>
        <w:ind w:firstLine="600" w:firstLineChars="200"/>
        <w:rPr>
          <w:rFonts w:ascii="仿宋_GB2312" w:hAnsi="宋体" w:eastAsia="仿宋_GB2312" w:cs="Arial"/>
          <w:kern w:val="0"/>
          <w:sz w:val="30"/>
          <w:szCs w:val="30"/>
        </w:rPr>
      </w:pPr>
      <w:r>
        <w:rPr>
          <w:rFonts w:hint="eastAsia" w:ascii="仿宋_GB2312" w:hAnsi="宋体" w:eastAsia="仿宋_GB2312" w:cs="Arial"/>
          <w:kern w:val="0"/>
          <w:sz w:val="30"/>
          <w:szCs w:val="30"/>
        </w:rPr>
        <w:t>离退休人员</w:t>
      </w:r>
      <w:r>
        <w:rPr>
          <w:rFonts w:hint="eastAsia" w:ascii="仿宋_GB2312" w:eastAsia="仿宋_GB2312"/>
          <w:sz w:val="30"/>
          <w:szCs w:val="30"/>
        </w:rPr>
        <w:t>0</w:t>
      </w:r>
      <w:r>
        <w:rPr>
          <w:rFonts w:hint="eastAsia" w:ascii="仿宋_GB2312" w:hAnsi="宋体" w:eastAsia="仿宋_GB2312" w:cs="Arial"/>
          <w:kern w:val="0"/>
          <w:sz w:val="30"/>
          <w:szCs w:val="30"/>
        </w:rPr>
        <w:t>人。其中：离休0人，退休</w:t>
      </w:r>
      <w:r>
        <w:rPr>
          <w:rFonts w:hint="eastAsia" w:ascii="仿宋_GB2312" w:eastAsia="仿宋_GB2312"/>
          <w:sz w:val="30"/>
          <w:szCs w:val="30"/>
        </w:rPr>
        <w:t>0</w:t>
      </w:r>
      <w:r>
        <w:rPr>
          <w:rFonts w:hint="eastAsia" w:ascii="仿宋_GB2312" w:hAnsi="宋体" w:eastAsia="仿宋_GB2312" w:cs="Arial"/>
          <w:kern w:val="0"/>
          <w:sz w:val="30"/>
          <w:szCs w:val="30"/>
        </w:rPr>
        <w:t>人（已纳入社保）。</w:t>
      </w:r>
    </w:p>
    <w:p>
      <w:pPr>
        <w:spacing w:line="600" w:lineRule="exact"/>
        <w:ind w:firstLine="600" w:firstLineChars="200"/>
        <w:rPr>
          <w:rFonts w:ascii="仿宋_GB2312" w:hAnsi="宋体" w:eastAsia="仿宋_GB2312" w:cs="Arial"/>
          <w:kern w:val="0"/>
          <w:sz w:val="30"/>
          <w:szCs w:val="30"/>
        </w:rPr>
      </w:pPr>
      <w:r>
        <w:rPr>
          <w:rFonts w:hint="eastAsia" w:ascii="仿宋_GB2312" w:hAnsi="宋体" w:eastAsia="仿宋_GB2312" w:cs="Arial"/>
          <w:kern w:val="0"/>
          <w:sz w:val="30"/>
          <w:szCs w:val="30"/>
        </w:rPr>
        <w:t>实有车辆编制</w:t>
      </w:r>
      <w:r>
        <w:rPr>
          <w:rFonts w:hint="eastAsia" w:ascii="仿宋_GB2312" w:eastAsia="仿宋_GB2312"/>
          <w:sz w:val="30"/>
          <w:szCs w:val="30"/>
        </w:rPr>
        <w:t>2</w:t>
      </w:r>
      <w:r>
        <w:rPr>
          <w:rFonts w:hint="eastAsia" w:ascii="仿宋_GB2312" w:hAnsi="宋体" w:eastAsia="仿宋_GB2312" w:cs="Arial"/>
          <w:kern w:val="0"/>
          <w:sz w:val="30"/>
          <w:szCs w:val="30"/>
        </w:rPr>
        <w:t>辆，在编实有车辆</w:t>
      </w:r>
      <w:r>
        <w:rPr>
          <w:rFonts w:hint="eastAsia" w:ascii="仿宋_GB2312" w:eastAsia="仿宋_GB2312"/>
          <w:sz w:val="30"/>
          <w:szCs w:val="30"/>
          <w:lang w:val="en-US" w:eastAsia="zh-CN"/>
        </w:rPr>
        <w:t>2</w:t>
      </w:r>
      <w:r>
        <w:rPr>
          <w:rFonts w:hint="eastAsia" w:ascii="仿宋_GB2312" w:hAnsi="宋体" w:eastAsia="仿宋_GB2312" w:cs="Arial"/>
          <w:kern w:val="0"/>
          <w:sz w:val="30"/>
          <w:szCs w:val="30"/>
        </w:rPr>
        <w:t>辆。</w:t>
      </w:r>
    </w:p>
    <w:p>
      <w:pPr>
        <w:jc w:val="center"/>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第二部分  2017年度部门决算表</w:t>
      </w:r>
    </w:p>
    <w:p>
      <w:pPr>
        <w:spacing w:line="600" w:lineRule="exact"/>
        <w:ind w:firstLine="600" w:firstLineChars="200"/>
        <w:jc w:val="center"/>
        <w:rPr>
          <w:rFonts w:ascii="仿宋_GB2312" w:eastAsia="仿宋_GB2312"/>
          <w:sz w:val="30"/>
          <w:szCs w:val="30"/>
        </w:rPr>
      </w:pPr>
      <w:r>
        <w:rPr>
          <w:rFonts w:hint="eastAsia" w:ascii="仿宋_GB2312" w:eastAsia="仿宋_GB2312"/>
          <w:sz w:val="30"/>
          <w:szCs w:val="30"/>
        </w:rPr>
        <w:t>（详见附件）</w:t>
      </w:r>
    </w:p>
    <w:p>
      <w:pPr>
        <w:jc w:val="center"/>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第三部门  2017年度部门决算情况说明</w:t>
      </w:r>
    </w:p>
    <w:p>
      <w:pPr>
        <w:ind w:firstLine="600" w:firstLineChars="200"/>
        <w:jc w:val="left"/>
        <w:rPr>
          <w:rFonts w:ascii="黑体" w:hAnsi="黑体" w:eastAsia="黑体"/>
          <w:sz w:val="30"/>
          <w:szCs w:val="30"/>
        </w:rPr>
      </w:pPr>
      <w:r>
        <w:rPr>
          <w:rFonts w:hint="eastAsia" w:ascii="黑体" w:hAnsi="黑体" w:eastAsia="黑体"/>
          <w:sz w:val="30"/>
          <w:szCs w:val="30"/>
        </w:rPr>
        <w:t>一、收入决算情况说明</w:t>
      </w:r>
    </w:p>
    <w:p>
      <w:pPr>
        <w:widowControl/>
        <w:snapToGrid w:val="0"/>
        <w:spacing w:before="100" w:after="100" w:line="600" w:lineRule="exact"/>
        <w:ind w:firstLine="538"/>
        <w:jc w:val="left"/>
        <w:rPr>
          <w:rFonts w:ascii="仿宋" w:hAnsi="仿宋" w:eastAsia="仿宋" w:cs="仿宋"/>
          <w:color w:val="FF0000"/>
          <w:sz w:val="30"/>
          <w:szCs w:val="30"/>
        </w:rPr>
      </w:pPr>
      <w:r>
        <w:rPr>
          <w:rFonts w:hint="eastAsia" w:ascii="仿宋_GB2312" w:eastAsia="仿宋_GB2312"/>
          <w:sz w:val="30"/>
          <w:szCs w:val="30"/>
        </w:rPr>
        <w:t>那邦镇人民政府2017年度收入合计751.65万元。其中：财政拨款收入751.6万元，占总收入的100%；上级补助收入0万元，占总收入的0%；事业收入0万元，占总收入的0%；经营收入0万元，占总收入的0%；附属单位缴款收入0万元，占总收入的0%；其他收入0万元，占总收入的0%。与上年545.36万元对比增加206.29万元，增长38%，主要原因：人员增加调资增资，开展脱贫攻坚工作发展产业增加</w:t>
      </w:r>
      <w:r>
        <w:rPr>
          <w:rFonts w:hint="eastAsia" w:ascii="仿宋_GB2312" w:eastAsia="仿宋_GB2312"/>
          <w:sz w:val="30"/>
          <w:szCs w:val="30"/>
          <w:highlight w:val="none"/>
        </w:rPr>
        <w:t>88.29</w:t>
      </w:r>
      <w:r>
        <w:rPr>
          <w:rFonts w:hint="eastAsia" w:ascii="仿宋_GB2312" w:eastAsia="仿宋_GB2312"/>
          <w:sz w:val="30"/>
          <w:szCs w:val="30"/>
        </w:rPr>
        <w:t>万元；增加那邦镇街道村委会福兴路下段排水系统改造资金（人大议案）10万元；增加那邦镇观鸟旅游产业基础设施建设及工作经费60万元；增加州补那邦镇基层党建专项资金10万元；增加那邦镇2017年驻村扶贫工作队工作经费8万元；增加2017年第二批体彩公益金项目资金（体育场地设施建设）30万元。</w:t>
      </w:r>
    </w:p>
    <w:p>
      <w:pPr>
        <w:ind w:firstLine="600" w:firstLineChars="200"/>
        <w:jc w:val="left"/>
        <w:rPr>
          <w:rFonts w:ascii="黑体" w:hAnsi="黑体" w:eastAsia="黑体"/>
          <w:sz w:val="30"/>
          <w:szCs w:val="30"/>
        </w:rPr>
      </w:pPr>
      <w:r>
        <w:rPr>
          <w:rFonts w:hint="eastAsia" w:ascii="黑体" w:hAnsi="黑体" w:eastAsia="黑体"/>
          <w:sz w:val="30"/>
          <w:szCs w:val="30"/>
        </w:rPr>
        <w:t>二、支出决算情况说明</w:t>
      </w:r>
    </w:p>
    <w:p>
      <w:pPr>
        <w:spacing w:line="600" w:lineRule="exact"/>
        <w:ind w:firstLine="600" w:firstLineChars="200"/>
        <w:rPr>
          <w:rFonts w:ascii="仿宋_GB2312" w:hAnsi="宋体" w:eastAsia="仿宋_GB2312" w:cs="Arial"/>
          <w:kern w:val="0"/>
          <w:sz w:val="30"/>
          <w:szCs w:val="30"/>
          <w:highlight w:val="none"/>
        </w:rPr>
      </w:pPr>
      <w:r>
        <w:rPr>
          <w:rFonts w:hint="eastAsia" w:ascii="仿宋_GB2312" w:eastAsia="仿宋_GB2312"/>
          <w:sz w:val="30"/>
          <w:szCs w:val="30"/>
        </w:rPr>
        <w:t>那邦镇人民政府2017年度支出合计814.19万元。其中：</w:t>
      </w:r>
      <w:r>
        <w:rPr>
          <w:rFonts w:hint="eastAsia" w:ascii="仿宋_GB2312" w:hAnsi="宋体" w:eastAsia="仿宋_GB2312" w:cs="Arial"/>
          <w:kern w:val="0"/>
          <w:sz w:val="30"/>
          <w:szCs w:val="30"/>
        </w:rPr>
        <w:t>基本支出</w:t>
      </w:r>
      <w:r>
        <w:rPr>
          <w:rFonts w:hint="eastAsia" w:ascii="仿宋_GB2312" w:eastAsia="仿宋_GB2312"/>
          <w:sz w:val="30"/>
          <w:szCs w:val="30"/>
        </w:rPr>
        <w:t>643.57</w:t>
      </w:r>
      <w:r>
        <w:rPr>
          <w:rFonts w:hint="eastAsia" w:ascii="仿宋_GB2312" w:hAnsi="宋体" w:eastAsia="仿宋_GB2312" w:cs="Arial"/>
          <w:kern w:val="0"/>
          <w:sz w:val="30"/>
          <w:szCs w:val="30"/>
        </w:rPr>
        <w:t>万元，占总支出的</w:t>
      </w:r>
      <w:r>
        <w:rPr>
          <w:rFonts w:hint="eastAsia" w:ascii="仿宋_GB2312" w:eastAsia="仿宋_GB2312"/>
          <w:sz w:val="30"/>
          <w:szCs w:val="30"/>
        </w:rPr>
        <w:t>79</w:t>
      </w:r>
      <w:r>
        <w:rPr>
          <w:rFonts w:hint="eastAsia" w:ascii="仿宋_GB2312" w:hAnsi="宋体" w:eastAsia="仿宋_GB2312" w:cs="Arial"/>
          <w:kern w:val="0"/>
          <w:sz w:val="30"/>
          <w:szCs w:val="30"/>
        </w:rPr>
        <w:t>％；项目支出</w:t>
      </w:r>
      <w:r>
        <w:rPr>
          <w:rFonts w:hint="eastAsia" w:ascii="仿宋_GB2312" w:eastAsia="仿宋_GB2312"/>
          <w:sz w:val="30"/>
          <w:szCs w:val="30"/>
        </w:rPr>
        <w:t>170.62</w:t>
      </w:r>
      <w:r>
        <w:rPr>
          <w:rFonts w:hint="eastAsia" w:ascii="仿宋_GB2312" w:hAnsi="宋体" w:eastAsia="仿宋_GB2312" w:cs="Arial"/>
          <w:kern w:val="0"/>
          <w:sz w:val="30"/>
          <w:szCs w:val="30"/>
        </w:rPr>
        <w:t>万元，占总支出的</w:t>
      </w:r>
      <w:r>
        <w:rPr>
          <w:rFonts w:hint="eastAsia" w:ascii="仿宋_GB2312" w:eastAsia="仿宋_GB2312"/>
          <w:sz w:val="30"/>
          <w:szCs w:val="30"/>
        </w:rPr>
        <w:t>21</w:t>
      </w:r>
      <w:r>
        <w:rPr>
          <w:rFonts w:hint="eastAsia" w:ascii="仿宋_GB2312" w:hAnsi="宋体" w:eastAsia="仿宋_GB2312" w:cs="Arial"/>
          <w:kern w:val="0"/>
          <w:sz w:val="30"/>
          <w:szCs w:val="30"/>
        </w:rPr>
        <w:t>％；上缴上级支出、经营支出、对附属单位补助支出共</w:t>
      </w:r>
      <w:r>
        <w:rPr>
          <w:rFonts w:hint="eastAsia" w:ascii="仿宋_GB2312" w:eastAsia="仿宋_GB2312"/>
          <w:sz w:val="30"/>
          <w:szCs w:val="30"/>
        </w:rPr>
        <w:t>0</w:t>
      </w:r>
      <w:r>
        <w:rPr>
          <w:rFonts w:hint="eastAsia" w:ascii="仿宋_GB2312" w:hAnsi="宋体" w:eastAsia="仿宋_GB2312" w:cs="Arial"/>
          <w:kern w:val="0"/>
          <w:sz w:val="30"/>
          <w:szCs w:val="30"/>
        </w:rPr>
        <w:t>万元，占总支出的</w:t>
      </w:r>
      <w:r>
        <w:rPr>
          <w:rFonts w:hint="eastAsia" w:ascii="仿宋_GB2312" w:eastAsia="仿宋_GB2312"/>
          <w:sz w:val="30"/>
          <w:szCs w:val="30"/>
        </w:rPr>
        <w:t>0</w:t>
      </w:r>
      <w:r>
        <w:rPr>
          <w:rFonts w:hint="eastAsia" w:ascii="仿宋_GB2312" w:hAnsi="宋体" w:eastAsia="仿宋_GB2312" w:cs="Arial"/>
          <w:kern w:val="0"/>
          <w:sz w:val="30"/>
          <w:szCs w:val="30"/>
        </w:rPr>
        <w:t>％。</w:t>
      </w:r>
      <w:r>
        <w:rPr>
          <w:rFonts w:hint="eastAsia" w:ascii="仿宋_GB2312" w:eastAsia="仿宋_GB2312"/>
          <w:sz w:val="30"/>
          <w:szCs w:val="30"/>
        </w:rPr>
        <w:t>与上年638.44万元对比，增加175.75万元,增长28%，主要原因：</w:t>
      </w:r>
      <w:r>
        <w:rPr>
          <w:rFonts w:hint="eastAsia" w:ascii="仿宋_GB2312" w:eastAsia="仿宋_GB2312"/>
          <w:sz w:val="30"/>
          <w:szCs w:val="30"/>
          <w:highlight w:val="none"/>
        </w:rPr>
        <w:t>本年度</w:t>
      </w:r>
      <w:r>
        <w:rPr>
          <w:rFonts w:hint="eastAsia" w:ascii="仿宋_GB2312" w:hAnsi="仿宋_GB2312" w:eastAsia="仿宋_GB2312" w:cs="仿宋_GB2312"/>
          <w:kern w:val="0"/>
          <w:sz w:val="32"/>
          <w:szCs w:val="32"/>
          <w:highlight w:val="none"/>
        </w:rPr>
        <w:t>基本支出增加，</w:t>
      </w:r>
      <w:r>
        <w:rPr>
          <w:rFonts w:hint="eastAsia" w:ascii="仿宋_GB2312" w:eastAsia="仿宋_GB2312"/>
          <w:sz w:val="30"/>
          <w:szCs w:val="30"/>
          <w:highlight w:val="none"/>
        </w:rPr>
        <w:t>调整工资标准，人员经费增加</w:t>
      </w:r>
      <w:r>
        <w:rPr>
          <w:rFonts w:hint="eastAsia" w:ascii="仿宋_GB2312" w:eastAsia="仿宋_GB2312"/>
          <w:sz w:val="30"/>
          <w:szCs w:val="30"/>
          <w:highlight w:val="none"/>
          <w:lang w:val="en-US" w:eastAsia="zh-CN"/>
        </w:rPr>
        <w:t>76.1</w:t>
      </w:r>
      <w:r>
        <w:rPr>
          <w:rFonts w:hint="eastAsia" w:ascii="仿宋_GB2312" w:eastAsia="仿宋_GB2312"/>
          <w:sz w:val="30"/>
          <w:szCs w:val="30"/>
          <w:highlight w:val="none"/>
        </w:rPr>
        <w:t>万元；本年度开展脱贫攻坚工作，发展产业项目增多，办公费、差旅费等各项经费增加</w:t>
      </w:r>
      <w:r>
        <w:rPr>
          <w:rFonts w:hint="eastAsia" w:ascii="仿宋_GB2312" w:eastAsia="仿宋_GB2312"/>
          <w:sz w:val="30"/>
          <w:szCs w:val="30"/>
          <w:highlight w:val="none"/>
          <w:lang w:val="en-US" w:eastAsia="zh-CN"/>
        </w:rPr>
        <w:t>34</w:t>
      </w:r>
      <w:r>
        <w:rPr>
          <w:rFonts w:hint="eastAsia" w:ascii="仿宋_GB2312" w:eastAsia="仿宋_GB2312"/>
          <w:sz w:val="30"/>
          <w:szCs w:val="30"/>
          <w:highlight w:val="none"/>
        </w:rPr>
        <w:t>万元</w:t>
      </w:r>
      <w:r>
        <w:rPr>
          <w:rFonts w:hint="eastAsia" w:ascii="仿宋_GB2312" w:eastAsia="仿宋_GB2312"/>
          <w:sz w:val="30"/>
          <w:szCs w:val="30"/>
          <w:highlight w:val="none"/>
          <w:lang w:eastAsia="zh-CN"/>
        </w:rPr>
        <w:t>；项目增加</w:t>
      </w:r>
      <w:r>
        <w:rPr>
          <w:rFonts w:hint="eastAsia" w:ascii="仿宋_GB2312" w:eastAsia="仿宋_GB2312"/>
          <w:sz w:val="30"/>
          <w:szCs w:val="30"/>
          <w:highlight w:val="none"/>
          <w:lang w:val="en-US" w:eastAsia="zh-CN"/>
        </w:rPr>
        <w:t>57.92万元，</w:t>
      </w:r>
      <w:r>
        <w:rPr>
          <w:rFonts w:hint="eastAsia" w:ascii="仿宋_GB2312" w:eastAsia="仿宋_GB2312"/>
          <w:sz w:val="30"/>
          <w:szCs w:val="30"/>
          <w:highlight w:val="none"/>
        </w:rPr>
        <w:t xml:space="preserve">那邦镇观鸟旅游产业基础设施建设及工作经费60万元；乡镇党组织建设经费49.9万元；省补那邦镇2016年防灾减灾工作专项补助经费9.9万元；生态保护工作经费8.5万元；那邦镇刀弄村村内道路修护经费3万元；脱贫攻坚工作经费10万元等项目支出 </w:t>
      </w:r>
      <w:r>
        <w:rPr>
          <w:rFonts w:hint="eastAsia" w:ascii="仿宋_GB2312" w:eastAsia="仿宋_GB2312"/>
          <w:sz w:val="30"/>
          <w:szCs w:val="30"/>
          <w:highlight w:val="none"/>
          <w:lang w:val="en-US" w:eastAsia="zh-CN"/>
        </w:rPr>
        <w:t>170.62</w:t>
      </w:r>
      <w:r>
        <w:rPr>
          <w:rFonts w:hint="eastAsia" w:ascii="仿宋_GB2312" w:eastAsia="仿宋_GB2312"/>
          <w:sz w:val="30"/>
          <w:szCs w:val="30"/>
          <w:highlight w:val="none"/>
        </w:rPr>
        <w:t>万元。</w:t>
      </w:r>
    </w:p>
    <w:p>
      <w:pPr>
        <w:widowControl/>
        <w:snapToGrid w:val="0"/>
        <w:spacing w:before="100" w:after="100" w:line="600" w:lineRule="exact"/>
        <w:ind w:firstLine="600" w:firstLineChars="200"/>
        <w:jc w:val="left"/>
        <w:rPr>
          <w:rFonts w:ascii="楷体" w:hAnsi="楷体" w:eastAsia="楷体"/>
          <w:sz w:val="30"/>
          <w:szCs w:val="30"/>
          <w:highlight w:val="none"/>
        </w:rPr>
      </w:pPr>
      <w:r>
        <w:rPr>
          <w:rFonts w:hint="eastAsia" w:ascii="楷体" w:hAnsi="楷体" w:eastAsia="楷体"/>
          <w:sz w:val="30"/>
          <w:szCs w:val="30"/>
          <w:highlight w:val="none"/>
        </w:rPr>
        <w:t>（一）基本支出情况</w:t>
      </w:r>
    </w:p>
    <w:p>
      <w:pPr>
        <w:widowControl/>
        <w:snapToGrid w:val="0"/>
        <w:spacing w:before="100" w:after="100" w:line="600" w:lineRule="exact"/>
        <w:ind w:firstLine="600" w:firstLineChars="200"/>
        <w:jc w:val="left"/>
        <w:rPr>
          <w:rFonts w:ascii="仿宋_GB2312" w:eastAsia="仿宋_GB2312"/>
          <w:sz w:val="30"/>
          <w:szCs w:val="30"/>
          <w:highlight w:val="none"/>
        </w:rPr>
      </w:pPr>
      <w:r>
        <w:rPr>
          <w:rFonts w:hint="eastAsia" w:ascii="仿宋_GB2312" w:eastAsia="仿宋_GB2312"/>
          <w:sz w:val="30"/>
          <w:szCs w:val="30"/>
          <w:highlight w:val="none"/>
        </w:rPr>
        <w:t>2017年度用于保障党委、政府、人大各机关、事业单位等机构正常运转的日常支出643.57万元。与上年525.77万元对比增加117.8万元,增长22%，主要原因：本年度调整工资标准，人员经费增加</w:t>
      </w:r>
      <w:r>
        <w:rPr>
          <w:rFonts w:hint="eastAsia" w:ascii="仿宋_GB2312" w:eastAsia="仿宋_GB2312"/>
          <w:sz w:val="30"/>
          <w:szCs w:val="30"/>
          <w:highlight w:val="none"/>
          <w:lang w:val="en-US" w:eastAsia="zh-CN"/>
        </w:rPr>
        <w:t>76.1</w:t>
      </w:r>
      <w:r>
        <w:rPr>
          <w:rFonts w:hint="eastAsia" w:ascii="仿宋_GB2312" w:eastAsia="仿宋_GB2312"/>
          <w:sz w:val="30"/>
          <w:szCs w:val="30"/>
          <w:highlight w:val="none"/>
        </w:rPr>
        <w:t>万元，开展脱贫攻坚工作产业发展工作经费增加</w:t>
      </w:r>
      <w:r>
        <w:rPr>
          <w:rFonts w:hint="eastAsia" w:ascii="仿宋_GB2312" w:eastAsia="仿宋_GB2312"/>
          <w:sz w:val="30"/>
          <w:szCs w:val="30"/>
          <w:highlight w:val="none"/>
          <w:lang w:val="en-US" w:eastAsia="zh-CN"/>
        </w:rPr>
        <w:t>34</w:t>
      </w:r>
      <w:r>
        <w:rPr>
          <w:rFonts w:hint="eastAsia" w:ascii="仿宋_GB2312" w:eastAsia="仿宋_GB2312"/>
          <w:sz w:val="30"/>
          <w:szCs w:val="30"/>
          <w:highlight w:val="none"/>
        </w:rPr>
        <w:t>万元。机构正常运转的日常支出包括基本工资、津贴补贴等人员经费支出500.6万元，占基本支出的78％；办公费、印刷费、水电费、办公设备购置等日常公用经费142.97占基本支出的22％。人均公务支出2.5万元（</w:t>
      </w:r>
      <w:r>
        <w:rPr>
          <w:rFonts w:hint="eastAsia" w:ascii="仿宋_GB2312" w:hAnsi="仿宋_GB2312" w:eastAsia="仿宋_GB2312" w:cs="仿宋_GB2312"/>
          <w:sz w:val="32"/>
          <w:szCs w:val="32"/>
          <w:highlight w:val="none"/>
        </w:rPr>
        <w:t>含村委人员</w:t>
      </w:r>
      <w:r>
        <w:rPr>
          <w:rFonts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rPr>
        <w:t>4人</w:t>
      </w:r>
      <w:r>
        <w:rPr>
          <w:rFonts w:hint="eastAsia" w:ascii="仿宋_GB2312" w:eastAsia="仿宋_GB2312"/>
          <w:sz w:val="30"/>
          <w:szCs w:val="30"/>
          <w:highlight w:val="none"/>
        </w:rPr>
        <w:t>）。</w:t>
      </w:r>
    </w:p>
    <w:p>
      <w:pPr>
        <w:widowControl/>
        <w:snapToGrid w:val="0"/>
        <w:spacing w:before="100" w:after="100" w:line="600" w:lineRule="exact"/>
        <w:ind w:firstLine="600" w:firstLineChars="200"/>
        <w:jc w:val="left"/>
        <w:rPr>
          <w:rFonts w:ascii="楷体" w:hAnsi="楷体" w:eastAsia="楷体"/>
          <w:sz w:val="30"/>
          <w:szCs w:val="30"/>
          <w:highlight w:val="none"/>
        </w:rPr>
      </w:pPr>
      <w:r>
        <w:rPr>
          <w:rFonts w:hint="eastAsia" w:ascii="楷体" w:hAnsi="楷体" w:eastAsia="楷体"/>
          <w:sz w:val="30"/>
          <w:szCs w:val="30"/>
          <w:highlight w:val="none"/>
        </w:rPr>
        <w:t>（二）项目支出情况</w:t>
      </w:r>
    </w:p>
    <w:p>
      <w:pPr>
        <w:widowControl/>
        <w:snapToGrid w:val="0"/>
        <w:spacing w:before="100" w:after="100" w:line="600" w:lineRule="exact"/>
        <w:ind w:firstLine="600" w:firstLineChars="200"/>
        <w:jc w:val="left"/>
        <w:rPr>
          <w:rFonts w:ascii="仿宋_GB2312" w:eastAsia="仿宋_GB2312"/>
          <w:sz w:val="30"/>
          <w:szCs w:val="30"/>
          <w:highlight w:val="none"/>
        </w:rPr>
      </w:pPr>
      <w:r>
        <w:rPr>
          <w:rFonts w:hint="eastAsia" w:ascii="仿宋_GB2312" w:eastAsia="仿宋_GB2312"/>
          <w:sz w:val="30"/>
          <w:szCs w:val="30"/>
          <w:highlight w:val="none"/>
        </w:rPr>
        <w:t>2017年度用于保障党委、政府、人大各机构、事业单位等机构为完成特定的行政工作任务或事业发展目标，用于专项业务工作的经费支出170.62万元。与上年112.67万元对比增加57.95万元,增长51%，主要原因： 1、那邦镇观鸟旅游产业基础设施建设及工作经费60万元；2、乡镇党组织建设经费49.9万元；3省补那邦镇2016年防灾减灾工作专项补助经费9.9万元；4、生态保护工作经费8.5万元；5、那邦镇刀弄村村内道路修护经费3万元；6、脱贫攻坚工作经费10万元；7、村级公益事业建设一事一议19.5万元；8、省补那邦新农村建设工作队专项经费5.7万元；9、2013年第二批省级专项彩票公益金2万元；</w:t>
      </w:r>
      <w:r>
        <w:rPr>
          <w:rFonts w:hint="eastAsia" w:ascii="仿宋_GB2312" w:eastAsia="仿宋_GB2312"/>
          <w:sz w:val="30"/>
          <w:szCs w:val="30"/>
          <w:highlight w:val="none"/>
          <w:lang w:val="en-US" w:eastAsia="zh-CN"/>
        </w:rPr>
        <w:t>10</w:t>
      </w:r>
      <w:r>
        <w:rPr>
          <w:rFonts w:hint="eastAsia" w:ascii="仿宋_GB2312" w:eastAsia="仿宋_GB2312"/>
          <w:sz w:val="30"/>
          <w:szCs w:val="30"/>
          <w:highlight w:val="none"/>
        </w:rPr>
        <w:t>、州补那邦镇党政办公楼维修资金1.7万元。</w:t>
      </w:r>
      <w:r>
        <w:rPr>
          <w:rFonts w:hint="eastAsia" w:ascii="仿宋_GB2312" w:eastAsia="仿宋_GB2312"/>
          <w:sz w:val="30"/>
          <w:szCs w:val="30"/>
          <w:highlight w:val="none"/>
          <w:lang w:val="en-US" w:eastAsia="zh-CN"/>
        </w:rPr>
        <w:t>11、那邦镇工会妇联工作经费0.42万元。</w:t>
      </w:r>
    </w:p>
    <w:p>
      <w:pPr>
        <w:widowControl/>
        <w:snapToGrid w:val="0"/>
        <w:spacing w:before="100" w:after="100" w:line="600" w:lineRule="exact"/>
        <w:ind w:firstLine="602" w:firstLineChars="200"/>
        <w:jc w:val="left"/>
        <w:rPr>
          <w:rFonts w:ascii="黑体" w:hAnsi="黑体" w:eastAsia="黑体"/>
          <w:color w:val="FF0000"/>
          <w:sz w:val="28"/>
          <w:szCs w:val="28"/>
          <w:highlight w:val="none"/>
        </w:rPr>
      </w:pPr>
      <w:r>
        <w:rPr>
          <w:rFonts w:hint="eastAsia" w:ascii="黑体" w:hAnsi="黑体" w:eastAsia="黑体"/>
          <w:b/>
          <w:bCs/>
          <w:sz w:val="30"/>
          <w:szCs w:val="30"/>
          <w:highlight w:val="none"/>
        </w:rPr>
        <w:t>三、一般公共预算</w:t>
      </w:r>
      <w:r>
        <w:rPr>
          <w:rFonts w:hint="eastAsia" w:ascii="黑体" w:hAnsi="黑体" w:eastAsia="黑体"/>
          <w:sz w:val="30"/>
          <w:szCs w:val="30"/>
          <w:highlight w:val="none"/>
        </w:rPr>
        <w:t>财政拨款支出决算情况说明</w:t>
      </w:r>
    </w:p>
    <w:p>
      <w:pPr>
        <w:widowControl/>
        <w:snapToGrid w:val="0"/>
        <w:spacing w:before="100" w:after="100" w:line="600" w:lineRule="exact"/>
        <w:ind w:firstLine="600" w:firstLineChars="200"/>
        <w:jc w:val="left"/>
        <w:rPr>
          <w:rFonts w:ascii="楷体" w:hAnsi="楷体" w:eastAsia="楷体"/>
          <w:sz w:val="30"/>
          <w:szCs w:val="30"/>
          <w:highlight w:val="none"/>
        </w:rPr>
      </w:pPr>
      <w:r>
        <w:rPr>
          <w:rFonts w:hint="eastAsia" w:ascii="楷体" w:hAnsi="楷体" w:eastAsia="楷体"/>
          <w:sz w:val="30"/>
          <w:szCs w:val="30"/>
          <w:highlight w:val="none"/>
        </w:rPr>
        <w:t>（一）一般公共预算财政拨款支出决算总体情况</w:t>
      </w:r>
    </w:p>
    <w:p>
      <w:pPr>
        <w:spacing w:line="600" w:lineRule="exact"/>
        <w:ind w:firstLine="600" w:firstLineChars="200"/>
        <w:rPr>
          <w:rFonts w:ascii="仿宋_GB2312" w:hAnsi="宋体" w:eastAsia="仿宋_GB2312" w:cs="Arial"/>
          <w:kern w:val="0"/>
          <w:sz w:val="30"/>
          <w:szCs w:val="30"/>
          <w:highlight w:val="none"/>
        </w:rPr>
      </w:pPr>
      <w:r>
        <w:rPr>
          <w:rFonts w:hint="eastAsia" w:ascii="仿宋_GB2312" w:eastAsia="仿宋_GB2312"/>
          <w:sz w:val="30"/>
          <w:szCs w:val="30"/>
          <w:highlight w:val="none"/>
        </w:rPr>
        <w:t xml:space="preserve"> 那邦镇人民政府2017年度一般公共预算财政拨款支出</w:t>
      </w:r>
      <w:r>
        <w:rPr>
          <w:rFonts w:hint="eastAsia" w:ascii="仿宋_GB2312" w:hAnsi="宋体" w:eastAsia="仿宋_GB2312" w:cs="Arial"/>
          <w:kern w:val="0"/>
          <w:sz w:val="30"/>
          <w:szCs w:val="30"/>
          <w:highlight w:val="none"/>
        </w:rPr>
        <w:t>811.98万元,占本年支出合计的</w:t>
      </w:r>
      <w:r>
        <w:rPr>
          <w:rFonts w:hint="eastAsia" w:ascii="仿宋_GB2312" w:eastAsia="仿宋_GB2312"/>
          <w:sz w:val="30"/>
          <w:szCs w:val="30"/>
          <w:highlight w:val="none"/>
        </w:rPr>
        <w:t>99</w:t>
      </w:r>
      <w:r>
        <w:rPr>
          <w:rFonts w:hint="eastAsia" w:ascii="仿宋_GB2312" w:hAnsi="宋体" w:eastAsia="仿宋_GB2312" w:cs="Arial"/>
          <w:kern w:val="0"/>
          <w:sz w:val="30"/>
          <w:szCs w:val="30"/>
          <w:highlight w:val="none"/>
        </w:rPr>
        <w:t>%。与上年584.05万元对比增加227.93万元</w:t>
      </w:r>
      <w:r>
        <w:rPr>
          <w:rFonts w:hint="eastAsia" w:ascii="仿宋_GB2312" w:eastAsia="仿宋_GB2312"/>
          <w:sz w:val="30"/>
          <w:szCs w:val="30"/>
          <w:highlight w:val="none"/>
        </w:rPr>
        <w:t>,增长39%，主要</w:t>
      </w:r>
      <w:r>
        <w:rPr>
          <w:rFonts w:hint="eastAsia" w:ascii="仿宋_GB2312" w:hAnsi="宋体" w:eastAsia="仿宋_GB2312" w:cs="Arial"/>
          <w:kern w:val="0"/>
          <w:sz w:val="30"/>
          <w:szCs w:val="30"/>
          <w:highlight w:val="none"/>
        </w:rPr>
        <w:t>原因：</w:t>
      </w:r>
      <w:r>
        <w:rPr>
          <w:rFonts w:hint="eastAsia" w:ascii="仿宋_GB2312" w:eastAsia="仿宋_GB2312"/>
          <w:sz w:val="30"/>
          <w:szCs w:val="30"/>
          <w:highlight w:val="none"/>
        </w:rPr>
        <w:t>本年度</w:t>
      </w:r>
      <w:r>
        <w:rPr>
          <w:rFonts w:hint="eastAsia" w:ascii="仿宋_GB2312" w:hAnsi="仿宋_GB2312" w:eastAsia="仿宋_GB2312" w:cs="仿宋_GB2312"/>
          <w:kern w:val="0"/>
          <w:sz w:val="32"/>
          <w:szCs w:val="32"/>
          <w:highlight w:val="none"/>
        </w:rPr>
        <w:t>基本支出增加，</w:t>
      </w:r>
      <w:r>
        <w:rPr>
          <w:rFonts w:hint="eastAsia" w:ascii="仿宋_GB2312" w:eastAsia="仿宋_GB2312"/>
          <w:sz w:val="30"/>
          <w:szCs w:val="30"/>
          <w:highlight w:val="none"/>
        </w:rPr>
        <w:t>调整工资标准，人员经费增加</w:t>
      </w:r>
      <w:r>
        <w:rPr>
          <w:rFonts w:hint="eastAsia" w:ascii="仿宋_GB2312" w:eastAsia="仿宋_GB2312"/>
          <w:sz w:val="30"/>
          <w:szCs w:val="30"/>
          <w:highlight w:val="none"/>
          <w:lang w:val="en-US" w:eastAsia="zh-CN"/>
        </w:rPr>
        <w:t>76.1</w:t>
      </w:r>
      <w:r>
        <w:rPr>
          <w:rFonts w:hint="eastAsia" w:ascii="仿宋_GB2312" w:eastAsia="仿宋_GB2312"/>
          <w:sz w:val="30"/>
          <w:szCs w:val="30"/>
          <w:highlight w:val="none"/>
        </w:rPr>
        <w:t>元；本年度开展脱贫攻坚工作，发展产业项目增多，办公费、差旅费等各项经费增加</w:t>
      </w:r>
      <w:r>
        <w:rPr>
          <w:rFonts w:hint="eastAsia" w:ascii="仿宋_GB2312" w:eastAsia="仿宋_GB2312"/>
          <w:sz w:val="30"/>
          <w:szCs w:val="30"/>
          <w:highlight w:val="none"/>
          <w:lang w:val="en-US" w:eastAsia="zh-CN"/>
        </w:rPr>
        <w:t>34</w:t>
      </w:r>
      <w:r>
        <w:rPr>
          <w:rFonts w:hint="eastAsia" w:ascii="仿宋_GB2312" w:eastAsia="仿宋_GB2312"/>
          <w:sz w:val="30"/>
          <w:szCs w:val="30"/>
          <w:highlight w:val="none"/>
        </w:rPr>
        <w:t>万元；</w:t>
      </w:r>
      <w:r>
        <w:rPr>
          <w:rFonts w:hint="eastAsia" w:ascii="仿宋_GB2312" w:eastAsia="仿宋_GB2312"/>
          <w:sz w:val="30"/>
          <w:szCs w:val="30"/>
          <w:highlight w:val="none"/>
          <w:lang w:eastAsia="zh-CN"/>
        </w:rPr>
        <w:t>项目增加</w:t>
      </w:r>
      <w:r>
        <w:rPr>
          <w:rFonts w:hint="eastAsia" w:ascii="仿宋_GB2312" w:eastAsia="仿宋_GB2312"/>
          <w:sz w:val="30"/>
          <w:szCs w:val="30"/>
          <w:highlight w:val="none"/>
          <w:lang w:val="en-US" w:eastAsia="zh-CN"/>
        </w:rPr>
        <w:t>57.92万元，</w:t>
      </w:r>
      <w:r>
        <w:rPr>
          <w:rFonts w:hint="eastAsia" w:ascii="仿宋_GB2312" w:eastAsia="仿宋_GB2312"/>
          <w:sz w:val="30"/>
          <w:szCs w:val="30"/>
          <w:highlight w:val="none"/>
        </w:rPr>
        <w:t xml:space="preserve">那邦镇观鸟旅游产业基础设施建设及工作经费60万元；乡镇党组织建设经费49.9万元；省补那邦镇2016年防灾减灾工作专项补助经费9.9万元；生态保护工作经费8.5万元；那邦镇刀弄村村内道路修护经费3万元；脱贫攻坚工作经费10万元等项目支出 </w:t>
      </w:r>
      <w:r>
        <w:rPr>
          <w:rFonts w:hint="eastAsia" w:ascii="仿宋_GB2312" w:eastAsia="仿宋_GB2312"/>
          <w:sz w:val="30"/>
          <w:szCs w:val="30"/>
          <w:highlight w:val="none"/>
          <w:lang w:val="en-US" w:eastAsia="zh-CN"/>
        </w:rPr>
        <w:t>170.62</w:t>
      </w:r>
      <w:r>
        <w:rPr>
          <w:rFonts w:hint="eastAsia" w:ascii="仿宋_GB2312" w:eastAsia="仿宋_GB2312"/>
          <w:sz w:val="30"/>
          <w:szCs w:val="30"/>
          <w:highlight w:val="none"/>
        </w:rPr>
        <w:t>万元。</w:t>
      </w:r>
    </w:p>
    <w:p>
      <w:pPr>
        <w:spacing w:line="600" w:lineRule="exact"/>
        <w:ind w:firstLine="600" w:firstLineChars="200"/>
        <w:rPr>
          <w:rFonts w:ascii="楷体" w:hAnsi="楷体" w:eastAsia="楷体"/>
          <w:sz w:val="30"/>
          <w:szCs w:val="30"/>
          <w:highlight w:val="none"/>
        </w:rPr>
      </w:pPr>
      <w:r>
        <w:rPr>
          <w:rFonts w:hint="eastAsia" w:ascii="楷体" w:hAnsi="楷体" w:eastAsia="楷体"/>
          <w:sz w:val="30"/>
          <w:szCs w:val="30"/>
          <w:highlight w:val="none"/>
        </w:rPr>
        <w:t>（二）一般公共预算财政拨款支出决算具体情况</w:t>
      </w:r>
      <w:r>
        <w:rPr>
          <w:rFonts w:hint="eastAsia" w:ascii="楷体" w:hAnsi="楷体" w:eastAsia="楷体"/>
          <w:sz w:val="30"/>
          <w:szCs w:val="30"/>
          <w:highlight w:val="none"/>
        </w:rPr>
        <w:tab/>
      </w:r>
      <w:r>
        <w:rPr>
          <w:rFonts w:hint="eastAsia" w:ascii="楷体" w:hAnsi="楷体" w:eastAsia="楷体"/>
          <w:sz w:val="30"/>
          <w:szCs w:val="30"/>
          <w:highlight w:val="none"/>
        </w:rPr>
        <w:tab/>
      </w:r>
    </w:p>
    <w:p>
      <w:pPr>
        <w:widowControl/>
        <w:snapToGrid w:val="0"/>
        <w:spacing w:before="100" w:after="100" w:line="360" w:lineRule="auto"/>
        <w:ind w:firstLine="600" w:firstLineChars="200"/>
        <w:jc w:val="left"/>
        <w:rPr>
          <w:rFonts w:ascii="仿宋_GB2312" w:hAnsi="仿宋_GB2312" w:eastAsia="仿宋_GB2312" w:cs="仿宋_GB2312"/>
          <w:kern w:val="0"/>
          <w:sz w:val="32"/>
          <w:szCs w:val="32"/>
          <w:highlight w:val="none"/>
        </w:rPr>
      </w:pPr>
      <w:r>
        <w:rPr>
          <w:rFonts w:hint="eastAsia" w:ascii="仿宋_GB2312" w:hAnsi="宋体" w:eastAsia="仿宋_GB2312" w:cs="Arial"/>
          <w:kern w:val="0"/>
          <w:sz w:val="30"/>
          <w:szCs w:val="30"/>
          <w:highlight w:val="none"/>
        </w:rPr>
        <w:t>1.一般公共服务（类）支出445.3万元，</w:t>
      </w:r>
      <w:r>
        <w:rPr>
          <w:rFonts w:hint="eastAsia" w:ascii="仿宋_GB2312" w:eastAsia="仿宋_GB2312"/>
          <w:sz w:val="30"/>
          <w:szCs w:val="30"/>
          <w:highlight w:val="none"/>
        </w:rPr>
        <w:t>占一般公共预算财政拨款总支出的55%。</w:t>
      </w:r>
      <w:r>
        <w:rPr>
          <w:rFonts w:hint="eastAsia" w:ascii="仿宋_GB2312" w:hAnsi="宋体" w:eastAsia="仿宋_GB2312" w:cs="Arial"/>
          <w:kern w:val="0"/>
          <w:sz w:val="30"/>
          <w:szCs w:val="30"/>
          <w:highlight w:val="none"/>
        </w:rPr>
        <w:t>主要用于</w:t>
      </w:r>
      <w:r>
        <w:rPr>
          <w:rFonts w:hint="eastAsia" w:ascii="仿宋_GB2312" w:eastAsia="仿宋_GB2312"/>
          <w:sz w:val="30"/>
          <w:szCs w:val="30"/>
          <w:highlight w:val="none"/>
        </w:rPr>
        <w:t>党委、政府、人大</w:t>
      </w:r>
      <w:r>
        <w:rPr>
          <w:rFonts w:hint="eastAsia" w:ascii="仿宋_GB2312" w:hAnsi="宋体" w:eastAsia="仿宋_GB2312" w:cs="Arial"/>
          <w:kern w:val="0"/>
          <w:sz w:val="30"/>
          <w:szCs w:val="30"/>
          <w:highlight w:val="none"/>
        </w:rPr>
        <w:t>；纪委人员</w:t>
      </w:r>
      <w:r>
        <w:rPr>
          <w:rFonts w:hint="eastAsia" w:ascii="仿宋_GB2312" w:hAnsi="仿宋_GB2312" w:eastAsia="仿宋_GB2312" w:cs="仿宋_GB2312"/>
          <w:kern w:val="0"/>
          <w:sz w:val="32"/>
          <w:szCs w:val="32"/>
          <w:highlight w:val="none"/>
        </w:rPr>
        <w:t>工资福利支出244.79万元</w:t>
      </w:r>
      <w:r>
        <w:rPr>
          <w:rFonts w:hint="eastAsia" w:ascii="仿宋_GB2312" w:hAnsi="仿宋_GB2312" w:eastAsia="仿宋_GB2312" w:cs="仿宋_GB2312"/>
          <w:b w:val="0"/>
          <w:bCs w:val="0"/>
          <w:kern w:val="0"/>
          <w:sz w:val="32"/>
          <w:szCs w:val="32"/>
          <w:highlight w:val="none"/>
        </w:rPr>
        <w:t>、商品和服务支出1</w:t>
      </w:r>
      <w:r>
        <w:rPr>
          <w:rFonts w:hint="eastAsia" w:ascii="仿宋_GB2312" w:hAnsi="仿宋_GB2312" w:eastAsia="仿宋_GB2312" w:cs="仿宋_GB2312"/>
          <w:kern w:val="0"/>
          <w:sz w:val="32"/>
          <w:szCs w:val="32"/>
          <w:highlight w:val="none"/>
        </w:rPr>
        <w:t>16.98万元、对个人和家庭的补助支出22.85万元、其他资本性支出60.68万元；</w:t>
      </w:r>
    </w:p>
    <w:p>
      <w:pPr>
        <w:widowControl/>
        <w:snapToGrid w:val="0"/>
        <w:spacing w:before="100" w:after="100" w:line="360" w:lineRule="auto"/>
        <w:ind w:firstLine="600" w:firstLineChars="200"/>
        <w:jc w:val="left"/>
        <w:rPr>
          <w:rFonts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rPr>
        <w:t>2.外交（类）支出</w:t>
      </w:r>
      <w:r>
        <w:rPr>
          <w:rFonts w:hint="eastAsia" w:ascii="仿宋_GB2312" w:eastAsia="仿宋_GB2312"/>
          <w:sz w:val="30"/>
          <w:szCs w:val="30"/>
          <w:highlight w:val="none"/>
        </w:rPr>
        <w:t>0</w:t>
      </w:r>
      <w:r>
        <w:rPr>
          <w:rFonts w:hint="eastAsia" w:ascii="仿宋_GB2312" w:hAnsi="宋体" w:eastAsia="仿宋_GB2312" w:cs="Arial"/>
          <w:kern w:val="0"/>
          <w:sz w:val="30"/>
          <w:szCs w:val="30"/>
          <w:highlight w:val="none"/>
        </w:rPr>
        <w:t>万元，</w:t>
      </w:r>
      <w:r>
        <w:rPr>
          <w:rFonts w:hint="eastAsia" w:ascii="仿宋_GB2312" w:eastAsia="仿宋_GB2312"/>
          <w:sz w:val="30"/>
          <w:szCs w:val="30"/>
          <w:highlight w:val="none"/>
        </w:rPr>
        <w:t>占一般公共预算财政拨款总支出的0%；</w:t>
      </w:r>
    </w:p>
    <w:p>
      <w:pPr>
        <w:widowControl/>
        <w:snapToGrid w:val="0"/>
        <w:spacing w:before="100" w:after="100" w:line="360" w:lineRule="auto"/>
        <w:ind w:firstLine="600" w:firstLineChars="200"/>
        <w:jc w:val="left"/>
        <w:rPr>
          <w:rFonts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rPr>
        <w:t>3.国防（类）支出</w:t>
      </w:r>
      <w:r>
        <w:rPr>
          <w:rFonts w:hint="eastAsia" w:ascii="仿宋_GB2312" w:eastAsia="仿宋_GB2312"/>
          <w:sz w:val="30"/>
          <w:szCs w:val="30"/>
          <w:highlight w:val="none"/>
        </w:rPr>
        <w:t>2</w:t>
      </w:r>
      <w:r>
        <w:rPr>
          <w:rFonts w:hint="eastAsia" w:ascii="仿宋_GB2312" w:hAnsi="宋体" w:eastAsia="仿宋_GB2312" w:cs="Arial"/>
          <w:kern w:val="0"/>
          <w:sz w:val="30"/>
          <w:szCs w:val="30"/>
          <w:highlight w:val="none"/>
        </w:rPr>
        <w:t>万元，</w:t>
      </w:r>
      <w:r>
        <w:rPr>
          <w:rFonts w:hint="eastAsia" w:ascii="仿宋_GB2312" w:eastAsia="仿宋_GB2312"/>
          <w:sz w:val="30"/>
          <w:szCs w:val="30"/>
          <w:highlight w:val="none"/>
        </w:rPr>
        <w:t>占一般公共预算财政拨款总支出的0.02%。</w:t>
      </w:r>
      <w:r>
        <w:rPr>
          <w:rFonts w:hint="eastAsia" w:ascii="仿宋_GB2312" w:hAnsi="宋体" w:eastAsia="仿宋_GB2312" w:cs="Arial"/>
          <w:kern w:val="0"/>
          <w:sz w:val="30"/>
          <w:szCs w:val="30"/>
          <w:highlight w:val="none"/>
        </w:rPr>
        <w:t>主要用于</w:t>
      </w:r>
      <w:r>
        <w:rPr>
          <w:rFonts w:hint="eastAsia" w:ascii="仿宋_GB2312" w:hAnsi="仿宋_GB2312" w:eastAsia="仿宋_GB2312" w:cs="仿宋_GB2312"/>
          <w:b w:val="0"/>
          <w:bCs/>
          <w:kern w:val="0"/>
          <w:sz w:val="30"/>
          <w:szCs w:val="30"/>
          <w:highlight w:val="none"/>
        </w:rPr>
        <w:t>商品和服务支出2万</w:t>
      </w:r>
      <w:r>
        <w:rPr>
          <w:rFonts w:hint="eastAsia" w:ascii="仿宋_GB2312" w:hAnsi="仿宋_GB2312" w:eastAsia="仿宋_GB2312" w:cs="仿宋_GB2312"/>
          <w:kern w:val="0"/>
          <w:sz w:val="30"/>
          <w:szCs w:val="30"/>
          <w:highlight w:val="none"/>
        </w:rPr>
        <w:t>元（</w:t>
      </w:r>
      <w:r>
        <w:rPr>
          <w:rFonts w:hint="eastAsia" w:ascii="仿宋_GB2312" w:hAnsi="宋体" w:eastAsia="仿宋_GB2312" w:cs="Arial"/>
          <w:kern w:val="0"/>
          <w:sz w:val="30"/>
          <w:szCs w:val="30"/>
          <w:highlight w:val="none"/>
        </w:rPr>
        <w:t>村委会民兵边境巡逻日常支出）。</w:t>
      </w:r>
    </w:p>
    <w:p>
      <w:pPr>
        <w:widowControl/>
        <w:snapToGrid w:val="0"/>
        <w:spacing w:before="100" w:after="100" w:line="360" w:lineRule="auto"/>
        <w:ind w:firstLine="600" w:firstLineChars="200"/>
        <w:jc w:val="left"/>
        <w:rPr>
          <w:rFonts w:ascii="仿宋_GB2312" w:hAnsi="仿宋_GB2312" w:eastAsia="仿宋_GB2312" w:cs="仿宋_GB2312"/>
          <w:kern w:val="0"/>
          <w:sz w:val="32"/>
          <w:szCs w:val="32"/>
          <w:highlight w:val="none"/>
        </w:rPr>
      </w:pPr>
      <w:r>
        <w:rPr>
          <w:rFonts w:hint="eastAsia" w:ascii="仿宋_GB2312" w:hAnsi="宋体" w:eastAsia="仿宋_GB2312" w:cs="Arial"/>
          <w:kern w:val="0"/>
          <w:sz w:val="30"/>
          <w:szCs w:val="30"/>
          <w:highlight w:val="none"/>
        </w:rPr>
        <w:t>4.文化体育与传媒（类）支出</w:t>
      </w:r>
      <w:r>
        <w:rPr>
          <w:rFonts w:hint="eastAsia" w:ascii="仿宋_GB2312" w:eastAsia="仿宋_GB2312"/>
          <w:sz w:val="30"/>
          <w:szCs w:val="30"/>
          <w:highlight w:val="none"/>
        </w:rPr>
        <w:t>19.43</w:t>
      </w:r>
      <w:r>
        <w:rPr>
          <w:rFonts w:hint="eastAsia" w:ascii="仿宋_GB2312" w:hAnsi="宋体" w:eastAsia="仿宋_GB2312" w:cs="Arial"/>
          <w:kern w:val="0"/>
          <w:sz w:val="30"/>
          <w:szCs w:val="30"/>
          <w:highlight w:val="none"/>
        </w:rPr>
        <w:t>万元，</w:t>
      </w:r>
      <w:r>
        <w:rPr>
          <w:rFonts w:hint="eastAsia" w:ascii="仿宋_GB2312" w:eastAsia="仿宋_GB2312"/>
          <w:sz w:val="30"/>
          <w:szCs w:val="30"/>
          <w:highlight w:val="none"/>
        </w:rPr>
        <w:t>占一般公共预算财政拨款总支出的2.4%。</w:t>
      </w:r>
      <w:r>
        <w:rPr>
          <w:rFonts w:hint="eastAsia" w:ascii="仿宋_GB2312" w:hAnsi="宋体" w:eastAsia="仿宋_GB2312" w:cs="Arial"/>
          <w:kern w:val="0"/>
          <w:sz w:val="30"/>
          <w:szCs w:val="30"/>
          <w:highlight w:val="none"/>
        </w:rPr>
        <w:t>主要用于文化站</w:t>
      </w:r>
      <w:r>
        <w:rPr>
          <w:rFonts w:hint="eastAsia" w:ascii="仿宋_GB2312" w:hAnsi="仿宋_GB2312" w:eastAsia="仿宋_GB2312" w:cs="仿宋_GB2312"/>
          <w:kern w:val="0"/>
          <w:sz w:val="32"/>
          <w:szCs w:val="32"/>
          <w:highlight w:val="none"/>
        </w:rPr>
        <w:t>工资福利支出14.1万元、商品和服务支出5.33万元；</w:t>
      </w:r>
    </w:p>
    <w:p>
      <w:pPr>
        <w:widowControl/>
        <w:snapToGrid w:val="0"/>
        <w:spacing w:before="100" w:after="100" w:line="360" w:lineRule="auto"/>
        <w:ind w:firstLine="600" w:firstLineChars="200"/>
        <w:jc w:val="left"/>
        <w:rPr>
          <w:rFonts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rPr>
        <w:t>5.社会保障和就业（类）支出</w:t>
      </w:r>
      <w:r>
        <w:rPr>
          <w:rFonts w:hint="eastAsia" w:ascii="仿宋_GB2312" w:eastAsia="仿宋_GB2312"/>
          <w:sz w:val="30"/>
          <w:szCs w:val="30"/>
          <w:highlight w:val="none"/>
        </w:rPr>
        <w:t>95.47</w:t>
      </w:r>
      <w:r>
        <w:rPr>
          <w:rFonts w:hint="eastAsia" w:ascii="仿宋_GB2312" w:hAnsi="宋体" w:eastAsia="仿宋_GB2312" w:cs="Arial"/>
          <w:kern w:val="0"/>
          <w:sz w:val="30"/>
          <w:szCs w:val="30"/>
          <w:highlight w:val="none"/>
        </w:rPr>
        <w:t>万元，</w:t>
      </w:r>
      <w:r>
        <w:rPr>
          <w:rFonts w:hint="eastAsia" w:ascii="仿宋_GB2312" w:eastAsia="仿宋_GB2312"/>
          <w:sz w:val="30"/>
          <w:szCs w:val="30"/>
          <w:highlight w:val="none"/>
        </w:rPr>
        <w:t>占一般公共预算财政拨款总支出的11.7%。</w:t>
      </w:r>
      <w:r>
        <w:rPr>
          <w:rFonts w:hint="eastAsia" w:ascii="仿宋_GB2312" w:hAnsi="宋体" w:eastAsia="仿宋_GB2312" w:cs="Arial"/>
          <w:kern w:val="0"/>
          <w:sz w:val="30"/>
          <w:szCs w:val="30"/>
          <w:highlight w:val="none"/>
        </w:rPr>
        <w:t>主要用于劳保所</w:t>
      </w:r>
      <w:r>
        <w:rPr>
          <w:rFonts w:hint="eastAsia" w:ascii="仿宋_GB2312" w:hAnsi="仿宋_GB2312" w:eastAsia="仿宋_GB2312" w:cs="仿宋_GB2312"/>
          <w:kern w:val="0"/>
          <w:sz w:val="32"/>
          <w:szCs w:val="32"/>
          <w:highlight w:val="none"/>
        </w:rPr>
        <w:t>工资福利支出62.85万元（机关事业单位基本养老保险缴费47.2万元）、商品和服务支出16.15万元、对个人和家庭的补助支出8.31万元；其他资本性支出8.16万元；</w:t>
      </w:r>
    </w:p>
    <w:p>
      <w:pPr>
        <w:widowControl/>
        <w:snapToGrid w:val="0"/>
        <w:spacing w:before="100" w:after="100" w:line="360" w:lineRule="auto"/>
        <w:ind w:firstLine="600" w:firstLineChars="200"/>
        <w:jc w:val="left"/>
        <w:rPr>
          <w:rFonts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rPr>
        <w:t>6.医疗卫生与计划生育（类）支出</w:t>
      </w:r>
      <w:r>
        <w:rPr>
          <w:rFonts w:hint="eastAsia" w:ascii="仿宋_GB2312" w:eastAsia="仿宋_GB2312"/>
          <w:sz w:val="30"/>
          <w:szCs w:val="30"/>
          <w:highlight w:val="none"/>
        </w:rPr>
        <w:t>12.09</w:t>
      </w:r>
      <w:r>
        <w:rPr>
          <w:rFonts w:hint="eastAsia" w:ascii="仿宋_GB2312" w:hAnsi="宋体" w:eastAsia="仿宋_GB2312" w:cs="Arial"/>
          <w:kern w:val="0"/>
          <w:sz w:val="30"/>
          <w:szCs w:val="30"/>
          <w:highlight w:val="none"/>
        </w:rPr>
        <w:t>万元，</w:t>
      </w:r>
      <w:r>
        <w:rPr>
          <w:rFonts w:hint="eastAsia" w:ascii="仿宋_GB2312" w:eastAsia="仿宋_GB2312"/>
          <w:sz w:val="30"/>
          <w:szCs w:val="30"/>
          <w:highlight w:val="none"/>
        </w:rPr>
        <w:t>占一般公共预算财政拨款总支出的1.5%。</w:t>
      </w:r>
      <w:r>
        <w:rPr>
          <w:rFonts w:hint="eastAsia" w:ascii="仿宋_GB2312" w:hAnsi="宋体" w:eastAsia="仿宋_GB2312" w:cs="Arial"/>
          <w:kern w:val="0"/>
          <w:sz w:val="30"/>
          <w:szCs w:val="30"/>
          <w:highlight w:val="none"/>
        </w:rPr>
        <w:t>主要用于合管办</w:t>
      </w:r>
      <w:r>
        <w:rPr>
          <w:rFonts w:hint="eastAsia" w:ascii="仿宋_GB2312" w:hAnsi="仿宋_GB2312" w:eastAsia="仿宋_GB2312" w:cs="仿宋_GB2312"/>
          <w:kern w:val="0"/>
          <w:sz w:val="32"/>
          <w:szCs w:val="32"/>
          <w:highlight w:val="none"/>
        </w:rPr>
        <w:t>工资福利支出8.03万元、商品和服务支出0.7万元、对个人和家庭的补助支出3.36万元；</w:t>
      </w:r>
    </w:p>
    <w:p>
      <w:pPr>
        <w:widowControl/>
        <w:snapToGrid w:val="0"/>
        <w:spacing w:before="100" w:after="100" w:line="360" w:lineRule="auto"/>
        <w:ind w:firstLine="600" w:firstLineChars="200"/>
        <w:jc w:val="left"/>
        <w:rPr>
          <w:rFonts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rPr>
        <w:t>7.节能环保（类）支出</w:t>
      </w:r>
      <w:r>
        <w:rPr>
          <w:rFonts w:hint="eastAsia" w:ascii="仿宋_GB2312" w:eastAsia="仿宋_GB2312"/>
          <w:sz w:val="30"/>
          <w:szCs w:val="30"/>
          <w:highlight w:val="none"/>
        </w:rPr>
        <w:t>8.45</w:t>
      </w:r>
      <w:r>
        <w:rPr>
          <w:rFonts w:hint="eastAsia" w:ascii="仿宋_GB2312" w:hAnsi="宋体" w:eastAsia="仿宋_GB2312" w:cs="Arial"/>
          <w:kern w:val="0"/>
          <w:sz w:val="30"/>
          <w:szCs w:val="30"/>
          <w:highlight w:val="none"/>
        </w:rPr>
        <w:t>万元，</w:t>
      </w:r>
      <w:r>
        <w:rPr>
          <w:rFonts w:hint="eastAsia" w:ascii="仿宋_GB2312" w:eastAsia="仿宋_GB2312"/>
          <w:sz w:val="30"/>
          <w:szCs w:val="30"/>
          <w:highlight w:val="none"/>
        </w:rPr>
        <w:t>占一般公共预算财政拨款总支出的1%。</w:t>
      </w:r>
      <w:r>
        <w:rPr>
          <w:rFonts w:hint="eastAsia" w:ascii="仿宋_GB2312" w:hAnsi="宋体" w:eastAsia="仿宋_GB2312" w:cs="Arial"/>
          <w:kern w:val="0"/>
          <w:sz w:val="30"/>
          <w:szCs w:val="30"/>
          <w:highlight w:val="none"/>
        </w:rPr>
        <w:t>用于其他资本性支出8.45万元（那邦镇生态保护建设支出）；</w:t>
      </w:r>
    </w:p>
    <w:p>
      <w:pPr>
        <w:widowControl/>
        <w:snapToGrid w:val="0"/>
        <w:spacing w:before="100" w:after="100" w:line="360" w:lineRule="auto"/>
        <w:ind w:firstLine="600" w:firstLineChars="200"/>
        <w:jc w:val="left"/>
        <w:rPr>
          <w:rFonts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rPr>
        <w:t>8.城乡社区支出（类）支出</w:t>
      </w:r>
      <w:r>
        <w:rPr>
          <w:rFonts w:hint="eastAsia" w:ascii="仿宋_GB2312" w:eastAsia="仿宋_GB2312"/>
          <w:sz w:val="30"/>
          <w:szCs w:val="30"/>
          <w:highlight w:val="none"/>
        </w:rPr>
        <w:t>0.41</w:t>
      </w:r>
      <w:r>
        <w:rPr>
          <w:rFonts w:hint="eastAsia" w:ascii="仿宋_GB2312" w:hAnsi="宋体" w:eastAsia="仿宋_GB2312" w:cs="Arial"/>
          <w:kern w:val="0"/>
          <w:sz w:val="30"/>
          <w:szCs w:val="30"/>
          <w:highlight w:val="none"/>
        </w:rPr>
        <w:t>万元，</w:t>
      </w:r>
      <w:r>
        <w:rPr>
          <w:rFonts w:hint="eastAsia" w:ascii="仿宋_GB2312" w:eastAsia="仿宋_GB2312"/>
          <w:sz w:val="30"/>
          <w:szCs w:val="30"/>
          <w:highlight w:val="none"/>
        </w:rPr>
        <w:t>占一般公共预算财政拨款总支出的0.05%。</w:t>
      </w:r>
      <w:r>
        <w:rPr>
          <w:rFonts w:hint="eastAsia" w:ascii="仿宋_GB2312" w:hAnsi="宋体" w:eastAsia="仿宋_GB2312" w:cs="Arial"/>
          <w:kern w:val="0"/>
          <w:sz w:val="30"/>
          <w:szCs w:val="30"/>
          <w:highlight w:val="none"/>
        </w:rPr>
        <w:t>主要用于城乡社区环境卫生商品和服务支出0.4万元；</w:t>
      </w:r>
    </w:p>
    <w:p>
      <w:pPr>
        <w:widowControl/>
        <w:snapToGrid w:val="0"/>
        <w:spacing w:before="100" w:after="100" w:line="360" w:lineRule="auto"/>
        <w:ind w:firstLine="600" w:firstLineChars="200"/>
        <w:jc w:val="left"/>
        <w:rPr>
          <w:rFonts w:ascii="仿宋_GB2312" w:hAnsi="仿宋_GB2312" w:eastAsia="仿宋_GB2312" w:cs="仿宋_GB2312"/>
          <w:kern w:val="0"/>
          <w:sz w:val="32"/>
          <w:szCs w:val="32"/>
          <w:highlight w:val="none"/>
        </w:rPr>
      </w:pPr>
      <w:r>
        <w:rPr>
          <w:rFonts w:hint="eastAsia" w:ascii="仿宋_GB2312" w:hAnsi="宋体" w:eastAsia="仿宋_GB2312" w:cs="Arial"/>
          <w:kern w:val="0"/>
          <w:sz w:val="30"/>
          <w:szCs w:val="30"/>
          <w:highlight w:val="none"/>
        </w:rPr>
        <w:t>9.农林水支出（类）支出</w:t>
      </w:r>
      <w:r>
        <w:rPr>
          <w:rFonts w:hint="eastAsia" w:ascii="仿宋_GB2312" w:eastAsia="仿宋_GB2312"/>
          <w:sz w:val="30"/>
          <w:szCs w:val="30"/>
          <w:highlight w:val="none"/>
        </w:rPr>
        <w:t>192.59</w:t>
      </w:r>
      <w:r>
        <w:rPr>
          <w:rFonts w:hint="eastAsia" w:ascii="仿宋_GB2312" w:hAnsi="宋体" w:eastAsia="仿宋_GB2312" w:cs="Arial"/>
          <w:kern w:val="0"/>
          <w:sz w:val="30"/>
          <w:szCs w:val="30"/>
          <w:highlight w:val="none"/>
        </w:rPr>
        <w:t>万元，</w:t>
      </w:r>
      <w:r>
        <w:rPr>
          <w:rFonts w:hint="eastAsia" w:ascii="仿宋_GB2312" w:eastAsia="仿宋_GB2312"/>
          <w:sz w:val="30"/>
          <w:szCs w:val="30"/>
          <w:highlight w:val="none"/>
        </w:rPr>
        <w:t>占一般公共预算财政拨款总支出的23.83%。</w:t>
      </w:r>
      <w:r>
        <w:rPr>
          <w:rFonts w:hint="eastAsia" w:ascii="仿宋_GB2312" w:hAnsi="宋体" w:eastAsia="仿宋_GB2312" w:cs="Arial"/>
          <w:kern w:val="0"/>
          <w:sz w:val="30"/>
          <w:szCs w:val="30"/>
          <w:highlight w:val="none"/>
        </w:rPr>
        <w:t>主要用于</w:t>
      </w:r>
      <w:r>
        <w:rPr>
          <w:rFonts w:hint="eastAsia" w:ascii="仿宋_GB2312" w:hAnsi="仿宋_GB2312" w:eastAsia="仿宋_GB2312" w:cs="仿宋_GB2312"/>
          <w:kern w:val="0"/>
          <w:sz w:val="32"/>
          <w:szCs w:val="32"/>
          <w:highlight w:val="none"/>
        </w:rPr>
        <w:t>工资福利支出99.43万元、商品和服务支出61.9万元、对个人和家庭的补助支出5.37万元、其他资本性支出25.89万元；</w:t>
      </w:r>
    </w:p>
    <w:p>
      <w:pPr>
        <w:widowControl/>
        <w:snapToGrid w:val="0"/>
        <w:spacing w:before="100" w:after="100" w:line="360" w:lineRule="auto"/>
        <w:ind w:firstLine="600" w:firstLineChars="200"/>
        <w:jc w:val="left"/>
        <w:rPr>
          <w:rFonts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rPr>
        <w:t>10.商业服务业（类）支出</w:t>
      </w:r>
      <w:r>
        <w:rPr>
          <w:rFonts w:hint="eastAsia" w:ascii="仿宋_GB2312" w:eastAsia="仿宋_GB2312"/>
          <w:sz w:val="30"/>
          <w:szCs w:val="30"/>
          <w:highlight w:val="none"/>
        </w:rPr>
        <w:t>3</w:t>
      </w:r>
      <w:r>
        <w:rPr>
          <w:rFonts w:hint="eastAsia" w:ascii="仿宋_GB2312" w:hAnsi="宋体" w:eastAsia="仿宋_GB2312" w:cs="Arial"/>
          <w:kern w:val="0"/>
          <w:sz w:val="30"/>
          <w:szCs w:val="30"/>
          <w:highlight w:val="none"/>
        </w:rPr>
        <w:t>万元，</w:t>
      </w:r>
      <w:r>
        <w:rPr>
          <w:rFonts w:hint="eastAsia" w:ascii="仿宋_GB2312" w:eastAsia="仿宋_GB2312"/>
          <w:sz w:val="30"/>
          <w:szCs w:val="30"/>
          <w:highlight w:val="none"/>
        </w:rPr>
        <w:t>占一般公共预算财政拨款总支出的0.4%。</w:t>
      </w:r>
      <w:r>
        <w:rPr>
          <w:rFonts w:hint="eastAsia" w:ascii="仿宋_GB2312" w:hAnsi="宋体" w:eastAsia="仿宋_GB2312" w:cs="Arial"/>
          <w:kern w:val="0"/>
          <w:sz w:val="30"/>
          <w:szCs w:val="30"/>
          <w:highlight w:val="none"/>
        </w:rPr>
        <w:t>主要用于商品和服务支出3万元（州供销社对那邦镇脱贫攻坚产业发展项目资金）；</w:t>
      </w:r>
    </w:p>
    <w:p>
      <w:pPr>
        <w:widowControl/>
        <w:snapToGrid w:val="0"/>
        <w:spacing w:before="100" w:after="100" w:line="360" w:lineRule="auto"/>
        <w:ind w:firstLine="600" w:firstLineChars="200"/>
        <w:jc w:val="left"/>
        <w:rPr>
          <w:rFonts w:ascii="仿宋_GB2312" w:hAnsi="宋体" w:eastAsia="仿宋_GB2312" w:cs="Arial"/>
          <w:kern w:val="0"/>
          <w:sz w:val="30"/>
          <w:szCs w:val="30"/>
        </w:rPr>
      </w:pPr>
      <w:r>
        <w:rPr>
          <w:rFonts w:hint="eastAsia" w:ascii="仿宋_GB2312" w:hAnsi="宋体" w:eastAsia="仿宋_GB2312" w:cs="Arial"/>
          <w:kern w:val="0"/>
          <w:sz w:val="30"/>
          <w:szCs w:val="30"/>
          <w:highlight w:val="none"/>
        </w:rPr>
        <w:t>11.住房保障（类）支出</w:t>
      </w:r>
      <w:r>
        <w:rPr>
          <w:rFonts w:hint="eastAsia" w:ascii="仿宋_GB2312" w:eastAsia="仿宋_GB2312"/>
          <w:sz w:val="30"/>
          <w:szCs w:val="30"/>
          <w:highlight w:val="none"/>
        </w:rPr>
        <w:t>31.51</w:t>
      </w:r>
      <w:r>
        <w:rPr>
          <w:rFonts w:hint="eastAsia" w:ascii="仿宋_GB2312" w:hAnsi="宋体" w:eastAsia="仿宋_GB2312" w:cs="Arial"/>
          <w:kern w:val="0"/>
          <w:sz w:val="30"/>
          <w:szCs w:val="30"/>
          <w:highlight w:val="none"/>
        </w:rPr>
        <w:t>万元，</w:t>
      </w:r>
      <w:r>
        <w:rPr>
          <w:rFonts w:hint="eastAsia" w:ascii="仿宋_GB2312" w:eastAsia="仿宋_GB2312"/>
          <w:sz w:val="30"/>
          <w:szCs w:val="30"/>
          <w:highlight w:val="none"/>
        </w:rPr>
        <w:t>占一般公共预</w:t>
      </w:r>
      <w:r>
        <w:rPr>
          <w:rFonts w:hint="eastAsia" w:ascii="仿宋_GB2312" w:eastAsia="仿宋_GB2312"/>
          <w:sz w:val="30"/>
          <w:szCs w:val="30"/>
        </w:rPr>
        <w:t>算财政拨款总支出的3.9%。</w:t>
      </w:r>
      <w:r>
        <w:rPr>
          <w:rFonts w:hint="eastAsia" w:ascii="仿宋_GB2312" w:hAnsi="宋体" w:eastAsia="仿宋_GB2312" w:cs="Arial"/>
          <w:kern w:val="0"/>
          <w:sz w:val="30"/>
          <w:szCs w:val="30"/>
        </w:rPr>
        <w:t>主要用于</w:t>
      </w:r>
      <w:r>
        <w:rPr>
          <w:rFonts w:hint="eastAsia" w:ascii="仿宋_GB2312" w:hAnsi="仿宋_GB2312" w:eastAsia="仿宋_GB2312" w:cs="仿宋_GB2312"/>
          <w:kern w:val="0"/>
          <w:sz w:val="32"/>
          <w:szCs w:val="32"/>
        </w:rPr>
        <w:t>对个人和家庭的补助</w:t>
      </w:r>
      <w:r>
        <w:rPr>
          <w:rFonts w:hint="eastAsia" w:ascii="仿宋_GB2312" w:hAnsi="宋体" w:eastAsia="仿宋_GB2312" w:cs="Arial"/>
          <w:kern w:val="0"/>
          <w:sz w:val="30"/>
          <w:szCs w:val="30"/>
        </w:rPr>
        <w:t>支出</w:t>
      </w:r>
      <w:r>
        <w:rPr>
          <w:rFonts w:hint="eastAsia" w:ascii="仿宋_GB2312" w:eastAsia="仿宋_GB2312"/>
          <w:sz w:val="30"/>
          <w:szCs w:val="30"/>
        </w:rPr>
        <w:t>31.51</w:t>
      </w:r>
      <w:r>
        <w:rPr>
          <w:rFonts w:hint="eastAsia" w:ascii="仿宋_GB2312" w:hAnsi="宋体" w:eastAsia="仿宋_GB2312" w:cs="Arial"/>
          <w:kern w:val="0"/>
          <w:sz w:val="30"/>
          <w:szCs w:val="30"/>
        </w:rPr>
        <w:t>万元；</w:t>
      </w:r>
    </w:p>
    <w:p>
      <w:pPr>
        <w:widowControl/>
        <w:snapToGrid w:val="0"/>
        <w:spacing w:before="100" w:after="100" w:line="360" w:lineRule="auto"/>
        <w:ind w:firstLine="600" w:firstLineChars="200"/>
        <w:jc w:val="left"/>
        <w:rPr>
          <w:rFonts w:ascii="仿宋_GB2312" w:hAnsi="宋体" w:eastAsia="仿宋_GB2312" w:cs="Arial"/>
          <w:kern w:val="0"/>
          <w:sz w:val="30"/>
          <w:szCs w:val="30"/>
        </w:rPr>
      </w:pPr>
      <w:r>
        <w:rPr>
          <w:rFonts w:hint="eastAsia" w:ascii="仿宋_GB2312" w:hAnsi="宋体" w:eastAsia="仿宋_GB2312" w:cs="Arial"/>
          <w:kern w:val="0"/>
          <w:sz w:val="30"/>
          <w:szCs w:val="30"/>
        </w:rPr>
        <w:t>12.其他（类）支出</w:t>
      </w:r>
      <w:r>
        <w:rPr>
          <w:rFonts w:hint="eastAsia" w:ascii="仿宋_GB2312" w:eastAsia="仿宋_GB2312"/>
          <w:sz w:val="30"/>
          <w:szCs w:val="30"/>
        </w:rPr>
        <w:t>1.72</w:t>
      </w:r>
      <w:r>
        <w:rPr>
          <w:rFonts w:hint="eastAsia" w:ascii="仿宋_GB2312" w:hAnsi="宋体" w:eastAsia="仿宋_GB2312" w:cs="Arial"/>
          <w:kern w:val="0"/>
          <w:sz w:val="30"/>
          <w:szCs w:val="30"/>
        </w:rPr>
        <w:t>万元，</w:t>
      </w:r>
      <w:r>
        <w:rPr>
          <w:rFonts w:hint="eastAsia" w:ascii="仿宋_GB2312" w:eastAsia="仿宋_GB2312"/>
          <w:sz w:val="30"/>
          <w:szCs w:val="30"/>
        </w:rPr>
        <w:t>占一般公共预算财政拨款总支出的0.2%。</w:t>
      </w:r>
      <w:r>
        <w:rPr>
          <w:rFonts w:hint="eastAsia" w:ascii="仿宋_GB2312" w:hAnsi="宋体" w:eastAsia="仿宋_GB2312" w:cs="Arial"/>
          <w:kern w:val="0"/>
          <w:sz w:val="30"/>
          <w:szCs w:val="30"/>
        </w:rPr>
        <w:t>主要用于商品和服务支出1.72万元（办公楼维修金）。</w:t>
      </w:r>
    </w:p>
    <w:p>
      <w:pPr>
        <w:widowControl/>
        <w:snapToGrid w:val="0"/>
        <w:spacing w:before="100" w:after="100" w:line="360" w:lineRule="auto"/>
        <w:ind w:firstLine="600" w:firstLineChars="200"/>
        <w:jc w:val="left"/>
        <w:rPr>
          <w:rFonts w:ascii="黑体" w:hAnsi="黑体" w:eastAsia="黑体"/>
          <w:sz w:val="30"/>
          <w:szCs w:val="30"/>
        </w:rPr>
      </w:pPr>
      <w:r>
        <w:rPr>
          <w:rFonts w:hint="eastAsia" w:ascii="黑体" w:hAnsi="黑体" w:eastAsia="黑体"/>
          <w:sz w:val="30"/>
          <w:szCs w:val="30"/>
        </w:rPr>
        <w:t>四、一般公共预算财政拨款“三公”经费支出决算情况说明</w:t>
      </w:r>
    </w:p>
    <w:p>
      <w:pPr>
        <w:widowControl/>
        <w:snapToGrid w:val="0"/>
        <w:spacing w:before="100" w:after="100" w:line="360" w:lineRule="auto"/>
        <w:ind w:firstLine="600" w:firstLineChars="200"/>
        <w:jc w:val="left"/>
        <w:rPr>
          <w:rFonts w:ascii="楷体" w:hAnsi="楷体" w:eastAsia="楷体"/>
          <w:sz w:val="30"/>
          <w:szCs w:val="30"/>
        </w:rPr>
      </w:pPr>
      <w:r>
        <w:rPr>
          <w:rFonts w:hint="eastAsia" w:ascii="楷体" w:hAnsi="楷体" w:eastAsia="楷体"/>
          <w:sz w:val="30"/>
          <w:szCs w:val="30"/>
        </w:rPr>
        <w:t>(一)</w:t>
      </w:r>
      <w:r>
        <w:rPr>
          <w:rFonts w:hint="eastAsia" w:ascii="黑体" w:hAnsi="黑体" w:eastAsia="黑体"/>
          <w:sz w:val="30"/>
          <w:szCs w:val="30"/>
        </w:rPr>
        <w:t xml:space="preserve"> </w:t>
      </w:r>
      <w:r>
        <w:rPr>
          <w:rFonts w:hint="eastAsia" w:ascii="楷体" w:hAnsi="楷体" w:eastAsia="楷体"/>
          <w:sz w:val="30"/>
          <w:szCs w:val="30"/>
        </w:rPr>
        <w:t>一般公共预算财政拨款“三公”经费支出决算总体情况</w:t>
      </w:r>
    </w:p>
    <w:p>
      <w:pPr>
        <w:widowControl/>
        <w:snapToGrid w:val="0"/>
        <w:spacing w:before="100" w:after="100" w:line="360" w:lineRule="auto"/>
        <w:ind w:firstLine="600" w:firstLineChars="200"/>
        <w:jc w:val="left"/>
        <w:rPr>
          <w:rFonts w:ascii="仿宋" w:hAnsi="仿宋" w:eastAsia="仿宋" w:cs="Arial"/>
          <w:kern w:val="0"/>
          <w:sz w:val="30"/>
          <w:szCs w:val="30"/>
        </w:rPr>
      </w:pPr>
      <w:r>
        <w:rPr>
          <w:rFonts w:hint="eastAsia" w:ascii="仿宋_GB2312" w:eastAsia="仿宋_GB2312"/>
          <w:sz w:val="30"/>
          <w:szCs w:val="30"/>
        </w:rPr>
        <w:t xml:space="preserve"> 那邦镇人民政府2017年度一般公共预算财政拨款“三公”经费支出预算为38.5万元，支出决算为8.65万元，完成预算的23%。其中：因公出国（境）费支出决算为0万元，完成预算的0%；公务用车购置及运行费支出决算为4.53万元，完成预算的54%；公务接待费支出决算为4.12万元，完成预算的14%。2017年度一般公共预算财政拨款“三公”经费支出决算数小于预算数的29.85万元，主要原因：</w:t>
      </w:r>
      <w:r>
        <w:rPr>
          <w:rFonts w:ascii="仿宋" w:hAnsi="仿宋" w:eastAsia="仿宋"/>
          <w:sz w:val="30"/>
          <w:szCs w:val="30"/>
        </w:rPr>
        <w:t>严格贯彻落实中央八项规定精神和党政机关厉行节约的有关要求，从严控制和压缩“三公”经费支出，规范因公出国（境）和公务接待活动，加强公务用车管理，减少了相关支出。</w:t>
      </w:r>
    </w:p>
    <w:p>
      <w:pPr>
        <w:widowControl/>
        <w:snapToGrid w:val="0"/>
        <w:spacing w:before="100" w:after="100" w:line="360" w:lineRule="auto"/>
        <w:ind w:firstLine="600" w:firstLineChars="200"/>
        <w:jc w:val="left"/>
        <w:rPr>
          <w:rFonts w:ascii="仿宋" w:hAnsi="仿宋" w:eastAsia="仿宋" w:cs="Arial"/>
          <w:kern w:val="0"/>
          <w:sz w:val="30"/>
          <w:szCs w:val="30"/>
        </w:rPr>
      </w:pPr>
      <w:r>
        <w:rPr>
          <w:rFonts w:hint="eastAsia" w:ascii="仿宋_GB2312" w:eastAsia="仿宋_GB2312"/>
          <w:sz w:val="30"/>
          <w:szCs w:val="30"/>
        </w:rPr>
        <w:t>2017年度一般公共预算财政拨款“三公”经费支出决算数比2016年9.33万元减少0.68万元，下降7.3%。其中：因公出国（境）费支出决算0万元；公务用车购置及运行费支出决算数比上年5.21万元减少0.68万元，下降13%；公务接待费支出决算与上年持平， 2017年度一般公共预算财政拨款“三公”经费支出决算减少的主要原因：</w:t>
      </w:r>
      <w:r>
        <w:rPr>
          <w:rFonts w:ascii="仿宋" w:hAnsi="仿宋" w:eastAsia="仿宋"/>
          <w:sz w:val="30"/>
          <w:szCs w:val="30"/>
        </w:rPr>
        <w:t>严格贯彻落实中央八项规定精神和党政机关厉行节约的有关要求，从严控制和压缩“三公”经费支出，规范因公出国（境）和公务接待活动，加强公务用车管理，减少了相关支出。</w:t>
      </w:r>
    </w:p>
    <w:p>
      <w:pPr>
        <w:widowControl/>
        <w:snapToGrid w:val="0"/>
        <w:spacing w:before="100" w:after="100" w:line="360" w:lineRule="auto"/>
        <w:ind w:firstLine="600" w:firstLineChars="200"/>
        <w:jc w:val="left"/>
        <w:rPr>
          <w:rFonts w:ascii="楷体" w:hAnsi="楷体" w:eastAsia="楷体"/>
          <w:color w:val="7030A0"/>
          <w:sz w:val="30"/>
          <w:szCs w:val="30"/>
        </w:rPr>
      </w:pPr>
      <w:r>
        <w:rPr>
          <w:rFonts w:hint="eastAsia" w:ascii="楷体" w:hAnsi="楷体" w:eastAsia="楷体"/>
          <w:sz w:val="30"/>
          <w:szCs w:val="30"/>
        </w:rPr>
        <w:t xml:space="preserve"> (二)</w:t>
      </w:r>
      <w:r>
        <w:rPr>
          <w:rFonts w:hint="eastAsia" w:ascii="仿宋_GB2312" w:eastAsia="仿宋_GB2312"/>
          <w:sz w:val="30"/>
          <w:szCs w:val="30"/>
        </w:rPr>
        <w:t xml:space="preserve"> </w:t>
      </w:r>
      <w:r>
        <w:rPr>
          <w:rFonts w:hint="eastAsia" w:ascii="楷体" w:hAnsi="楷体" w:eastAsia="楷体"/>
          <w:sz w:val="30"/>
          <w:szCs w:val="30"/>
        </w:rPr>
        <w:t>一般公共预算财政拨款“三公”经费支出决算具体情况</w:t>
      </w:r>
    </w:p>
    <w:p>
      <w:pPr>
        <w:widowControl/>
        <w:snapToGrid w:val="0"/>
        <w:spacing w:before="100" w:after="100" w:line="360" w:lineRule="auto"/>
        <w:ind w:firstLine="600" w:firstLineChars="200"/>
        <w:jc w:val="left"/>
        <w:rPr>
          <w:rFonts w:ascii="仿宋_GB2312" w:eastAsia="仿宋_GB2312"/>
          <w:sz w:val="30"/>
          <w:szCs w:val="30"/>
        </w:rPr>
      </w:pPr>
      <w:r>
        <w:rPr>
          <w:rFonts w:hint="eastAsia" w:ascii="仿宋_GB2312" w:eastAsia="仿宋_GB2312"/>
          <w:sz w:val="30"/>
          <w:szCs w:val="30"/>
        </w:rPr>
        <w:t>2017年度一般公共预算财政拨款“三公”经费支出决算中，因公出国（境）费支出0万元，占0%；公务用车购置及运行维护费支出4.53万元，占52%；公务接待费支出4.12万元，占47%。具体情况如下：</w:t>
      </w:r>
    </w:p>
    <w:p>
      <w:pPr>
        <w:widowControl/>
        <w:numPr>
          <w:ilvl w:val="0"/>
          <w:numId w:val="1"/>
        </w:numPr>
        <w:snapToGrid w:val="0"/>
        <w:spacing w:before="100" w:after="100" w:line="360" w:lineRule="auto"/>
        <w:ind w:firstLine="602" w:firstLineChars="200"/>
        <w:jc w:val="left"/>
        <w:rPr>
          <w:rFonts w:ascii="仿宋_GB2312" w:eastAsia="仿宋_GB2312"/>
          <w:sz w:val="30"/>
          <w:szCs w:val="30"/>
        </w:rPr>
      </w:pPr>
      <w:r>
        <w:rPr>
          <w:rFonts w:hint="eastAsia" w:ascii="仿宋_GB2312" w:eastAsia="仿宋_GB2312"/>
          <w:b/>
          <w:sz w:val="30"/>
          <w:szCs w:val="30"/>
        </w:rPr>
        <w:t>因公出国（境）费</w:t>
      </w:r>
      <w:r>
        <w:rPr>
          <w:rFonts w:hint="eastAsia" w:ascii="仿宋_GB2312" w:eastAsia="仿宋_GB2312"/>
          <w:sz w:val="30"/>
          <w:szCs w:val="30"/>
        </w:rPr>
        <w:t>支出0万元，共安排因公出国（境）团组0个，累计0人次。</w:t>
      </w:r>
    </w:p>
    <w:p>
      <w:pPr>
        <w:widowControl/>
        <w:numPr>
          <w:ilvl w:val="0"/>
          <w:numId w:val="1"/>
        </w:numPr>
        <w:snapToGrid w:val="0"/>
        <w:spacing w:before="100" w:after="100" w:line="360" w:lineRule="auto"/>
        <w:ind w:firstLine="602" w:firstLineChars="200"/>
        <w:jc w:val="left"/>
        <w:rPr>
          <w:rFonts w:ascii="仿宋_GB2312" w:eastAsia="仿宋_GB2312"/>
          <w:sz w:val="30"/>
          <w:szCs w:val="30"/>
        </w:rPr>
      </w:pPr>
      <w:r>
        <w:rPr>
          <w:rFonts w:hint="eastAsia" w:ascii="仿宋_GB2312" w:eastAsia="仿宋_GB2312"/>
          <w:b/>
          <w:sz w:val="30"/>
          <w:szCs w:val="30"/>
        </w:rPr>
        <w:t>公务用车购置及运行维护费</w:t>
      </w:r>
      <w:r>
        <w:rPr>
          <w:rFonts w:hint="eastAsia" w:ascii="仿宋_GB2312" w:eastAsia="仿宋_GB2312"/>
          <w:sz w:val="30"/>
          <w:szCs w:val="30"/>
        </w:rPr>
        <w:t>支出4.53万元。其中：</w:t>
      </w:r>
    </w:p>
    <w:p>
      <w:pPr>
        <w:widowControl/>
        <w:snapToGrid w:val="0"/>
        <w:spacing w:before="100" w:after="100" w:line="360" w:lineRule="auto"/>
        <w:ind w:firstLine="602" w:firstLineChars="200"/>
        <w:jc w:val="left"/>
        <w:rPr>
          <w:rFonts w:ascii="仿宋_GB2312" w:eastAsia="仿宋_GB2312"/>
          <w:sz w:val="30"/>
          <w:szCs w:val="30"/>
        </w:rPr>
      </w:pPr>
      <w:r>
        <w:rPr>
          <w:rFonts w:hint="eastAsia" w:ascii="仿宋_GB2312" w:eastAsia="仿宋_GB2312"/>
          <w:b/>
          <w:sz w:val="30"/>
          <w:szCs w:val="30"/>
        </w:rPr>
        <w:t>公务用车购置</w:t>
      </w:r>
      <w:r>
        <w:rPr>
          <w:rFonts w:hint="eastAsia" w:ascii="仿宋_GB2312" w:eastAsia="仿宋_GB2312"/>
          <w:sz w:val="30"/>
          <w:szCs w:val="30"/>
        </w:rPr>
        <w:t>支出0万元，购置车辆0辆。</w:t>
      </w:r>
    </w:p>
    <w:p>
      <w:pPr>
        <w:widowControl/>
        <w:snapToGrid w:val="0"/>
        <w:spacing w:before="100" w:after="100" w:line="360" w:lineRule="auto"/>
        <w:ind w:firstLine="602" w:firstLineChars="200"/>
        <w:jc w:val="left"/>
        <w:rPr>
          <w:rFonts w:ascii="仿宋_GB2312" w:eastAsia="仿宋_GB2312"/>
          <w:sz w:val="30"/>
          <w:szCs w:val="30"/>
        </w:rPr>
      </w:pPr>
      <w:r>
        <w:rPr>
          <w:rFonts w:hint="eastAsia" w:ascii="仿宋_GB2312" w:eastAsia="仿宋_GB2312"/>
          <w:b/>
          <w:sz w:val="30"/>
          <w:szCs w:val="30"/>
        </w:rPr>
        <w:t>公务用车运行维护</w:t>
      </w:r>
      <w:r>
        <w:rPr>
          <w:rFonts w:hint="eastAsia" w:ascii="仿宋_GB2312" w:eastAsia="仿宋_GB2312"/>
          <w:sz w:val="30"/>
          <w:szCs w:val="30"/>
        </w:rPr>
        <w:t>支出4.53万元，开支一般公共预算财政拨款的公务用车保有量为5辆。主要用于镇政府、党委日常开展工作及脱贫攻坚工作等所需车辆燃料费、维修费、过路过桥费、保险费等。</w:t>
      </w:r>
    </w:p>
    <w:p>
      <w:pPr>
        <w:widowControl/>
        <w:snapToGrid w:val="0"/>
        <w:spacing w:before="100" w:after="100" w:line="360" w:lineRule="auto"/>
        <w:ind w:firstLine="602" w:firstLineChars="200"/>
        <w:jc w:val="left"/>
        <w:rPr>
          <w:rFonts w:ascii="仿宋_GB2312" w:eastAsia="仿宋_GB2312"/>
          <w:sz w:val="30"/>
          <w:szCs w:val="30"/>
        </w:rPr>
      </w:pPr>
      <w:r>
        <w:rPr>
          <w:rFonts w:hint="eastAsia" w:ascii="仿宋_GB2312" w:eastAsia="仿宋_GB2312"/>
          <w:b/>
          <w:sz w:val="30"/>
          <w:szCs w:val="30"/>
        </w:rPr>
        <w:t>3.公务接待费</w:t>
      </w:r>
      <w:r>
        <w:rPr>
          <w:rFonts w:hint="eastAsia" w:ascii="仿宋_GB2312" w:eastAsia="仿宋_GB2312"/>
          <w:sz w:val="30"/>
          <w:szCs w:val="30"/>
        </w:rPr>
        <w:t>支出4.12万元。其中：</w:t>
      </w:r>
    </w:p>
    <w:p>
      <w:pPr>
        <w:widowControl/>
        <w:snapToGrid w:val="0"/>
        <w:spacing w:before="100" w:after="100" w:line="360" w:lineRule="auto"/>
        <w:ind w:firstLine="602" w:firstLineChars="200"/>
        <w:jc w:val="left"/>
        <w:rPr>
          <w:rFonts w:ascii="仿宋_GB2312" w:eastAsia="仿宋_GB2312"/>
          <w:sz w:val="30"/>
          <w:szCs w:val="30"/>
        </w:rPr>
      </w:pPr>
      <w:r>
        <w:rPr>
          <w:rFonts w:hint="eastAsia" w:ascii="仿宋_GB2312" w:eastAsia="仿宋_GB2312"/>
          <w:b/>
          <w:sz w:val="30"/>
          <w:szCs w:val="30"/>
        </w:rPr>
        <w:t>国内接待费</w:t>
      </w:r>
      <w:r>
        <w:rPr>
          <w:rFonts w:hint="eastAsia" w:ascii="仿宋_GB2312" w:eastAsia="仿宋_GB2312"/>
          <w:sz w:val="30"/>
          <w:szCs w:val="30"/>
        </w:rPr>
        <w:t>支出4.12万元（其中：外事接待费支出0万元），共安排国内公务接待101批次（其中：外事接待0批次），接待人次515人（其中：外事接待人次0人）。主要用于上级单位到我镇开展工作检查、督查、调研等工作发生的接待支出。</w:t>
      </w:r>
    </w:p>
    <w:p>
      <w:pPr>
        <w:widowControl/>
        <w:snapToGrid w:val="0"/>
        <w:spacing w:before="100" w:after="100" w:line="360" w:lineRule="auto"/>
        <w:ind w:firstLine="602" w:firstLineChars="200"/>
        <w:jc w:val="left"/>
        <w:rPr>
          <w:rFonts w:ascii="仿宋_GB2312" w:eastAsia="仿宋_GB2312"/>
          <w:color w:val="FF0000"/>
          <w:sz w:val="30"/>
          <w:szCs w:val="30"/>
        </w:rPr>
      </w:pPr>
      <w:r>
        <w:rPr>
          <w:rFonts w:hint="eastAsia" w:ascii="仿宋_GB2312" w:eastAsia="仿宋_GB2312"/>
          <w:b/>
          <w:sz w:val="30"/>
          <w:szCs w:val="30"/>
        </w:rPr>
        <w:t>国（境）外接待费</w:t>
      </w:r>
      <w:r>
        <w:rPr>
          <w:rFonts w:hint="eastAsia" w:ascii="仿宋_GB2312" w:eastAsia="仿宋_GB2312"/>
          <w:sz w:val="30"/>
          <w:szCs w:val="30"/>
        </w:rPr>
        <w:t>支出0万元，共安排国（境）外公务接待0批次，接待人次0人。</w:t>
      </w:r>
    </w:p>
    <w:p>
      <w:pPr>
        <w:widowControl/>
        <w:snapToGrid w:val="0"/>
        <w:spacing w:before="100" w:after="100" w:line="360" w:lineRule="auto"/>
        <w:ind w:firstLine="600" w:firstLineChars="200"/>
        <w:jc w:val="left"/>
        <w:rPr>
          <w:rFonts w:ascii="仿宋_GB2312" w:eastAsia="仿宋_GB2312"/>
          <w:sz w:val="30"/>
          <w:szCs w:val="30"/>
        </w:rPr>
      </w:pPr>
      <w:r>
        <w:rPr>
          <w:rFonts w:hint="eastAsia" w:ascii="黑体" w:hAnsi="黑体" w:eastAsia="黑体"/>
          <w:sz w:val="30"/>
          <w:szCs w:val="30"/>
        </w:rPr>
        <w:t>五、其他重要事项及相关口径情况说明</w:t>
      </w:r>
    </w:p>
    <w:p>
      <w:pPr>
        <w:ind w:firstLine="600" w:firstLineChars="200"/>
        <w:jc w:val="left"/>
        <w:rPr>
          <w:rFonts w:ascii="楷体_GB2312" w:hAnsi="黑体" w:eastAsia="楷体_GB2312" w:cs="方正小标宋简体"/>
          <w:sz w:val="30"/>
          <w:szCs w:val="30"/>
        </w:rPr>
      </w:pPr>
      <w:r>
        <w:rPr>
          <w:rFonts w:hint="eastAsia" w:ascii="楷体_GB2312" w:hAnsi="黑体" w:eastAsia="楷体_GB2312" w:cs="方正小标宋简体"/>
          <w:sz w:val="30"/>
          <w:szCs w:val="30"/>
        </w:rPr>
        <w:t>(一)机关运行经费支出情况</w:t>
      </w:r>
    </w:p>
    <w:p>
      <w:pPr>
        <w:ind w:firstLine="600" w:firstLineChars="200"/>
        <w:jc w:val="left"/>
        <w:rPr>
          <w:rFonts w:hint="eastAsia" w:ascii="仿宋_GB2312" w:hAnsi="黑体" w:eastAsia="仿宋_GB2312" w:cs="方正小标宋简体"/>
          <w:sz w:val="30"/>
          <w:szCs w:val="30"/>
        </w:rPr>
      </w:pPr>
      <w:r>
        <w:rPr>
          <w:rFonts w:hint="eastAsia" w:ascii="仿宋_GB2312" w:hAnsi="黑体" w:eastAsia="仿宋_GB2312" w:cs="方正小标宋简体"/>
          <w:sz w:val="30"/>
          <w:szCs w:val="30"/>
        </w:rPr>
        <w:t>那邦镇人民政府2017年机关运行经费支出139.55万元，与上年111.95万元对比，增加27.6万元,主要原因：2017年扶贫工作及其他 工作量增大，机关运行公务支出相应增加。2017年机关运行经费主要用于维持机关正常运转所产生的办公费、差旅费、会议费、培训费、车辆燃修保险费等支出。</w:t>
      </w:r>
    </w:p>
    <w:p>
      <w:pPr>
        <w:ind w:firstLine="600" w:firstLineChars="200"/>
        <w:jc w:val="left"/>
        <w:rPr>
          <w:rFonts w:ascii="楷体_GB2312" w:hAnsi="黑体" w:eastAsia="楷体_GB2312" w:cs="方正小标宋简体"/>
          <w:sz w:val="30"/>
          <w:szCs w:val="30"/>
        </w:rPr>
      </w:pPr>
      <w:r>
        <w:rPr>
          <w:rFonts w:hint="eastAsia" w:ascii="楷体_GB2312" w:hAnsi="黑体" w:eastAsia="楷体_GB2312" w:cs="方正小标宋简体"/>
          <w:sz w:val="30"/>
          <w:szCs w:val="30"/>
        </w:rPr>
        <w:t>（二）国有资产占用情况</w:t>
      </w:r>
    </w:p>
    <w:p>
      <w:pPr>
        <w:ind w:firstLine="600" w:firstLineChars="200"/>
        <w:jc w:val="left"/>
        <w:rPr>
          <w:rFonts w:ascii="仿宋_GB2312" w:hAnsi="黑体" w:eastAsia="仿宋_GB2312" w:cs="方正小标宋简体"/>
          <w:sz w:val="30"/>
          <w:szCs w:val="30"/>
          <w:highlight w:val="none"/>
        </w:rPr>
      </w:pPr>
      <w:r>
        <w:rPr>
          <w:rFonts w:hint="eastAsia" w:ascii="仿宋_GB2312" w:hAnsi="黑体" w:eastAsia="仿宋_GB2312" w:cs="方正小标宋简体"/>
          <w:sz w:val="30"/>
          <w:szCs w:val="30"/>
        </w:rPr>
        <w:t>截至2017年12月31日，那邦镇政府资产总额2600.85万元，其中，流动资产1,632.79万元，固定资产968.06万元，对外投资及有价证券0万元，在建工程0万元，无形资产0万元，其他资产207.23万元（具体内容详见附表）。与上年2035.18万元相比，本年资产总额增加565.67万元，</w:t>
      </w:r>
      <w:r>
        <w:rPr>
          <w:rFonts w:hint="eastAsia" w:ascii="仿宋_GB2312" w:hAnsi="黑体" w:eastAsia="仿宋_GB2312" w:cs="方正小标宋简体"/>
          <w:sz w:val="30"/>
          <w:szCs w:val="30"/>
          <w:highlight w:val="none"/>
        </w:rPr>
        <w:t>其中固定资产增加11.62万元</w:t>
      </w:r>
      <w:r>
        <w:rPr>
          <w:rFonts w:hint="eastAsia" w:ascii="仿宋_GB2312" w:hAnsi="黑体" w:eastAsia="仿宋_GB2312" w:cs="方正小标宋简体"/>
          <w:sz w:val="30"/>
          <w:szCs w:val="30"/>
          <w:highlight w:val="none"/>
          <w:lang w:eastAsia="zh-CN"/>
        </w:rPr>
        <w:t>，增加固定资产为：文件柜</w:t>
      </w:r>
      <w:r>
        <w:rPr>
          <w:rFonts w:hint="eastAsia" w:ascii="仿宋_GB2312" w:hAnsi="黑体" w:eastAsia="仿宋_GB2312" w:cs="方正小标宋简体"/>
          <w:sz w:val="30"/>
          <w:szCs w:val="30"/>
          <w:highlight w:val="none"/>
          <w:lang w:val="en-US" w:eastAsia="zh-CN"/>
        </w:rPr>
        <w:t>0.3万元、铁床0.14万元、电脑5.7元、打印机1.2万元、空调1.36万元、办公家具2.92万元</w:t>
      </w:r>
      <w:r>
        <w:rPr>
          <w:rFonts w:hint="eastAsia" w:ascii="仿宋_GB2312" w:hAnsi="黑体" w:eastAsia="仿宋_GB2312" w:cs="方正小标宋简体"/>
          <w:sz w:val="30"/>
          <w:szCs w:val="30"/>
          <w:highlight w:val="none"/>
        </w:rPr>
        <w:t>。处置房屋建筑物3367平方米，账面原值425万元；处置车辆0辆，账面原值0万元；报废报损资产0项，账面原值0万元，实现资产处置收入0万元；出租房屋0平方米，账面原值XX万元，实现资产使用收入0万元。</w:t>
      </w:r>
    </w:p>
    <w:tbl>
      <w:tblPr>
        <w:tblStyle w:val="5"/>
        <w:tblpPr w:leftFromText="180" w:rightFromText="180" w:topFromText="100" w:bottomFromText="100" w:vertAnchor="text" w:horzAnchor="page" w:tblpX="534" w:tblpY="490"/>
        <w:tblOverlap w:val="never"/>
        <w:tblW w:w="10770" w:type="dxa"/>
        <w:tblInd w:w="0" w:type="dxa"/>
        <w:tblLayout w:type="fixed"/>
        <w:tblCellMar>
          <w:top w:w="0" w:type="dxa"/>
          <w:left w:w="0" w:type="dxa"/>
          <w:bottom w:w="0" w:type="dxa"/>
          <w:right w:w="0" w:type="dxa"/>
        </w:tblCellMar>
      </w:tblPr>
      <w:tblGrid>
        <w:gridCol w:w="715"/>
        <w:gridCol w:w="546"/>
        <w:gridCol w:w="881"/>
        <w:gridCol w:w="503"/>
        <w:gridCol w:w="548"/>
        <w:gridCol w:w="651"/>
        <w:gridCol w:w="769"/>
        <w:gridCol w:w="67"/>
        <w:gridCol w:w="865"/>
        <w:gridCol w:w="331"/>
        <w:gridCol w:w="643"/>
        <w:gridCol w:w="196"/>
        <w:gridCol w:w="978"/>
        <w:gridCol w:w="979"/>
        <w:gridCol w:w="360"/>
        <w:gridCol w:w="618"/>
        <w:gridCol w:w="360"/>
        <w:gridCol w:w="142"/>
        <w:gridCol w:w="618"/>
      </w:tblGrid>
      <w:tr>
        <w:tblPrEx>
          <w:tblCellMar>
            <w:top w:w="0" w:type="dxa"/>
            <w:left w:w="0" w:type="dxa"/>
            <w:bottom w:w="0" w:type="dxa"/>
            <w:right w:w="0" w:type="dxa"/>
          </w:tblCellMar>
        </w:tblPrEx>
        <w:trPr>
          <w:trHeight w:val="495" w:hRule="atLeast"/>
        </w:trPr>
        <w:tc>
          <w:tcPr>
            <w:tcW w:w="10770" w:type="dxa"/>
            <w:gridSpan w:val="19"/>
            <w:tcBorders>
              <w:top w:val="nil"/>
              <w:left w:val="nil"/>
              <w:bottom w:val="nil"/>
              <w:right w:val="nil"/>
            </w:tcBorders>
            <w:shd w:val="clear" w:color="auto" w:fill="FFFFFF"/>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仿宋_GB2312" w:hAnsi="方正小标宋_GBK" w:eastAsia="仿宋_GB2312" w:cs="方正小标宋_GBK"/>
                <w:b/>
                <w:color w:val="000000"/>
                <w:kern w:val="0"/>
                <w:sz w:val="30"/>
                <w:szCs w:val="30"/>
                <w:lang w:bidi="ar"/>
              </w:rPr>
              <w:t>国有资产占有使用情况表</w:t>
            </w:r>
          </w:p>
        </w:tc>
      </w:tr>
      <w:tr>
        <w:tblPrEx>
          <w:tblCellMar>
            <w:top w:w="0" w:type="dxa"/>
            <w:left w:w="0" w:type="dxa"/>
            <w:bottom w:w="0" w:type="dxa"/>
            <w:right w:w="0" w:type="dxa"/>
          </w:tblCellMar>
        </w:tblPrEx>
        <w:trPr>
          <w:trHeight w:val="347" w:hRule="atLeast"/>
        </w:trPr>
        <w:tc>
          <w:tcPr>
            <w:tcW w:w="4680" w:type="dxa"/>
            <w:gridSpan w:val="8"/>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0"/>
                <w:szCs w:val="20"/>
              </w:rPr>
              <w:t> </w:t>
            </w:r>
          </w:p>
        </w:tc>
        <w:tc>
          <w:tcPr>
            <w:tcW w:w="865"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ascii="宋体" w:hAnsi="宋体" w:cs="宋体"/>
                <w:color w:val="000000"/>
                <w:kern w:val="0"/>
                <w:sz w:val="24"/>
              </w:rPr>
            </w:pPr>
            <w:r>
              <w:rPr>
                <w:rFonts w:hint="eastAsia" w:ascii="宋体" w:hAnsi="宋体" w:cs="宋体"/>
                <w:color w:val="000000"/>
                <w:kern w:val="0"/>
                <w:sz w:val="20"/>
                <w:szCs w:val="20"/>
              </w:rPr>
              <w:t> </w:t>
            </w:r>
          </w:p>
        </w:tc>
        <w:tc>
          <w:tcPr>
            <w:tcW w:w="974" w:type="dxa"/>
            <w:gridSpan w:val="2"/>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ascii="宋体" w:hAnsi="宋体" w:cs="宋体"/>
                <w:color w:val="000000"/>
                <w:kern w:val="0"/>
                <w:sz w:val="24"/>
              </w:rPr>
            </w:pPr>
            <w:r>
              <w:rPr>
                <w:rFonts w:hint="eastAsia" w:ascii="宋体" w:hAnsi="宋体" w:cs="宋体"/>
                <w:color w:val="000000"/>
                <w:kern w:val="0"/>
                <w:sz w:val="20"/>
                <w:szCs w:val="20"/>
              </w:rPr>
              <w:t> </w:t>
            </w:r>
          </w:p>
        </w:tc>
        <w:tc>
          <w:tcPr>
            <w:tcW w:w="196"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ascii="宋体" w:hAnsi="宋体" w:cs="宋体"/>
                <w:color w:val="000000"/>
                <w:kern w:val="0"/>
                <w:sz w:val="24"/>
              </w:rPr>
            </w:pPr>
            <w:r>
              <w:rPr>
                <w:rFonts w:hint="eastAsia" w:ascii="宋体" w:hAnsi="宋体" w:cs="宋体"/>
                <w:color w:val="000000"/>
                <w:kern w:val="0"/>
                <w:sz w:val="20"/>
                <w:szCs w:val="20"/>
              </w:rPr>
              <w:t> </w:t>
            </w:r>
          </w:p>
        </w:tc>
        <w:tc>
          <w:tcPr>
            <w:tcW w:w="978"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ascii="宋体" w:hAnsi="宋体" w:cs="宋体"/>
                <w:color w:val="000000"/>
                <w:kern w:val="0"/>
                <w:sz w:val="24"/>
              </w:rPr>
            </w:pPr>
            <w:r>
              <w:rPr>
                <w:rFonts w:hint="eastAsia" w:ascii="宋体" w:hAnsi="宋体" w:cs="宋体"/>
                <w:color w:val="000000"/>
                <w:kern w:val="0"/>
                <w:sz w:val="20"/>
                <w:szCs w:val="20"/>
              </w:rPr>
              <w:t> </w:t>
            </w:r>
          </w:p>
        </w:tc>
        <w:tc>
          <w:tcPr>
            <w:tcW w:w="979"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ascii="宋体" w:hAnsi="宋体" w:cs="宋体"/>
                <w:color w:val="000000"/>
                <w:kern w:val="0"/>
                <w:sz w:val="24"/>
              </w:rPr>
            </w:pPr>
            <w:r>
              <w:rPr>
                <w:rFonts w:hint="eastAsia" w:ascii="宋体" w:hAnsi="宋体" w:cs="宋体"/>
                <w:color w:val="000000"/>
                <w:kern w:val="0"/>
                <w:sz w:val="20"/>
                <w:szCs w:val="20"/>
              </w:rPr>
              <w:t> </w:t>
            </w:r>
          </w:p>
        </w:tc>
        <w:tc>
          <w:tcPr>
            <w:tcW w:w="2098" w:type="dxa"/>
            <w:gridSpan w:val="5"/>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right"/>
              <w:textAlignment w:val="center"/>
              <w:rPr>
                <w:rFonts w:ascii="宋体" w:hAnsi="宋体" w:cs="宋体"/>
                <w:color w:val="000000"/>
                <w:kern w:val="0"/>
                <w:sz w:val="24"/>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trHeight w:val="415" w:hRule="atLeast"/>
        </w:trPr>
        <w:tc>
          <w:tcPr>
            <w:tcW w:w="7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项目</w:t>
            </w: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行次</w:t>
            </w:r>
          </w:p>
        </w:tc>
        <w:tc>
          <w:tcPr>
            <w:tcW w:w="8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资产总额</w:t>
            </w:r>
          </w:p>
        </w:tc>
        <w:tc>
          <w:tcPr>
            <w:tcW w:w="5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流动资产</w:t>
            </w:r>
          </w:p>
        </w:tc>
        <w:tc>
          <w:tcPr>
            <w:tcW w:w="407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固定资产</w:t>
            </w: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对外投资/有价证券</w:t>
            </w: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在建工程</w:t>
            </w:r>
          </w:p>
        </w:tc>
        <w:tc>
          <w:tcPr>
            <w:tcW w:w="978"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无形资产</w:t>
            </w:r>
          </w:p>
        </w:tc>
        <w:tc>
          <w:tcPr>
            <w:tcW w:w="11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其他资产</w:t>
            </w:r>
          </w:p>
        </w:tc>
      </w:tr>
      <w:tr>
        <w:tblPrEx>
          <w:tblCellMar>
            <w:top w:w="0" w:type="dxa"/>
            <w:left w:w="0" w:type="dxa"/>
            <w:bottom w:w="0" w:type="dxa"/>
            <w:right w:w="0" w:type="dxa"/>
          </w:tblCellMar>
        </w:tblPrEx>
        <w:trPr>
          <w:trHeight w:val="345" w:hRule="atLeast"/>
        </w:trPr>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4"/>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4"/>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4"/>
              </w:rPr>
            </w:pPr>
          </w:p>
        </w:tc>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4"/>
              </w:rPr>
            </w:pPr>
          </w:p>
        </w:tc>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小计</w:t>
            </w: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房屋构筑物</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车辆</w:t>
            </w:r>
          </w:p>
        </w:tc>
        <w:tc>
          <w:tcPr>
            <w:tcW w:w="12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单价200万以上大型设备</w:t>
            </w:r>
          </w:p>
        </w:tc>
        <w:tc>
          <w:tcPr>
            <w:tcW w:w="8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其他固定资产</w:t>
            </w:r>
          </w:p>
        </w:tc>
        <w:tc>
          <w:tcPr>
            <w:tcW w:w="9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97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978"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12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CellMar>
            <w:top w:w="0" w:type="dxa"/>
            <w:left w:w="0" w:type="dxa"/>
            <w:bottom w:w="0" w:type="dxa"/>
            <w:right w:w="0" w:type="dxa"/>
          </w:tblCellMar>
        </w:tblPrEx>
        <w:trPr>
          <w:trHeight w:val="395" w:hRule="atLeast"/>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5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50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5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76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263"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9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97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978"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12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CellMar>
            <w:top w:w="0" w:type="dxa"/>
            <w:left w:w="0" w:type="dxa"/>
            <w:bottom w:w="0" w:type="dxa"/>
            <w:right w:w="0" w:type="dxa"/>
          </w:tblCellMar>
        </w:tblPrEx>
        <w:trPr>
          <w:trHeight w:val="35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栏次</w:t>
            </w:r>
          </w:p>
        </w:tc>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rPr>
                <w:rFonts w:ascii="宋体" w:hAnsi="宋体" w:cs="宋体"/>
                <w:color w:val="000000"/>
                <w:kern w:val="0"/>
                <w:sz w:val="24"/>
              </w:rPr>
            </w:pPr>
            <w:r>
              <w:rPr>
                <w:rFonts w:hint="eastAsia" w:ascii="宋体" w:hAnsi="宋体" w:cs="宋体"/>
                <w:color w:val="000000"/>
                <w:kern w:val="0"/>
                <w:sz w:val="20"/>
                <w:szCs w:val="20"/>
              </w:rPr>
              <w:t> </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1</w:t>
            </w:r>
          </w:p>
        </w:tc>
        <w:tc>
          <w:tcPr>
            <w:tcW w:w="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2</w:t>
            </w:r>
          </w:p>
        </w:tc>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3</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4</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5</w:t>
            </w:r>
          </w:p>
        </w:tc>
        <w:tc>
          <w:tcPr>
            <w:tcW w:w="126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6</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7</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8</w:t>
            </w:r>
          </w:p>
        </w:tc>
        <w:tc>
          <w:tcPr>
            <w:tcW w:w="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9</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10</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11</w:t>
            </w:r>
          </w:p>
        </w:tc>
      </w:tr>
      <w:tr>
        <w:tblPrEx>
          <w:tblCellMar>
            <w:top w:w="0" w:type="dxa"/>
            <w:left w:w="0" w:type="dxa"/>
            <w:bottom w:w="0" w:type="dxa"/>
            <w:right w:w="0" w:type="dxa"/>
          </w:tblCellMar>
        </w:tblPrEx>
        <w:trPr>
          <w:trHeight w:val="563"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合计</w:t>
            </w:r>
          </w:p>
        </w:tc>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0"/>
                <w:szCs w:val="20"/>
                <w:lang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rPr>
                <w:rFonts w:ascii="宋体" w:hAnsi="宋体" w:cs="宋体"/>
                <w:color w:val="000000"/>
                <w:kern w:val="0"/>
                <w:sz w:val="24"/>
              </w:rPr>
            </w:pPr>
            <w:r>
              <w:rPr>
                <w:rFonts w:hint="eastAsia" w:ascii="宋体" w:hAnsi="宋体" w:cs="宋体"/>
                <w:color w:val="000000"/>
                <w:kern w:val="0"/>
                <w:sz w:val="18"/>
                <w:szCs w:val="18"/>
              </w:rPr>
              <w:t>2,600.85</w:t>
            </w:r>
          </w:p>
        </w:tc>
        <w:tc>
          <w:tcPr>
            <w:tcW w:w="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rPr>
                <w:rFonts w:ascii="宋体" w:hAnsi="宋体" w:cs="宋体"/>
                <w:color w:val="000000"/>
                <w:kern w:val="0"/>
                <w:sz w:val="24"/>
              </w:rPr>
            </w:pPr>
            <w:r>
              <w:rPr>
                <w:rFonts w:hint="eastAsia" w:ascii="宋体" w:hAnsi="宋体" w:cs="宋体"/>
                <w:color w:val="000000"/>
                <w:kern w:val="0"/>
                <w:sz w:val="18"/>
                <w:szCs w:val="18"/>
              </w:rPr>
              <w:t>1,632.79</w:t>
            </w:r>
          </w:p>
        </w:tc>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rPr>
                <w:rFonts w:ascii="宋体" w:hAnsi="宋体" w:cs="宋体"/>
                <w:color w:val="000000"/>
                <w:kern w:val="0"/>
                <w:sz w:val="24"/>
              </w:rPr>
            </w:pPr>
            <w:r>
              <w:rPr>
                <w:rFonts w:hint="eastAsia" w:ascii="宋体" w:hAnsi="宋体" w:cs="宋体"/>
                <w:color w:val="000000"/>
                <w:kern w:val="0"/>
                <w:sz w:val="20"/>
                <w:szCs w:val="20"/>
              </w:rPr>
              <w:t>968.1</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right"/>
              <w:rPr>
                <w:rFonts w:ascii="宋体" w:hAnsi="宋体" w:cs="宋体"/>
                <w:color w:val="000000"/>
                <w:kern w:val="0"/>
                <w:sz w:val="24"/>
              </w:rPr>
            </w:pPr>
            <w:r>
              <w:rPr>
                <w:rFonts w:hint="eastAsia" w:ascii="宋体" w:hAnsi="宋体" w:cs="宋体"/>
                <w:color w:val="000000"/>
                <w:kern w:val="0"/>
                <w:sz w:val="20"/>
                <w:szCs w:val="20"/>
              </w:rPr>
              <w:t>714.17 </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right"/>
              <w:rPr>
                <w:rFonts w:ascii="宋体" w:hAnsi="宋体" w:cs="宋体"/>
                <w:color w:val="000000"/>
                <w:kern w:val="0"/>
                <w:sz w:val="24"/>
              </w:rPr>
            </w:pPr>
            <w:r>
              <w:rPr>
                <w:rFonts w:hint="eastAsia" w:ascii="宋体" w:hAnsi="宋体" w:cs="宋体"/>
                <w:color w:val="000000"/>
                <w:kern w:val="0"/>
                <w:sz w:val="20"/>
                <w:szCs w:val="20"/>
              </w:rPr>
              <w:t>46.67 </w:t>
            </w:r>
          </w:p>
        </w:tc>
        <w:tc>
          <w:tcPr>
            <w:tcW w:w="126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right"/>
              <w:rPr>
                <w:rFonts w:ascii="宋体" w:hAnsi="宋体" w:cs="宋体"/>
                <w:color w:val="000000"/>
                <w:kern w:val="0"/>
                <w:sz w:val="24"/>
              </w:rPr>
            </w:pPr>
            <w:r>
              <w:rPr>
                <w:rFonts w:hint="eastAsia" w:ascii="宋体" w:hAnsi="宋体" w:cs="宋体"/>
                <w:color w:val="000000"/>
                <w:kern w:val="0"/>
                <w:sz w:val="20"/>
                <w:szCs w:val="20"/>
              </w:rPr>
              <w:t>0 </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right"/>
              <w:rPr>
                <w:rFonts w:ascii="宋体" w:hAnsi="宋体" w:cs="宋体"/>
                <w:color w:val="000000"/>
                <w:kern w:val="0"/>
                <w:sz w:val="24"/>
              </w:rPr>
            </w:pPr>
            <w:r>
              <w:rPr>
                <w:rFonts w:hint="eastAsia" w:ascii="宋体" w:hAnsi="宋体" w:cs="宋体"/>
                <w:color w:val="000000"/>
                <w:kern w:val="0"/>
                <w:sz w:val="20"/>
                <w:szCs w:val="20"/>
              </w:rPr>
              <w:t>207.23 </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right"/>
              <w:rPr>
                <w:rFonts w:ascii="宋体" w:hAnsi="宋体" w:cs="宋体"/>
                <w:color w:val="000000"/>
                <w:kern w:val="0"/>
                <w:sz w:val="24"/>
              </w:rPr>
            </w:pPr>
            <w:r>
              <w:rPr>
                <w:rFonts w:hint="eastAsia" w:ascii="宋体" w:hAnsi="宋体" w:cs="宋体"/>
                <w:color w:val="000000"/>
                <w:kern w:val="0"/>
                <w:sz w:val="20"/>
                <w:szCs w:val="20"/>
              </w:rPr>
              <w:t>0 </w:t>
            </w:r>
          </w:p>
        </w:tc>
        <w:tc>
          <w:tcPr>
            <w:tcW w:w="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right"/>
              <w:rPr>
                <w:rFonts w:ascii="宋体" w:hAnsi="宋体" w:cs="宋体"/>
                <w:color w:val="000000"/>
                <w:kern w:val="0"/>
                <w:sz w:val="24"/>
              </w:rPr>
            </w:pPr>
            <w:r>
              <w:rPr>
                <w:rFonts w:hint="eastAsia" w:ascii="宋体" w:hAnsi="宋体" w:cs="宋体"/>
                <w:color w:val="000000"/>
                <w:kern w:val="0"/>
                <w:sz w:val="20"/>
                <w:szCs w:val="20"/>
              </w:rPr>
              <w:t>0 </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right"/>
              <w:rPr>
                <w:rFonts w:ascii="宋体" w:hAnsi="宋体" w:cs="宋体"/>
                <w:color w:val="000000"/>
                <w:kern w:val="0"/>
                <w:sz w:val="24"/>
              </w:rPr>
            </w:pPr>
            <w:r>
              <w:rPr>
                <w:rFonts w:hint="eastAsia" w:ascii="宋体" w:hAnsi="宋体" w:cs="宋体"/>
                <w:color w:val="000000"/>
                <w:kern w:val="0"/>
                <w:sz w:val="20"/>
                <w:szCs w:val="20"/>
              </w:rPr>
              <w:t>0 </w:t>
            </w: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right"/>
              <w:rPr>
                <w:rFonts w:ascii="宋体" w:hAnsi="宋体" w:cs="宋体"/>
                <w:color w:val="000000"/>
                <w:kern w:val="0"/>
                <w:sz w:val="24"/>
              </w:rPr>
            </w:pPr>
            <w:r>
              <w:rPr>
                <w:rFonts w:hint="eastAsia" w:ascii="宋体" w:hAnsi="宋体" w:cs="宋体"/>
                <w:color w:val="000000"/>
                <w:kern w:val="0"/>
                <w:sz w:val="20"/>
                <w:szCs w:val="20"/>
              </w:rPr>
              <w:t>0 </w:t>
            </w:r>
          </w:p>
        </w:tc>
      </w:tr>
      <w:tr>
        <w:tblPrEx>
          <w:tblCellMar>
            <w:top w:w="0" w:type="dxa"/>
            <w:left w:w="0" w:type="dxa"/>
            <w:bottom w:w="0" w:type="dxa"/>
            <w:right w:w="0" w:type="dxa"/>
          </w:tblCellMar>
        </w:tblPrEx>
        <w:trPr>
          <w:gridAfter w:val="1"/>
          <w:wAfter w:w="618" w:type="dxa"/>
          <w:trHeight w:val="259" w:hRule="atLeast"/>
        </w:trPr>
        <w:tc>
          <w:tcPr>
            <w:tcW w:w="8672" w:type="dxa"/>
            <w:gridSpan w:val="14"/>
            <w:tcBorders>
              <w:top w:val="nil"/>
              <w:left w:val="nil"/>
              <w:bottom w:val="nil"/>
              <w:right w:val="nil"/>
            </w:tcBorders>
            <w:shd w:val="clear" w:color="auto" w:fill="auto"/>
            <w:tcMar>
              <w:top w:w="15" w:type="dxa"/>
              <w:left w:w="15" w:type="dxa"/>
              <w:bottom w:w="15" w:type="dxa"/>
              <w:right w:w="15" w:type="dxa"/>
            </w:tcMar>
            <w:vAlign w:val="bottom"/>
          </w:tcPr>
          <w:p>
            <w:pPr>
              <w:widowControl/>
              <w:rPr>
                <w:rFonts w:ascii="宋体" w:hAnsi="宋体" w:cs="宋体"/>
                <w:color w:val="000000"/>
                <w:kern w:val="0"/>
                <w:sz w:val="24"/>
              </w:rPr>
            </w:pPr>
          </w:p>
        </w:tc>
        <w:tc>
          <w:tcPr>
            <w:tcW w:w="360" w:type="dxa"/>
            <w:tcBorders>
              <w:top w:val="nil"/>
              <w:left w:val="nil"/>
              <w:bottom w:val="nil"/>
              <w:right w:val="nil"/>
            </w:tcBorders>
            <w:shd w:val="clear" w:color="auto" w:fill="auto"/>
            <w:tcMar>
              <w:top w:w="15" w:type="dxa"/>
              <w:left w:w="15" w:type="dxa"/>
              <w:bottom w:w="15" w:type="dxa"/>
              <w:right w:w="15" w:type="dxa"/>
            </w:tcMar>
            <w:vAlign w:val="bottom"/>
          </w:tcPr>
          <w:p>
            <w:pPr>
              <w:widowControl/>
              <w:rPr>
                <w:rFonts w:ascii="宋体" w:hAnsi="宋体" w:cs="宋体"/>
                <w:color w:val="000000"/>
                <w:kern w:val="0"/>
                <w:sz w:val="20"/>
                <w:lang w:bidi="ar"/>
              </w:rPr>
            </w:pPr>
          </w:p>
        </w:tc>
        <w:tc>
          <w:tcPr>
            <w:tcW w:w="978" w:type="dxa"/>
            <w:gridSpan w:val="2"/>
            <w:tcBorders>
              <w:top w:val="nil"/>
              <w:left w:val="nil"/>
              <w:bottom w:val="nil"/>
              <w:right w:val="nil"/>
            </w:tcBorders>
            <w:shd w:val="clear" w:color="auto" w:fill="auto"/>
            <w:tcMar>
              <w:top w:w="15" w:type="dxa"/>
              <w:left w:w="15" w:type="dxa"/>
              <w:bottom w:w="15" w:type="dxa"/>
              <w:right w:w="15" w:type="dxa"/>
            </w:tcMar>
            <w:vAlign w:val="bottom"/>
          </w:tcPr>
          <w:p>
            <w:pPr>
              <w:widowControl/>
              <w:jc w:val="left"/>
              <w:rPr>
                <w:rFonts w:ascii="宋体" w:hAnsi="宋体" w:cs="宋体"/>
                <w:color w:val="000000"/>
                <w:kern w:val="0"/>
                <w:sz w:val="24"/>
              </w:rPr>
            </w:pPr>
          </w:p>
        </w:tc>
        <w:tc>
          <w:tcPr>
            <w:tcW w:w="142" w:type="dxa"/>
            <w:tcBorders>
              <w:top w:val="nil"/>
              <w:left w:val="nil"/>
              <w:bottom w:val="nil"/>
              <w:right w:val="nil"/>
            </w:tcBorders>
            <w:shd w:val="clear" w:color="auto" w:fill="auto"/>
            <w:vAlign w:val="center"/>
          </w:tcPr>
          <w:p>
            <w:pPr>
              <w:widowControl/>
              <w:jc w:val="left"/>
              <w:rPr>
                <w:rFonts w:ascii="宋体" w:hAnsi="宋体" w:cs="宋体"/>
                <w:color w:val="000000"/>
                <w:kern w:val="0"/>
                <w:sz w:val="17"/>
                <w:szCs w:val="17"/>
              </w:rPr>
            </w:pPr>
          </w:p>
        </w:tc>
      </w:tr>
      <w:tr>
        <w:tblPrEx>
          <w:tblCellMar>
            <w:top w:w="0" w:type="dxa"/>
            <w:left w:w="0" w:type="dxa"/>
            <w:bottom w:w="0" w:type="dxa"/>
            <w:right w:w="0" w:type="dxa"/>
          </w:tblCellMar>
        </w:tblPrEx>
        <w:trPr>
          <w:trHeight w:val="495" w:hRule="atLeast"/>
        </w:trPr>
        <w:tc>
          <w:tcPr>
            <w:tcW w:w="9650" w:type="dxa"/>
            <w:gridSpan w:val="16"/>
            <w:tcBorders>
              <w:top w:val="nil"/>
              <w:left w:val="nil"/>
              <w:bottom w:val="nil"/>
              <w:right w:val="nil"/>
            </w:tcBorders>
            <w:shd w:val="clear" w:color="auto" w:fill="auto"/>
            <w:tcMar>
              <w:top w:w="15" w:type="dxa"/>
              <w:left w:w="15" w:type="dxa"/>
              <w:bottom w:w="15" w:type="dxa"/>
              <w:right w:w="15" w:type="dxa"/>
            </w:tcMar>
            <w:vAlign w:val="bottom"/>
          </w:tcPr>
          <w:p>
            <w:pPr>
              <w:widowControl/>
              <w:rPr>
                <w:rFonts w:ascii="宋体" w:hAnsi="宋体" w:cs="宋体"/>
                <w:color w:val="000000"/>
                <w:kern w:val="0"/>
                <w:sz w:val="20"/>
                <w:szCs w:val="20"/>
              </w:rPr>
            </w:pPr>
            <w:r>
              <w:rPr>
                <w:rFonts w:hint="eastAsia" w:ascii="宋体" w:hAnsi="宋体" w:cs="宋体"/>
                <w:color w:val="000000"/>
                <w:kern w:val="0"/>
                <w:sz w:val="20"/>
                <w:szCs w:val="20"/>
              </w:rPr>
              <w:t>填报说明：1.资产总额＝流动资产＋固定资产＋对外投资／有价证券＋在建工程＋无形资产＋其他资产</w:t>
            </w:r>
          </w:p>
          <w:p>
            <w:pPr>
              <w:widowControl/>
              <w:ind w:firstLine="1030" w:firstLineChars="515"/>
              <w:jc w:val="left"/>
              <w:rPr>
                <w:rFonts w:ascii="宋体" w:hAnsi="宋体" w:cs="宋体"/>
                <w:color w:val="000000"/>
                <w:kern w:val="0"/>
                <w:sz w:val="24"/>
              </w:rPr>
            </w:pPr>
            <w:r>
              <w:rPr>
                <w:rFonts w:hint="eastAsia" w:ascii="宋体" w:hAnsi="宋体" w:cs="宋体"/>
                <w:color w:val="000000"/>
                <w:kern w:val="0"/>
                <w:sz w:val="20"/>
                <w:szCs w:val="20"/>
              </w:rPr>
              <w:t>2.固定资产＝房屋构筑物＋车辆＋单价200万元以上大型设备＋其他固定资产</w:t>
            </w:r>
          </w:p>
        </w:tc>
        <w:tc>
          <w:tcPr>
            <w:tcW w:w="1120" w:type="dxa"/>
            <w:gridSpan w:val="3"/>
            <w:tcBorders>
              <w:top w:val="nil"/>
              <w:left w:val="nil"/>
              <w:bottom w:val="nil"/>
              <w:right w:val="nil"/>
            </w:tcBorders>
            <w:shd w:val="clear" w:color="auto" w:fill="auto"/>
            <w:tcMar>
              <w:top w:w="15" w:type="dxa"/>
              <w:left w:w="15" w:type="dxa"/>
              <w:bottom w:w="15" w:type="dxa"/>
              <w:right w:w="15" w:type="dxa"/>
            </w:tcMar>
            <w:vAlign w:val="bottom"/>
          </w:tcPr>
          <w:p>
            <w:pPr>
              <w:widowControl/>
              <w:jc w:val="left"/>
              <w:rPr>
                <w:rFonts w:ascii="宋体" w:hAnsi="宋体" w:cs="宋体"/>
                <w:color w:val="000000"/>
                <w:kern w:val="0"/>
                <w:sz w:val="24"/>
              </w:rPr>
            </w:pPr>
            <w:r>
              <w:rPr>
                <w:rFonts w:ascii="Arial" w:hAnsi="Arial" w:cs="Arial"/>
                <w:color w:val="000000"/>
                <w:kern w:val="0"/>
                <w:sz w:val="20"/>
                <w:szCs w:val="20"/>
              </w:rPr>
              <w:t> </w:t>
            </w:r>
          </w:p>
        </w:tc>
      </w:tr>
    </w:tbl>
    <w:p>
      <w:pPr>
        <w:ind w:firstLine="600" w:firstLineChars="200"/>
        <w:jc w:val="left"/>
        <w:rPr>
          <w:rFonts w:ascii="楷体_GB2312" w:hAnsi="黑体" w:eastAsia="楷体_GB2312" w:cs="方正小标宋简体"/>
          <w:sz w:val="30"/>
          <w:szCs w:val="30"/>
        </w:rPr>
      </w:pPr>
      <w:r>
        <w:rPr>
          <w:rFonts w:hint="eastAsia" w:ascii="楷体_GB2312" w:hAnsi="黑体" w:eastAsia="楷体_GB2312" w:cs="方正小标宋简体"/>
          <w:sz w:val="30"/>
          <w:szCs w:val="30"/>
        </w:rPr>
        <w:t>(三)政府采购支出情况</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2017年度，部门政府采购支出总额835.55万元，其中：政府采购货物支出108.35万元；政府采购工程支出685.64万元；政府采购服务支出41.55万元。授予中小企业合同金额835.55万元，占政府采购支出总额的100%。</w:t>
      </w:r>
    </w:p>
    <w:p>
      <w:pPr>
        <w:ind w:firstLine="600" w:firstLineChars="200"/>
        <w:jc w:val="left"/>
        <w:rPr>
          <w:rFonts w:ascii="楷体_GB2312" w:hAnsi="黑体" w:eastAsia="楷体_GB2312" w:cs="方正小标宋简体"/>
          <w:sz w:val="30"/>
          <w:szCs w:val="30"/>
        </w:rPr>
      </w:pPr>
      <w:r>
        <w:rPr>
          <w:rFonts w:hint="eastAsia" w:ascii="楷体_GB2312" w:hAnsi="黑体" w:eastAsia="楷体_GB2312" w:cs="方正小标宋简体"/>
          <w:sz w:val="30"/>
          <w:szCs w:val="30"/>
        </w:rPr>
        <w:t>（四）其他重要事项情况说明：无</w:t>
      </w:r>
    </w:p>
    <w:p>
      <w:pPr>
        <w:ind w:firstLine="600" w:firstLineChars="200"/>
        <w:jc w:val="left"/>
        <w:rPr>
          <w:rFonts w:ascii="楷体_GB2312" w:hAnsi="黑体" w:eastAsia="楷体_GB2312" w:cs="方正小标宋简体"/>
          <w:color w:val="FF0000"/>
          <w:sz w:val="30"/>
          <w:szCs w:val="30"/>
        </w:rPr>
      </w:pPr>
      <w:r>
        <w:rPr>
          <w:rFonts w:hint="eastAsia" w:ascii="楷体_GB2312" w:hAnsi="黑体" w:eastAsia="楷体_GB2312" w:cs="方正小标宋简体"/>
          <w:sz w:val="30"/>
          <w:szCs w:val="30"/>
        </w:rPr>
        <w:t>（五）相关口径说明</w:t>
      </w:r>
    </w:p>
    <w:p>
      <w:pPr>
        <w:ind w:firstLine="600" w:firstLineChars="200"/>
        <w:jc w:val="left"/>
        <w:rPr>
          <w:rFonts w:ascii="仿宋_GB2312" w:hAnsi="黑体" w:eastAsia="仿宋_GB2312" w:cs="方正小标宋简体"/>
          <w:sz w:val="30"/>
          <w:szCs w:val="30"/>
        </w:rPr>
      </w:pPr>
      <w:r>
        <w:rPr>
          <w:rFonts w:hint="eastAsia" w:ascii="仿宋_GB2312" w:hAnsi="黑体" w:eastAsia="仿宋_GB2312" w:cs="方正小标宋简体"/>
          <w:sz w:val="30"/>
          <w:szCs w:val="30"/>
        </w:rPr>
        <w:t>1．基本支出中人员经费包括工资福利支出和对个人和家庭的补助，日常公用支出包括商品和服务支出、其他资本性支出等人员经费以外的支出。</w:t>
      </w:r>
    </w:p>
    <w:p>
      <w:pPr>
        <w:ind w:firstLine="600" w:firstLineChars="200"/>
        <w:jc w:val="left"/>
        <w:rPr>
          <w:rFonts w:ascii="仿宋_GB2312" w:hAnsi="黑体" w:eastAsia="仿宋_GB2312" w:cs="方正小标宋简体"/>
          <w:sz w:val="30"/>
          <w:szCs w:val="30"/>
        </w:rPr>
      </w:pPr>
      <w:r>
        <w:rPr>
          <w:rFonts w:hint="eastAsia" w:ascii="仿宋_GB2312" w:hAnsi="黑体" w:eastAsia="仿宋_GB2312" w:cs="方正小标宋简体"/>
          <w:sz w:val="30"/>
          <w:szCs w:val="30"/>
        </w:rPr>
        <w:t>2．机关运行经费指行政单位和参照公务员法管理的事业单位使用一般公共预算财政拨款安排的除人员经费以外的基本支出。</w:t>
      </w:r>
    </w:p>
    <w:p>
      <w:pPr>
        <w:ind w:firstLine="600" w:firstLineChars="200"/>
        <w:jc w:val="left"/>
        <w:rPr>
          <w:rFonts w:ascii="仿宋_GB2312" w:hAnsi="黑体" w:eastAsia="仿宋_GB2312" w:cs="方正小标宋简体"/>
          <w:sz w:val="30"/>
          <w:szCs w:val="30"/>
        </w:rPr>
      </w:pPr>
      <w:r>
        <w:rPr>
          <w:rFonts w:hint="eastAsia" w:ascii="仿宋_GB2312" w:hAnsi="黑体" w:eastAsia="仿宋_GB2312" w:cs="方正小标宋简体"/>
          <w:sz w:val="30"/>
          <w:szCs w:val="30"/>
        </w:rPr>
        <w:t>3．按照党中央、国务院有关文件及部门预算管理有关规定，“三公”经费包括因公出国（境）费、公务用车购置及运行维护费、公务接待费。其中：因公出国（境）费，指单位工作人员公务出国（境）的国际旅费、国外城市间交通费、住宿费、伙食费、培训费、公杂费等支出；公务用车购置费，指单位公务用车车辆购置支出（含车辆购置税）；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p>
    <w:p>
      <w:pPr>
        <w:ind w:firstLine="600" w:firstLineChars="200"/>
        <w:jc w:val="left"/>
        <w:rPr>
          <w:rFonts w:ascii="仿宋_GB2312" w:hAnsi="黑体" w:eastAsia="仿宋_GB2312" w:cs="方正小标宋简体"/>
          <w:sz w:val="30"/>
          <w:szCs w:val="30"/>
        </w:rPr>
      </w:pPr>
      <w:r>
        <w:rPr>
          <w:rFonts w:hint="eastAsia" w:ascii="仿宋_GB2312" w:hAnsi="黑体" w:eastAsia="仿宋_GB2312" w:cs="方正小标宋简体"/>
          <w:sz w:val="30"/>
          <w:szCs w:val="30"/>
        </w:rPr>
        <w:t>4.“三公”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pPr>
        <w:ind w:firstLine="640" w:firstLineChars="200"/>
        <w:jc w:val="center"/>
        <w:rPr>
          <w:rFonts w:ascii="宋体" w:hAnsi="宋体" w:eastAsia="宋体" w:cs="宋体"/>
          <w:sz w:val="32"/>
          <w:szCs w:val="32"/>
        </w:rPr>
      </w:pPr>
      <w:r>
        <w:rPr>
          <w:rFonts w:hint="eastAsia" w:ascii="黑体" w:hAnsi="黑体" w:eastAsia="黑体" w:cs="方正小标宋简体"/>
          <w:sz w:val="32"/>
          <w:szCs w:val="32"/>
        </w:rPr>
        <w:t>第四部分  名词解释</w:t>
      </w:r>
    </w:p>
    <w:p>
      <w:pPr>
        <w:rPr>
          <w:rFonts w:ascii="仿宋" w:hAnsi="仿宋" w:eastAsia="仿宋" w:cs="仿宋"/>
          <w:sz w:val="30"/>
          <w:szCs w:val="30"/>
        </w:rPr>
      </w:pPr>
      <w:r>
        <w:rPr>
          <w:rFonts w:hint="eastAsia" w:ascii="仿宋" w:hAnsi="仿宋" w:eastAsia="仿宋" w:cs="仿宋"/>
          <w:sz w:val="30"/>
          <w:szCs w:val="30"/>
        </w:rPr>
        <w:t>财政拨款收入：指县级财政当年拨付的资金。</w:t>
      </w:r>
    </w:p>
    <w:p>
      <w:pPr>
        <w:rPr>
          <w:rFonts w:ascii="仿宋" w:hAnsi="仿宋" w:eastAsia="仿宋" w:cs="仿宋"/>
          <w:sz w:val="30"/>
          <w:szCs w:val="30"/>
        </w:rPr>
      </w:pPr>
      <w:r>
        <w:rPr>
          <w:rFonts w:hint="eastAsia" w:ascii="仿宋" w:hAnsi="仿宋" w:eastAsia="仿宋" w:cs="仿宋"/>
          <w:sz w:val="30"/>
          <w:szCs w:val="30"/>
        </w:rPr>
        <w:t>基本支出：为保障机构正常运行，完成日常工作任务而发生的人员支出和公用支出。</w:t>
      </w:r>
    </w:p>
    <w:p>
      <w:pPr>
        <w:rPr>
          <w:rFonts w:ascii="仿宋" w:hAnsi="仿宋" w:eastAsia="仿宋" w:cs="仿宋"/>
          <w:sz w:val="30"/>
          <w:szCs w:val="30"/>
        </w:rPr>
      </w:pPr>
      <w:r>
        <w:rPr>
          <w:rFonts w:hint="eastAsia" w:ascii="仿宋" w:hAnsi="仿宋" w:eastAsia="仿宋" w:cs="仿宋"/>
          <w:sz w:val="30"/>
          <w:szCs w:val="30"/>
        </w:rPr>
        <w:t>项目支出：指在基本支出之外为完成特定行政任务和事业发展目标所发生的支出。</w:t>
      </w:r>
    </w:p>
    <w:p>
      <w:pPr>
        <w:rPr>
          <w:rFonts w:ascii="仿宋" w:hAnsi="仿宋" w:eastAsia="仿宋" w:cs="仿宋"/>
          <w:sz w:val="30"/>
          <w:szCs w:val="30"/>
        </w:rPr>
      </w:pPr>
      <w:r>
        <w:rPr>
          <w:rFonts w:hint="eastAsia" w:ascii="仿宋" w:hAnsi="仿宋" w:eastAsia="仿宋" w:cs="仿宋"/>
          <w:sz w:val="30"/>
          <w:szCs w:val="30"/>
        </w:rPr>
        <w:t>对个人和家庭补助支出：反映政府用于对个人和家庭补助方面的支出，其下设款级科目包括：离休费、退休费、退职（役）费、抚恤金、生活补助、救济费、医疗费、助学金、奖励金、生产补贴、住房公积金、提租补贴、购房补贴、采暖补贴、物业服务补贴、其他对个人和家庭的补助支出。</w:t>
      </w:r>
    </w:p>
    <w:p>
      <w:pPr>
        <w:rPr>
          <w:rFonts w:ascii="仿宋" w:hAnsi="仿宋" w:eastAsia="仿宋" w:cs="仿宋"/>
          <w:sz w:val="30"/>
          <w:szCs w:val="30"/>
        </w:rPr>
      </w:pPr>
    </w:p>
    <w:p>
      <w:pPr>
        <w:ind w:firstLine="4800" w:firstLineChars="1600"/>
        <w:rPr>
          <w:rFonts w:ascii="仿宋" w:hAnsi="仿宋" w:eastAsia="仿宋" w:cs="仿宋"/>
          <w:sz w:val="30"/>
          <w:szCs w:val="30"/>
        </w:rPr>
      </w:pPr>
      <w:r>
        <w:rPr>
          <w:rFonts w:hint="eastAsia" w:ascii="仿宋" w:hAnsi="仿宋" w:eastAsia="仿宋" w:cs="仿宋"/>
          <w:sz w:val="30"/>
          <w:szCs w:val="30"/>
        </w:rPr>
        <w:t>盈江县那帮镇人民政府</w:t>
      </w:r>
    </w:p>
    <w:p>
      <w:pPr>
        <w:ind w:firstLine="5100" w:firstLineChars="1700"/>
        <w:rPr>
          <w:rFonts w:ascii="仿宋" w:hAnsi="仿宋" w:eastAsia="仿宋" w:cs="仿宋"/>
          <w:sz w:val="30"/>
          <w:szCs w:val="30"/>
        </w:rPr>
      </w:pPr>
      <w:r>
        <w:rPr>
          <w:rFonts w:hint="eastAsia" w:ascii="仿宋" w:hAnsi="仿宋" w:eastAsia="仿宋" w:cs="仿宋"/>
          <w:sz w:val="30"/>
          <w:szCs w:val="30"/>
        </w:rPr>
        <w:t>2018年10月16日</w:t>
      </w:r>
    </w:p>
    <w:p>
      <w:pPr>
        <w:spacing w:line="600" w:lineRule="exact"/>
        <w:ind w:firstLine="723" w:firstLineChars="200"/>
        <w:rPr>
          <w:rFonts w:ascii="仿宋" w:hAnsi="仿宋" w:eastAsia="仿宋" w:cs="仿宋"/>
          <w:b/>
          <w:bCs/>
          <w:color w:val="FF0000"/>
          <w:sz w:val="36"/>
          <w:szCs w:val="36"/>
        </w:rPr>
      </w:pPr>
    </w:p>
    <w:p>
      <w:pPr>
        <w:spacing w:line="600" w:lineRule="exact"/>
        <w:ind w:firstLine="640" w:firstLineChars="200"/>
        <w:rPr>
          <w:rFonts w:ascii="宋体" w:hAnsi="宋体" w:eastAsia="宋体" w:cs="宋体"/>
          <w:color w:val="FF0000"/>
          <w:sz w:val="32"/>
          <w:szCs w:val="32"/>
        </w:rPr>
      </w:pPr>
    </w:p>
    <w:sectPr>
      <w:headerReference r:id="rId3" w:type="default"/>
      <w:footerReference r:id="rId4" w:type="default"/>
      <w:pgSz w:w="11906" w:h="16838"/>
      <w:pgMar w:top="1383" w:right="1797" w:bottom="1383" w:left="179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C5E3F1"/>
    <w:multiLevelType w:val="singleLevel"/>
    <w:tmpl w:val="5BC5E3F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E2992"/>
    <w:rsid w:val="001603A5"/>
    <w:rsid w:val="001701B1"/>
    <w:rsid w:val="001B2C63"/>
    <w:rsid w:val="002279E7"/>
    <w:rsid w:val="0058048A"/>
    <w:rsid w:val="005B008A"/>
    <w:rsid w:val="00921BC0"/>
    <w:rsid w:val="00A16EF8"/>
    <w:rsid w:val="00A37036"/>
    <w:rsid w:val="00AD7C19"/>
    <w:rsid w:val="00AF5BC3"/>
    <w:rsid w:val="00B32999"/>
    <w:rsid w:val="00B55C84"/>
    <w:rsid w:val="00B821A8"/>
    <w:rsid w:val="00BF3E7B"/>
    <w:rsid w:val="00D002CA"/>
    <w:rsid w:val="00D614FA"/>
    <w:rsid w:val="00D67562"/>
    <w:rsid w:val="00DA457A"/>
    <w:rsid w:val="00DE7B44"/>
    <w:rsid w:val="00E35891"/>
    <w:rsid w:val="019D161F"/>
    <w:rsid w:val="01BB70B5"/>
    <w:rsid w:val="01ED170E"/>
    <w:rsid w:val="02E809C4"/>
    <w:rsid w:val="02F87224"/>
    <w:rsid w:val="03FC3043"/>
    <w:rsid w:val="041E2CEF"/>
    <w:rsid w:val="047E7E82"/>
    <w:rsid w:val="048A60FE"/>
    <w:rsid w:val="05795AB6"/>
    <w:rsid w:val="06435C9A"/>
    <w:rsid w:val="068E41E7"/>
    <w:rsid w:val="06EB44AB"/>
    <w:rsid w:val="06FC021E"/>
    <w:rsid w:val="07CA2EC3"/>
    <w:rsid w:val="08831B02"/>
    <w:rsid w:val="08D350A9"/>
    <w:rsid w:val="09190968"/>
    <w:rsid w:val="099D6BB3"/>
    <w:rsid w:val="09CA4BF5"/>
    <w:rsid w:val="0A1D1729"/>
    <w:rsid w:val="0A263B56"/>
    <w:rsid w:val="0A391605"/>
    <w:rsid w:val="0A401ED2"/>
    <w:rsid w:val="0ABE2743"/>
    <w:rsid w:val="0B6E3242"/>
    <w:rsid w:val="0BDE756F"/>
    <w:rsid w:val="0C4631E7"/>
    <w:rsid w:val="0CF10AE6"/>
    <w:rsid w:val="0D041181"/>
    <w:rsid w:val="0D073035"/>
    <w:rsid w:val="0D30389E"/>
    <w:rsid w:val="0DB970F1"/>
    <w:rsid w:val="0DE20AE9"/>
    <w:rsid w:val="0E33591B"/>
    <w:rsid w:val="0E722B3D"/>
    <w:rsid w:val="0F003276"/>
    <w:rsid w:val="0F4311FB"/>
    <w:rsid w:val="0F446843"/>
    <w:rsid w:val="0F6B67D1"/>
    <w:rsid w:val="0F6D205D"/>
    <w:rsid w:val="0FC84E26"/>
    <w:rsid w:val="0FE125C9"/>
    <w:rsid w:val="0FF1717D"/>
    <w:rsid w:val="10044BFA"/>
    <w:rsid w:val="101E4354"/>
    <w:rsid w:val="10283C22"/>
    <w:rsid w:val="1046158D"/>
    <w:rsid w:val="1073186F"/>
    <w:rsid w:val="10835199"/>
    <w:rsid w:val="10EF4043"/>
    <w:rsid w:val="11575DEE"/>
    <w:rsid w:val="123804C7"/>
    <w:rsid w:val="12542A81"/>
    <w:rsid w:val="12D93857"/>
    <w:rsid w:val="1321353C"/>
    <w:rsid w:val="135A3ED7"/>
    <w:rsid w:val="135D06A1"/>
    <w:rsid w:val="13DD5618"/>
    <w:rsid w:val="14091701"/>
    <w:rsid w:val="14503738"/>
    <w:rsid w:val="14B112E6"/>
    <w:rsid w:val="162E45AB"/>
    <w:rsid w:val="165018A3"/>
    <w:rsid w:val="16512913"/>
    <w:rsid w:val="16736C0F"/>
    <w:rsid w:val="16C91DC7"/>
    <w:rsid w:val="17130513"/>
    <w:rsid w:val="17744779"/>
    <w:rsid w:val="184C0B81"/>
    <w:rsid w:val="18876F2A"/>
    <w:rsid w:val="18A62869"/>
    <w:rsid w:val="18F31D9B"/>
    <w:rsid w:val="193E42EA"/>
    <w:rsid w:val="197863F7"/>
    <w:rsid w:val="19E76603"/>
    <w:rsid w:val="19F143C3"/>
    <w:rsid w:val="1A3207BD"/>
    <w:rsid w:val="1A613B05"/>
    <w:rsid w:val="1A8D7DD8"/>
    <w:rsid w:val="1AA24BFE"/>
    <w:rsid w:val="1AAB1F20"/>
    <w:rsid w:val="1AC42D35"/>
    <w:rsid w:val="1B2D159D"/>
    <w:rsid w:val="1B7264A4"/>
    <w:rsid w:val="1B7433C2"/>
    <w:rsid w:val="1B74797B"/>
    <w:rsid w:val="1B7B7528"/>
    <w:rsid w:val="1BE22D3F"/>
    <w:rsid w:val="1BE75ECD"/>
    <w:rsid w:val="1CD21D9A"/>
    <w:rsid w:val="1CD72D50"/>
    <w:rsid w:val="1D0B2F38"/>
    <w:rsid w:val="1D2D4D12"/>
    <w:rsid w:val="1D533003"/>
    <w:rsid w:val="1D9B5275"/>
    <w:rsid w:val="1DBB5960"/>
    <w:rsid w:val="1DF5072E"/>
    <w:rsid w:val="1E0825EB"/>
    <w:rsid w:val="1EB97F6A"/>
    <w:rsid w:val="1EF50E26"/>
    <w:rsid w:val="1F057B7B"/>
    <w:rsid w:val="1F2030FF"/>
    <w:rsid w:val="1F26609F"/>
    <w:rsid w:val="1F82736B"/>
    <w:rsid w:val="1F9E2573"/>
    <w:rsid w:val="1FB23185"/>
    <w:rsid w:val="2042019F"/>
    <w:rsid w:val="209E0A59"/>
    <w:rsid w:val="2104685B"/>
    <w:rsid w:val="213E3E45"/>
    <w:rsid w:val="2245164E"/>
    <w:rsid w:val="225564F4"/>
    <w:rsid w:val="22BA074F"/>
    <w:rsid w:val="22BC6E44"/>
    <w:rsid w:val="22F115F1"/>
    <w:rsid w:val="2338297F"/>
    <w:rsid w:val="235C69C4"/>
    <w:rsid w:val="23CC6CE6"/>
    <w:rsid w:val="23E837D2"/>
    <w:rsid w:val="23FE474E"/>
    <w:rsid w:val="241B7587"/>
    <w:rsid w:val="24841FB4"/>
    <w:rsid w:val="258009D7"/>
    <w:rsid w:val="26034020"/>
    <w:rsid w:val="262961DC"/>
    <w:rsid w:val="274A0A5C"/>
    <w:rsid w:val="27DF4EA7"/>
    <w:rsid w:val="28187258"/>
    <w:rsid w:val="28696071"/>
    <w:rsid w:val="289B47E2"/>
    <w:rsid w:val="28D90E2F"/>
    <w:rsid w:val="2947566F"/>
    <w:rsid w:val="299742EA"/>
    <w:rsid w:val="2AFE5E03"/>
    <w:rsid w:val="2B8E2530"/>
    <w:rsid w:val="2C084783"/>
    <w:rsid w:val="2C2B1420"/>
    <w:rsid w:val="2C7E2695"/>
    <w:rsid w:val="2D284473"/>
    <w:rsid w:val="2D691609"/>
    <w:rsid w:val="2DB53FB5"/>
    <w:rsid w:val="2DFE410E"/>
    <w:rsid w:val="2DFF3F8F"/>
    <w:rsid w:val="2E3D6AD2"/>
    <w:rsid w:val="2E462C4B"/>
    <w:rsid w:val="2E9C6D00"/>
    <w:rsid w:val="2EC43632"/>
    <w:rsid w:val="2EC61CB9"/>
    <w:rsid w:val="2F302DCC"/>
    <w:rsid w:val="2F687A99"/>
    <w:rsid w:val="2FE17261"/>
    <w:rsid w:val="2FF32FD2"/>
    <w:rsid w:val="30AB0C24"/>
    <w:rsid w:val="30AF0A7C"/>
    <w:rsid w:val="30B948F0"/>
    <w:rsid w:val="30CE14A1"/>
    <w:rsid w:val="30D2269F"/>
    <w:rsid w:val="30E04E3E"/>
    <w:rsid w:val="31636B9B"/>
    <w:rsid w:val="32563345"/>
    <w:rsid w:val="3308750D"/>
    <w:rsid w:val="34FD0EC8"/>
    <w:rsid w:val="36B463F9"/>
    <w:rsid w:val="370010E7"/>
    <w:rsid w:val="372A466A"/>
    <w:rsid w:val="374F23DD"/>
    <w:rsid w:val="375F651E"/>
    <w:rsid w:val="378C683B"/>
    <w:rsid w:val="37947820"/>
    <w:rsid w:val="38577FEE"/>
    <w:rsid w:val="385D5339"/>
    <w:rsid w:val="38971FE1"/>
    <w:rsid w:val="38B4215F"/>
    <w:rsid w:val="38DC4767"/>
    <w:rsid w:val="38FD7576"/>
    <w:rsid w:val="394C2393"/>
    <w:rsid w:val="3AA813D2"/>
    <w:rsid w:val="3AC711ED"/>
    <w:rsid w:val="3B9951A8"/>
    <w:rsid w:val="3BFE6A1C"/>
    <w:rsid w:val="3DB45CE6"/>
    <w:rsid w:val="3DE261F6"/>
    <w:rsid w:val="3E924755"/>
    <w:rsid w:val="3F0B1D70"/>
    <w:rsid w:val="3FAC703E"/>
    <w:rsid w:val="3FB16DD5"/>
    <w:rsid w:val="40A73697"/>
    <w:rsid w:val="41167AEF"/>
    <w:rsid w:val="417359E2"/>
    <w:rsid w:val="41836043"/>
    <w:rsid w:val="419064CB"/>
    <w:rsid w:val="419B7C6F"/>
    <w:rsid w:val="41CD0E12"/>
    <w:rsid w:val="42874470"/>
    <w:rsid w:val="42A9421D"/>
    <w:rsid w:val="42E2359F"/>
    <w:rsid w:val="42E839B3"/>
    <w:rsid w:val="43CB264B"/>
    <w:rsid w:val="44D61739"/>
    <w:rsid w:val="4612324F"/>
    <w:rsid w:val="46335082"/>
    <w:rsid w:val="464F00C1"/>
    <w:rsid w:val="46CB67B3"/>
    <w:rsid w:val="46EA49DE"/>
    <w:rsid w:val="470A5472"/>
    <w:rsid w:val="47A33BBC"/>
    <w:rsid w:val="47A760F4"/>
    <w:rsid w:val="47CD35FD"/>
    <w:rsid w:val="480E2187"/>
    <w:rsid w:val="48271129"/>
    <w:rsid w:val="484B79E7"/>
    <w:rsid w:val="486140DB"/>
    <w:rsid w:val="4865691D"/>
    <w:rsid w:val="49037E53"/>
    <w:rsid w:val="49543C1E"/>
    <w:rsid w:val="498E186D"/>
    <w:rsid w:val="49907166"/>
    <w:rsid w:val="49B77A77"/>
    <w:rsid w:val="49BE7329"/>
    <w:rsid w:val="4A217F25"/>
    <w:rsid w:val="4A823984"/>
    <w:rsid w:val="4A861F3A"/>
    <w:rsid w:val="4A8B1747"/>
    <w:rsid w:val="4ADD61BE"/>
    <w:rsid w:val="4AFE746D"/>
    <w:rsid w:val="4B4A688E"/>
    <w:rsid w:val="4B887A3B"/>
    <w:rsid w:val="4BA01F00"/>
    <w:rsid w:val="4BFC0300"/>
    <w:rsid w:val="4C3203BD"/>
    <w:rsid w:val="4D0A3C16"/>
    <w:rsid w:val="4DB91852"/>
    <w:rsid w:val="4E2F21FC"/>
    <w:rsid w:val="4E914DCD"/>
    <w:rsid w:val="4EC54068"/>
    <w:rsid w:val="4EEB78AD"/>
    <w:rsid w:val="4F1B48B5"/>
    <w:rsid w:val="4F5C7641"/>
    <w:rsid w:val="4FE4490E"/>
    <w:rsid w:val="4FEB25CE"/>
    <w:rsid w:val="505A1DCF"/>
    <w:rsid w:val="50AC10B2"/>
    <w:rsid w:val="50F97801"/>
    <w:rsid w:val="518E6C16"/>
    <w:rsid w:val="51D6476D"/>
    <w:rsid w:val="51E22918"/>
    <w:rsid w:val="525F191F"/>
    <w:rsid w:val="528876FA"/>
    <w:rsid w:val="528E0058"/>
    <w:rsid w:val="52B35D02"/>
    <w:rsid w:val="53DB4BD2"/>
    <w:rsid w:val="545A2A92"/>
    <w:rsid w:val="54956A61"/>
    <w:rsid w:val="54B86CB1"/>
    <w:rsid w:val="56043E22"/>
    <w:rsid w:val="56587245"/>
    <w:rsid w:val="56C72A6A"/>
    <w:rsid w:val="56ED3A44"/>
    <w:rsid w:val="570D76FD"/>
    <w:rsid w:val="57232C18"/>
    <w:rsid w:val="574071D4"/>
    <w:rsid w:val="577907AD"/>
    <w:rsid w:val="57AC4010"/>
    <w:rsid w:val="57BD364F"/>
    <w:rsid w:val="57BF4F45"/>
    <w:rsid w:val="57D44B80"/>
    <w:rsid w:val="57F63119"/>
    <w:rsid w:val="57FB0ABB"/>
    <w:rsid w:val="580067F5"/>
    <w:rsid w:val="581F1385"/>
    <w:rsid w:val="582668F8"/>
    <w:rsid w:val="583A285A"/>
    <w:rsid w:val="59444724"/>
    <w:rsid w:val="59D00002"/>
    <w:rsid w:val="5AAE77AE"/>
    <w:rsid w:val="5ADF4A7D"/>
    <w:rsid w:val="5BEA2696"/>
    <w:rsid w:val="5C2000FF"/>
    <w:rsid w:val="5C854EC3"/>
    <w:rsid w:val="5D1A1111"/>
    <w:rsid w:val="5D4321C9"/>
    <w:rsid w:val="5D744BB7"/>
    <w:rsid w:val="5D8C69B1"/>
    <w:rsid w:val="5DDF3915"/>
    <w:rsid w:val="5E1D1D03"/>
    <w:rsid w:val="5E6C2AFE"/>
    <w:rsid w:val="5EAC3067"/>
    <w:rsid w:val="5EB33559"/>
    <w:rsid w:val="5EFB2294"/>
    <w:rsid w:val="5FC15FA3"/>
    <w:rsid w:val="610109CC"/>
    <w:rsid w:val="61347B72"/>
    <w:rsid w:val="61D81B4F"/>
    <w:rsid w:val="62017F19"/>
    <w:rsid w:val="623F0E8F"/>
    <w:rsid w:val="62B34769"/>
    <w:rsid w:val="62BC2E37"/>
    <w:rsid w:val="63392B8A"/>
    <w:rsid w:val="63426DDC"/>
    <w:rsid w:val="63634C73"/>
    <w:rsid w:val="63A45362"/>
    <w:rsid w:val="640867F5"/>
    <w:rsid w:val="643B43FF"/>
    <w:rsid w:val="64BC14F9"/>
    <w:rsid w:val="64BE5C38"/>
    <w:rsid w:val="65A24CFE"/>
    <w:rsid w:val="65E735C0"/>
    <w:rsid w:val="66475F7E"/>
    <w:rsid w:val="66CA4159"/>
    <w:rsid w:val="675A1405"/>
    <w:rsid w:val="675E5B0D"/>
    <w:rsid w:val="684D1B78"/>
    <w:rsid w:val="69551C37"/>
    <w:rsid w:val="6A1A11E8"/>
    <w:rsid w:val="6A3E603E"/>
    <w:rsid w:val="6A663FAA"/>
    <w:rsid w:val="6AA8686B"/>
    <w:rsid w:val="6B322BFB"/>
    <w:rsid w:val="6B793F59"/>
    <w:rsid w:val="6C3E176C"/>
    <w:rsid w:val="6C517897"/>
    <w:rsid w:val="6C8E3156"/>
    <w:rsid w:val="6CC77584"/>
    <w:rsid w:val="6CD27ACC"/>
    <w:rsid w:val="6D2F5216"/>
    <w:rsid w:val="6D46104D"/>
    <w:rsid w:val="6DC0697E"/>
    <w:rsid w:val="6DF26379"/>
    <w:rsid w:val="6EE86DC9"/>
    <w:rsid w:val="6F85678A"/>
    <w:rsid w:val="6FBD53B3"/>
    <w:rsid w:val="6FBD560B"/>
    <w:rsid w:val="70061C2A"/>
    <w:rsid w:val="70EC78A0"/>
    <w:rsid w:val="70EE2992"/>
    <w:rsid w:val="71231263"/>
    <w:rsid w:val="71760302"/>
    <w:rsid w:val="717A20DD"/>
    <w:rsid w:val="71F32C8C"/>
    <w:rsid w:val="72A70BD6"/>
    <w:rsid w:val="72DC4CA0"/>
    <w:rsid w:val="73416282"/>
    <w:rsid w:val="736A504E"/>
    <w:rsid w:val="7379050D"/>
    <w:rsid w:val="73820AF3"/>
    <w:rsid w:val="74F72032"/>
    <w:rsid w:val="75152E3D"/>
    <w:rsid w:val="76DF3FD5"/>
    <w:rsid w:val="76F15F27"/>
    <w:rsid w:val="778271A2"/>
    <w:rsid w:val="77B128E5"/>
    <w:rsid w:val="77FE1A9D"/>
    <w:rsid w:val="7857311B"/>
    <w:rsid w:val="789A4E06"/>
    <w:rsid w:val="78A84624"/>
    <w:rsid w:val="78C8516E"/>
    <w:rsid w:val="78DB7C14"/>
    <w:rsid w:val="793348F2"/>
    <w:rsid w:val="7941191B"/>
    <w:rsid w:val="794D7F6F"/>
    <w:rsid w:val="795C55FC"/>
    <w:rsid w:val="79661E7C"/>
    <w:rsid w:val="79CD2DCD"/>
    <w:rsid w:val="79D3632A"/>
    <w:rsid w:val="7B6D60FF"/>
    <w:rsid w:val="7B95301A"/>
    <w:rsid w:val="7BF23863"/>
    <w:rsid w:val="7C096C72"/>
    <w:rsid w:val="7C23065B"/>
    <w:rsid w:val="7C3C0DB5"/>
    <w:rsid w:val="7C9B5C95"/>
    <w:rsid w:val="7C9E48BB"/>
    <w:rsid w:val="7D0C130F"/>
    <w:rsid w:val="7D1325B7"/>
    <w:rsid w:val="7DA55AAA"/>
    <w:rsid w:val="7DC0573A"/>
    <w:rsid w:val="7E807FF2"/>
    <w:rsid w:val="7EE9377F"/>
    <w:rsid w:val="7F12619E"/>
    <w:rsid w:val="7FC82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8">
    <w:name w:val="p0"/>
    <w:basedOn w:val="1"/>
    <w:qFormat/>
    <w:uiPriority w:val="0"/>
    <w:pPr>
      <w:widowControl/>
    </w:pPr>
    <w:rPr>
      <w:rFonts w:ascii="Calibri" w:hAnsi="Calibri" w:cs="宋体"/>
      <w:kern w:val="0"/>
      <w:szCs w:val="21"/>
    </w:rPr>
  </w:style>
  <w:style w:type="paragraph" w:customStyle="1" w:styleId="9">
    <w:name w:val="pa-4"/>
    <w:basedOn w:val="1"/>
    <w:qFormat/>
    <w:uiPriority w:val="0"/>
    <w:pPr>
      <w:widowControl/>
      <w:spacing w:line="360" w:lineRule="atLeast"/>
      <w:ind w:firstLine="640"/>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德宏州盈江县党政机关单位</Company>
  <Pages>15</Pages>
  <Words>1121</Words>
  <Characters>6392</Characters>
  <Lines>53</Lines>
  <Paragraphs>14</Paragraphs>
  <TotalTime>6</TotalTime>
  <ScaleCrop>false</ScaleCrop>
  <LinksUpToDate>false</LinksUpToDate>
  <CharactersWithSpaces>7499</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2018-06-15T08:39:00Z</dcterms:created>
  <dc:creator>yph</dc:creator>
  <cp:lastModifiedBy>Administrator</cp:lastModifiedBy>
  <cp:lastPrinted>2018-07-03T12:27:00Z</cp:lastPrinted>
  <dcterms:modified xsi:type="dcterms:W3CDTF">2023-07-19T08:16:20Z</dcterms:modified>
  <dc:title>部门决算公开培训资料</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