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D7DAD">
      <w:pPr>
        <w:spacing w:line="220" w:lineRule="atLeas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贯彻落实《关于进一步推进移风易俗建设文明乡风的指导意见》任务清单</w:t>
      </w:r>
    </w:p>
    <w:tbl>
      <w:tblPr>
        <w:tblStyle w:val="3"/>
        <w:tblW w:w="15855" w:type="dxa"/>
        <w:tblInd w:w="-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50"/>
        <w:gridCol w:w="8250"/>
        <w:gridCol w:w="3405"/>
        <w:gridCol w:w="990"/>
        <w:gridCol w:w="1005"/>
      </w:tblGrid>
      <w:tr w14:paraId="4DE5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55" w:type="dxa"/>
            <w:vAlign w:val="center"/>
          </w:tcPr>
          <w:p w14:paraId="28B9F4E1">
            <w:pPr>
              <w:widowControl w:val="0"/>
              <w:spacing w:line="220" w:lineRule="atLeast"/>
              <w:jc w:val="center"/>
              <w:rPr>
                <w:rFonts w:hint="eastAsia" w:ascii="方正小标宋_GBK" w:hAnsi="方正小标宋_GBK" w:eastAsia="方正小标宋_GBK" w:cs="方正小标宋_GBK"/>
                <w:sz w:val="30"/>
                <w:szCs w:val="30"/>
                <w:vertAlign w:val="baseline"/>
                <w:lang w:val="en-US" w:eastAsia="zh-CN"/>
              </w:rPr>
            </w:pPr>
            <w:r>
              <w:rPr>
                <w:rFonts w:hint="eastAsia" w:ascii="方正小标宋_GBK" w:hAnsi="方正小标宋_GBK" w:eastAsia="方正小标宋_GBK" w:cs="方正小标宋_GBK"/>
                <w:sz w:val="30"/>
                <w:szCs w:val="30"/>
                <w:vertAlign w:val="baseline"/>
                <w:lang w:val="en-US" w:eastAsia="zh-CN"/>
              </w:rPr>
              <w:t>序号</w:t>
            </w:r>
          </w:p>
        </w:tc>
        <w:tc>
          <w:tcPr>
            <w:tcW w:w="9600" w:type="dxa"/>
            <w:gridSpan w:val="2"/>
            <w:vAlign w:val="center"/>
          </w:tcPr>
          <w:p w14:paraId="3F8592FB">
            <w:pPr>
              <w:widowControl w:val="0"/>
              <w:spacing w:line="220" w:lineRule="atLeast"/>
              <w:jc w:val="center"/>
              <w:rPr>
                <w:rFonts w:hint="eastAsia" w:ascii="方正小标宋_GBK" w:hAnsi="方正小标宋_GBK" w:eastAsia="方正小标宋_GBK" w:cs="方正小标宋_GBK"/>
                <w:sz w:val="30"/>
                <w:szCs w:val="30"/>
                <w:vertAlign w:val="baseline"/>
              </w:rPr>
            </w:pPr>
            <w:r>
              <w:rPr>
                <w:rFonts w:hint="eastAsia" w:ascii="方正小标宋_GBK" w:hAnsi="方正小标宋_GBK" w:eastAsia="方正小标宋_GBK" w:cs="方正小标宋_GBK"/>
                <w:sz w:val="30"/>
                <w:szCs w:val="30"/>
                <w:vertAlign w:val="baseline"/>
              </w:rPr>
              <w:t>工作任务内容</w:t>
            </w:r>
          </w:p>
        </w:tc>
        <w:tc>
          <w:tcPr>
            <w:tcW w:w="3405" w:type="dxa"/>
            <w:vAlign w:val="center"/>
          </w:tcPr>
          <w:p w14:paraId="4840091A">
            <w:pPr>
              <w:widowControl w:val="0"/>
              <w:spacing w:line="220" w:lineRule="atLeast"/>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sz w:val="30"/>
                <w:szCs w:val="30"/>
                <w:vertAlign w:val="baseline"/>
                <w:lang w:eastAsia="zh-CN"/>
              </w:rPr>
              <w:t>责任单位</w:t>
            </w:r>
          </w:p>
        </w:tc>
        <w:tc>
          <w:tcPr>
            <w:tcW w:w="990" w:type="dxa"/>
            <w:vAlign w:val="center"/>
          </w:tcPr>
          <w:p w14:paraId="08C0C910">
            <w:pPr>
              <w:widowControl w:val="0"/>
              <w:spacing w:line="220" w:lineRule="atLeast"/>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sz w:val="30"/>
                <w:szCs w:val="30"/>
                <w:vertAlign w:val="baseline"/>
                <w:lang w:eastAsia="zh-CN"/>
              </w:rPr>
              <w:t>完成时间</w:t>
            </w:r>
          </w:p>
        </w:tc>
        <w:tc>
          <w:tcPr>
            <w:tcW w:w="1005" w:type="dxa"/>
            <w:vAlign w:val="center"/>
          </w:tcPr>
          <w:p w14:paraId="34373158">
            <w:pPr>
              <w:widowControl w:val="0"/>
              <w:spacing w:line="220" w:lineRule="atLeast"/>
              <w:jc w:val="center"/>
              <w:rPr>
                <w:rFonts w:hint="eastAsia" w:ascii="方正小标宋_GBK" w:hAnsi="方正小标宋_GBK" w:eastAsia="方正小标宋_GBK" w:cs="方正小标宋_GBK"/>
                <w:sz w:val="30"/>
                <w:szCs w:val="30"/>
                <w:vertAlign w:val="baseline"/>
                <w:lang w:eastAsia="zh-CN"/>
              </w:rPr>
            </w:pPr>
            <w:r>
              <w:rPr>
                <w:rFonts w:hint="eastAsia" w:ascii="方正小标宋_GBK" w:hAnsi="方正小标宋_GBK" w:eastAsia="方正小标宋_GBK" w:cs="方正小标宋_GBK"/>
                <w:sz w:val="30"/>
                <w:szCs w:val="30"/>
                <w:vertAlign w:val="baseline"/>
                <w:lang w:eastAsia="zh-CN"/>
              </w:rPr>
              <w:t>责任领导</w:t>
            </w:r>
          </w:p>
        </w:tc>
      </w:tr>
      <w:tr w14:paraId="44C8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855" w:type="dxa"/>
            <w:vAlign w:val="center"/>
          </w:tcPr>
          <w:p w14:paraId="1238EF53">
            <w:pPr>
              <w:widowControl w:val="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350" w:type="dxa"/>
            <w:vAlign w:val="center"/>
          </w:tcPr>
          <w:p w14:paraId="6738EC0E">
            <w:pPr>
              <w:widowControl w:val="0"/>
              <w:jc w:val="center"/>
              <w:rPr>
                <w:rFonts w:hint="eastAsia" w:ascii="方正小标宋_GBK" w:hAnsi="方正小标宋_GBK" w:eastAsia="方正小标宋_GBK" w:cs="方正小标宋_GBK"/>
                <w:sz w:val="21"/>
                <w:szCs w:val="21"/>
                <w:vertAlign w:val="baseline"/>
              </w:rPr>
            </w:pPr>
            <w:r>
              <w:rPr>
                <w:rFonts w:hint="eastAsia" w:ascii="方正仿宋_GBK" w:hAnsi="方正仿宋_GBK" w:eastAsia="方正仿宋_GBK" w:cs="方正仿宋_GBK"/>
                <w:sz w:val="21"/>
                <w:szCs w:val="21"/>
                <w:vertAlign w:val="baseline"/>
              </w:rPr>
              <w:t>支持依据村规民约采取约束性措施</w:t>
            </w:r>
          </w:p>
        </w:tc>
        <w:tc>
          <w:tcPr>
            <w:tcW w:w="8250" w:type="dxa"/>
            <w:vAlign w:val="top"/>
          </w:tcPr>
          <w:p w14:paraId="5DDAFB31">
            <w:pPr>
              <w:widowControl w:val="0"/>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1</w:t>
            </w:r>
            <w:r>
              <w:rPr>
                <w:rFonts w:hint="eastAsia" w:ascii="方正仿宋_GBK" w:hAnsi="方正仿宋_GBK" w:eastAsia="方正仿宋_GBK" w:cs="方正仿宋_GBK"/>
                <w:sz w:val="21"/>
                <w:szCs w:val="21"/>
                <w:vertAlign w:val="baseline"/>
                <w:lang w:eastAsia="zh-CN"/>
              </w:rPr>
              <w:t>.</w:t>
            </w:r>
            <w:r>
              <w:rPr>
                <w:rFonts w:hint="eastAsia" w:ascii="方正仿宋_GBK" w:hAnsi="方正仿宋_GBK" w:eastAsia="方正仿宋_GBK" w:cs="方正仿宋_GBK"/>
                <w:sz w:val="21"/>
                <w:szCs w:val="21"/>
                <w:vertAlign w:val="baseline"/>
              </w:rPr>
              <w:t>县乡两级党委和政府要指导制定或修订村规民约，弘扬时代文明新风，充实婚事新办、丧事简办、孝老爱亲等移风易俗内容。</w:t>
            </w:r>
          </w:p>
          <w:p w14:paraId="12E723A6">
            <w:pPr>
              <w:widowControl w:val="0"/>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2</w:t>
            </w:r>
            <w:r>
              <w:rPr>
                <w:rFonts w:hint="eastAsia" w:ascii="方正仿宋_GBK" w:hAnsi="方正仿宋_GBK" w:eastAsia="方正仿宋_GBK" w:cs="方正仿宋_GBK"/>
                <w:sz w:val="21"/>
                <w:szCs w:val="21"/>
                <w:vertAlign w:val="baseline"/>
                <w:lang w:eastAsia="zh-CN"/>
              </w:rPr>
              <w:t>.</w:t>
            </w:r>
            <w:r>
              <w:rPr>
                <w:rFonts w:hint="eastAsia" w:ascii="方正仿宋_GBK" w:hAnsi="方正仿宋_GBK" w:eastAsia="方正仿宋_GBK" w:cs="方正仿宋_GBK"/>
                <w:sz w:val="21"/>
                <w:szCs w:val="21"/>
                <w:vertAlign w:val="baseline"/>
              </w:rPr>
              <w:t>在村党组织统一领导下，引导和鼓励村民委员会严格按照村民委员会组织法等有关法律法规和规定，完整履行村民自治等程序，出合具体约束性措施，对红白喜事大操大办、不赡养老人等进行治理。</w:t>
            </w:r>
          </w:p>
        </w:tc>
        <w:tc>
          <w:tcPr>
            <w:tcW w:w="3405" w:type="dxa"/>
            <w:vAlign w:val="top"/>
          </w:tcPr>
          <w:p w14:paraId="2211D618">
            <w:pPr>
              <w:widowControl w:val="0"/>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牵头单位：省民政厅、省委农办、省农业农村厅；参加单位：省委组织部、省文明办、省委政法委、省民族宗教委、省司法厅、省财政厅、省文化和旅游厅、团省委、省妇联；各州（市）落实</w:t>
            </w:r>
          </w:p>
        </w:tc>
        <w:tc>
          <w:tcPr>
            <w:tcW w:w="990" w:type="dxa"/>
            <w:vAlign w:val="center"/>
          </w:tcPr>
          <w:p w14:paraId="18ADB684">
            <w:pPr>
              <w:widowControl w:val="0"/>
              <w:jc w:val="both"/>
              <w:rPr>
                <w:rFonts w:hint="default" w:ascii="方正仿宋_GBK" w:hAnsi="方正仿宋_GBK" w:eastAsia="方正仿宋_GBK" w:cs="方正仿宋_GBK"/>
                <w:sz w:val="21"/>
                <w:szCs w:val="21"/>
                <w:vertAlign w:val="baseline"/>
                <w:lang w:val="en-US" w:eastAsia="zh-CN"/>
              </w:rPr>
            </w:pPr>
          </w:p>
        </w:tc>
        <w:tc>
          <w:tcPr>
            <w:tcW w:w="1005" w:type="dxa"/>
            <w:vAlign w:val="center"/>
          </w:tcPr>
          <w:p w14:paraId="031A1557">
            <w:pPr>
              <w:widowControl w:val="0"/>
              <w:jc w:val="both"/>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蔺应宽</w:t>
            </w:r>
          </w:p>
        </w:tc>
      </w:tr>
      <w:tr w14:paraId="443A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55" w:type="dxa"/>
            <w:vAlign w:val="center"/>
          </w:tcPr>
          <w:p w14:paraId="5C33E597">
            <w:pPr>
              <w:widowControl w:val="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350" w:type="dxa"/>
            <w:vAlign w:val="center"/>
          </w:tcPr>
          <w:p w14:paraId="21A8F5DA">
            <w:pPr>
              <w:widowControl w:val="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发挥农村基层群众组织作用</w:t>
            </w:r>
          </w:p>
        </w:tc>
        <w:tc>
          <w:tcPr>
            <w:tcW w:w="8250" w:type="dxa"/>
          </w:tcPr>
          <w:p w14:paraId="6F0F6001">
            <w:pPr>
              <w:widowControl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1.完善组织章程和各项制度，广泛开展议事协商，规范村内红白理事会、老年人协会、村民议事会、道德评议会等群众组织运行，积极组织开展婚丧嫁娶服务、邻里互助和基层群众道德评议等活动。</w:t>
            </w:r>
          </w:p>
          <w:p w14:paraId="3BECAC3B">
            <w:pPr>
              <w:widowControl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2.在推选农村基层群众组织负责人时，要邀请乡贤、先进人物、婚事丧事操办人、敬老爱老机构人员和敬老爱老模范等人员参与。</w:t>
            </w:r>
          </w:p>
        </w:tc>
        <w:tc>
          <w:tcPr>
            <w:tcW w:w="3405" w:type="dxa"/>
          </w:tcPr>
          <w:p w14:paraId="48181382">
            <w:pPr>
              <w:widowControl w:val="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牵头单位：省民政厅、省委组织部；参加单位：省文明办、省人力资源社会保障厅、省农业农村厅、省文化旅游厅、团省委、省妇联；各州（市）落实</w:t>
            </w:r>
          </w:p>
        </w:tc>
        <w:tc>
          <w:tcPr>
            <w:tcW w:w="990" w:type="dxa"/>
            <w:vAlign w:val="center"/>
          </w:tcPr>
          <w:p w14:paraId="67B4B44C">
            <w:pPr>
              <w:widowControl w:val="0"/>
              <w:jc w:val="center"/>
              <w:rPr>
                <w:rFonts w:hint="eastAsia" w:ascii="方正仿宋_GBK" w:hAnsi="方正仿宋_GBK" w:eastAsia="方正仿宋_GBK" w:cs="方正仿宋_GBK"/>
                <w:sz w:val="21"/>
                <w:szCs w:val="21"/>
                <w:vertAlign w:val="baseline"/>
                <w:lang w:val="en-US" w:eastAsia="zh-CN"/>
              </w:rPr>
            </w:pPr>
          </w:p>
        </w:tc>
        <w:tc>
          <w:tcPr>
            <w:tcW w:w="1005" w:type="dxa"/>
            <w:vAlign w:val="center"/>
          </w:tcPr>
          <w:p w14:paraId="6741A14B">
            <w:pPr>
              <w:widowControl w:val="0"/>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eastAsia="zh-CN"/>
              </w:rPr>
              <w:t>蔺应宽</w:t>
            </w:r>
          </w:p>
        </w:tc>
      </w:tr>
      <w:tr w14:paraId="42D5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51C3B24">
            <w:pPr>
              <w:widowControl w:val="0"/>
              <w:spacing w:line="220" w:lineRule="atLeast"/>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1350" w:type="dxa"/>
            <w:vAlign w:val="center"/>
          </w:tcPr>
          <w:p w14:paraId="11309187">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加强舆论引导</w:t>
            </w:r>
          </w:p>
        </w:tc>
        <w:tc>
          <w:tcPr>
            <w:tcW w:w="8250" w:type="dxa"/>
          </w:tcPr>
          <w:p w14:paraId="3ACEF899">
            <w:pPr>
              <w:widowControl w:val="0"/>
              <w:spacing w:line="220" w:lineRule="atLeast"/>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各级各类新闻媒体，特别是县级融媒体中心、乡镇政务场所、农村集市、村务公开栏、村大喇叭、村文化墙等要广泛深入报道婚事新办、丧事简办、孝老爱亲的事迹，用身边事教育身边人，积极引导树立正确婚丧观和弘扬中华传统美德。</w:t>
            </w:r>
          </w:p>
          <w:p w14:paraId="6F3EC4A0">
            <w:pPr>
              <w:widowControl w:val="0"/>
              <w:spacing w:line="220" w:lineRule="atLeast"/>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2.针对性地开展舆论监督，树立良好家风，弘扬家庭美德，坚决抵制婚丧陋习、天价彩礼、孝道式微和老无所养等不良社会风气。</w:t>
            </w:r>
          </w:p>
        </w:tc>
        <w:tc>
          <w:tcPr>
            <w:tcW w:w="3405" w:type="dxa"/>
          </w:tcPr>
          <w:p w14:paraId="5862FD35">
            <w:pPr>
              <w:widowControl w:val="0"/>
              <w:spacing w:line="220" w:lineRule="atLeast"/>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牵头单位：省委宣传部；参加单位：省文明办、省农业农村厅、省文化和旅游厅、省广电局；各州（市）落实</w:t>
            </w:r>
          </w:p>
          <w:p w14:paraId="72FF509C">
            <w:pPr>
              <w:widowControl w:val="0"/>
              <w:spacing w:line="220" w:lineRule="atLeast"/>
              <w:jc w:val="both"/>
              <w:rPr>
                <w:rFonts w:hint="eastAsia" w:ascii="方正仿宋_GBK" w:hAnsi="方正仿宋_GBK" w:eastAsia="方正仿宋_GBK" w:cs="方正仿宋_GBK"/>
                <w:sz w:val="21"/>
                <w:szCs w:val="21"/>
                <w:vertAlign w:val="baseline"/>
                <w:lang w:val="en-US" w:eastAsia="zh-CN"/>
              </w:rPr>
            </w:pPr>
          </w:p>
        </w:tc>
        <w:tc>
          <w:tcPr>
            <w:tcW w:w="990" w:type="dxa"/>
            <w:vAlign w:val="center"/>
          </w:tcPr>
          <w:p w14:paraId="08350547">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p>
        </w:tc>
        <w:tc>
          <w:tcPr>
            <w:tcW w:w="1005" w:type="dxa"/>
            <w:vAlign w:val="center"/>
          </w:tcPr>
          <w:p w14:paraId="24A0045C">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金果双</w:t>
            </w:r>
          </w:p>
        </w:tc>
      </w:tr>
      <w:tr w14:paraId="649A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11699168">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1350" w:type="dxa"/>
            <w:vAlign w:val="center"/>
          </w:tcPr>
          <w:p w14:paraId="0CE94311">
            <w:pPr>
              <w:widowControl w:val="0"/>
              <w:numPr>
                <w:ilvl w:val="0"/>
                <w:numId w:val="0"/>
              </w:num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广泛开展道德教育</w:t>
            </w:r>
          </w:p>
        </w:tc>
        <w:tc>
          <w:tcPr>
            <w:tcW w:w="8250" w:type="dxa"/>
          </w:tcPr>
          <w:p w14:paraId="5BC12292">
            <w:pPr>
              <w:widowControl w:val="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lang w:eastAsia="zh-CN"/>
              </w:rPr>
              <w:t>把道德教育作为新时代文明实践中心的重要工作，调动各方，统筹推进，加强道德宣讲团等道德文化阵地建设，引导农民爱党爱国、向上向善、孝老爱亲、重义守信、勤俭持家。</w:t>
            </w:r>
          </w:p>
          <w:p w14:paraId="530E42E9">
            <w:pPr>
              <w:widowControl w:val="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color w:val="0000FF"/>
                <w:sz w:val="21"/>
                <w:szCs w:val="21"/>
                <w:lang w:eastAsia="zh-CN"/>
              </w:rPr>
              <w:t>充分发挥共青团、妇联等群团组织作用，加强青年婚育观教育</w:t>
            </w:r>
            <w:r>
              <w:rPr>
                <w:rFonts w:hint="eastAsia" w:ascii="方正仿宋_GBK" w:hAnsi="方正仿宋_GBK" w:eastAsia="方正仿宋_GBK" w:cs="方正仿宋_GBK"/>
                <w:sz w:val="21"/>
                <w:szCs w:val="21"/>
                <w:lang w:eastAsia="zh-CN"/>
              </w:rPr>
              <w:t>。</w:t>
            </w:r>
          </w:p>
          <w:p w14:paraId="6D5968ED">
            <w:pPr>
              <w:widowControl w:val="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3.强化家庭、学校主体责任，让良好道德观贯穿始终，让中华传统美德成为公民素养。</w:t>
            </w:r>
          </w:p>
          <w:p w14:paraId="399D4EE0">
            <w:pPr>
              <w:widowControl w:val="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4.充分发挥农村老党员、老干部和各类人才作用，用嘉言懿行垂范乡里、影响群众。</w:t>
            </w:r>
          </w:p>
          <w:p w14:paraId="772309A2">
            <w:pPr>
              <w:widowControl w:val="0"/>
              <w:jc w:val="both"/>
              <w:rPr>
                <w:rFonts w:hint="eastAsia" w:ascii="方正仿宋_GBK" w:hAnsi="方正仿宋_GBK" w:eastAsia="方正仿宋_GBK" w:cs="方正仿宋_GBK"/>
                <w:sz w:val="21"/>
                <w:szCs w:val="21"/>
                <w:lang w:eastAsia="zh-CN"/>
              </w:rPr>
            </w:pPr>
          </w:p>
        </w:tc>
        <w:tc>
          <w:tcPr>
            <w:tcW w:w="3405" w:type="dxa"/>
          </w:tcPr>
          <w:p w14:paraId="06B3C3BD">
            <w:pPr>
              <w:widowControl w:val="0"/>
              <w:numPr>
                <w:ilvl w:val="0"/>
                <w:numId w:val="0"/>
              </w:num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牵头单位：省文明办；参加单位：省委组织部、省委宣传部、省教育厅、省农业农村厅、省文化和旅游厅、团省委、省妇联；各州（市）落</w:t>
            </w:r>
          </w:p>
        </w:tc>
        <w:tc>
          <w:tcPr>
            <w:tcW w:w="990" w:type="dxa"/>
            <w:vAlign w:val="center"/>
          </w:tcPr>
          <w:p w14:paraId="4D982037">
            <w:pPr>
              <w:widowControl w:val="0"/>
              <w:spacing w:line="220" w:lineRule="atLeast"/>
              <w:jc w:val="center"/>
              <w:rPr>
                <w:rFonts w:hint="eastAsia" w:ascii="方正仿宋_GBK" w:hAnsi="方正仿宋_GBK" w:eastAsia="方正仿宋_GBK" w:cs="方正仿宋_GBK"/>
                <w:sz w:val="21"/>
                <w:szCs w:val="21"/>
                <w:vertAlign w:val="baseline"/>
                <w:lang w:val="en-US" w:eastAsia="zh-CN" w:bidi="ar-SA"/>
              </w:rPr>
            </w:pPr>
          </w:p>
        </w:tc>
        <w:tc>
          <w:tcPr>
            <w:tcW w:w="1005" w:type="dxa"/>
            <w:vAlign w:val="center"/>
          </w:tcPr>
          <w:p w14:paraId="79193F15">
            <w:pPr>
              <w:widowControl w:val="0"/>
              <w:spacing w:line="220" w:lineRule="atLeast"/>
              <w:jc w:val="center"/>
              <w:rPr>
                <w:rFonts w:hint="eastAsia" w:ascii="方正仿宋_GBK" w:hAnsi="方正仿宋_GBK" w:eastAsia="方正仿宋_GBK" w:cs="方正仿宋_GBK"/>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金果双</w:t>
            </w:r>
          </w:p>
        </w:tc>
      </w:tr>
      <w:tr w14:paraId="00F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FAFD5E1">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1350" w:type="dxa"/>
            <w:vAlign w:val="center"/>
          </w:tcPr>
          <w:p w14:paraId="4609F21B">
            <w:pPr>
              <w:widowControl w:val="0"/>
              <w:numPr>
                <w:ilvl w:val="0"/>
                <w:numId w:val="0"/>
              </w:num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发挥文化传承和浸润作用</w:t>
            </w:r>
          </w:p>
        </w:tc>
        <w:tc>
          <w:tcPr>
            <w:tcW w:w="8250" w:type="dxa"/>
          </w:tcPr>
          <w:p w14:paraId="2040C807">
            <w:pPr>
              <w:widowControl w:val="0"/>
              <w:numPr>
                <w:ilvl w:val="0"/>
                <w:numId w:val="1"/>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推动中国特色社会主义文化融入农村社会思想道德教育、文化知识教育和社会实践各环节。</w:t>
            </w:r>
          </w:p>
          <w:p w14:paraId="4D58507C">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2.丰富农村地区公共文化产品和服务供给，把弘扬正确婚丧观和中华传统美德列为文化下乡活动重要内容，规范文艺演出参与婚庆和丧事活动。</w:t>
            </w:r>
          </w:p>
          <w:p w14:paraId="52E8D73A">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3.加强对历史遗迹、革命遗迹、传统村落、少数民族特色村镇、少数民族村落、传统建筑等历史文化遗产的保护，努力保存文化传承的载体和环境。</w:t>
            </w:r>
          </w:p>
          <w:p w14:paraId="26CD27D5">
            <w:pPr>
              <w:widowControl w:val="0"/>
              <w:numPr>
                <w:ilvl w:val="0"/>
                <w:numId w:val="0"/>
              </w:numPr>
              <w:jc w:val="both"/>
              <w:rPr>
                <w:rFonts w:hint="eastAsia" w:ascii="方正仿宋_GBK" w:hAnsi="方正仿宋_GBK" w:eastAsia="方正仿宋_GBK" w:cs="方正仿宋_GBK"/>
                <w:sz w:val="21"/>
                <w:szCs w:val="21"/>
                <w:lang w:eastAsia="zh-CN"/>
              </w:rPr>
            </w:pPr>
          </w:p>
        </w:tc>
        <w:tc>
          <w:tcPr>
            <w:tcW w:w="3405" w:type="dxa"/>
          </w:tcPr>
          <w:p w14:paraId="09AF010F">
            <w:pPr>
              <w:widowControl w:val="0"/>
              <w:spacing w:line="220" w:lineRule="atLeast"/>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牵头单位：省委宣传部、省文化和旅游厅；参加单位：省委统战部、省文明办、省教育厅、省民族宗教委、省住房城乡建设厅、省农业农村厅、省文物局、省文联；各州（市）落实</w:t>
            </w:r>
          </w:p>
        </w:tc>
        <w:tc>
          <w:tcPr>
            <w:tcW w:w="990" w:type="dxa"/>
            <w:vAlign w:val="center"/>
          </w:tcPr>
          <w:p w14:paraId="2CDD27F6">
            <w:pPr>
              <w:widowControl w:val="0"/>
              <w:spacing w:line="220" w:lineRule="atLeast"/>
              <w:jc w:val="center"/>
              <w:rPr>
                <w:rFonts w:hint="eastAsia" w:ascii="方正仿宋_GBK" w:hAnsi="方正仿宋_GBK" w:eastAsia="方正仿宋_GBK" w:cs="方正仿宋_GBK"/>
                <w:sz w:val="21"/>
                <w:szCs w:val="21"/>
                <w:vertAlign w:val="baseline"/>
              </w:rPr>
            </w:pPr>
          </w:p>
        </w:tc>
        <w:tc>
          <w:tcPr>
            <w:tcW w:w="1005" w:type="dxa"/>
            <w:vAlign w:val="center"/>
          </w:tcPr>
          <w:p w14:paraId="17640DE8">
            <w:pPr>
              <w:widowControl w:val="0"/>
              <w:spacing w:line="220" w:lineRule="atLeast"/>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金果双</w:t>
            </w:r>
          </w:p>
        </w:tc>
      </w:tr>
      <w:tr w14:paraId="4F0C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5FB8F021">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1350" w:type="dxa"/>
            <w:vAlign w:val="center"/>
          </w:tcPr>
          <w:p w14:paraId="55915054">
            <w:pPr>
              <w:widowControl w:val="0"/>
              <w:numPr>
                <w:ilvl w:val="0"/>
                <w:numId w:val="0"/>
              </w:num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以党风政风引领农村新风</w:t>
            </w:r>
          </w:p>
        </w:tc>
        <w:tc>
          <w:tcPr>
            <w:tcW w:w="8250" w:type="dxa"/>
          </w:tcPr>
          <w:p w14:paraId="6BD0A5B1">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1各级领导干部要在移风易俗中以身作则、率先垂范，党员干部要发挥好模范带头作用。</w:t>
            </w:r>
          </w:p>
          <w:p w14:paraId="3DDF5130">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2健全完善相关制度规定，对违规违纪行为严肃处理。</w:t>
            </w:r>
          </w:p>
          <w:p w14:paraId="01B5B012">
            <w:pPr>
              <w:widowControl w:val="0"/>
              <w:spacing w:line="220" w:lineRule="atLeast"/>
              <w:jc w:val="both"/>
              <w:rPr>
                <w:rFonts w:hint="eastAsia" w:ascii="方正仿宋_GBK" w:hAnsi="方正仿宋_GBK" w:eastAsia="方正仿宋_GBK" w:cs="方正仿宋_GBK"/>
                <w:sz w:val="21"/>
                <w:szCs w:val="21"/>
                <w:vertAlign w:val="baseline"/>
              </w:rPr>
            </w:pPr>
          </w:p>
        </w:tc>
        <w:tc>
          <w:tcPr>
            <w:tcW w:w="3405" w:type="dxa"/>
          </w:tcPr>
          <w:p w14:paraId="13790BAF">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责任单位：省纪委监委、省委组织部、省文明办、省委农办、省民政厅、省农业农村厅等按职责分工负</w:t>
            </w:r>
            <w:r>
              <w:rPr>
                <w:rFonts w:hint="eastAsia" w:ascii="方正仿宋_GBK" w:hAnsi="方正仿宋_GBK" w:eastAsia="方正仿宋_GBK" w:cs="方正仿宋_GBK"/>
                <w:sz w:val="21"/>
                <w:szCs w:val="21"/>
                <w:lang w:val="en-US" w:eastAsia="zh-CN"/>
              </w:rPr>
              <w:t>责</w:t>
            </w:r>
            <w:bookmarkStart w:id="0" w:name="_GoBack"/>
            <w:bookmarkEnd w:id="0"/>
            <w:r>
              <w:rPr>
                <w:rFonts w:hint="eastAsia" w:ascii="方正仿宋_GBK" w:hAnsi="方正仿宋_GBK" w:eastAsia="方正仿宋_GBK" w:cs="方正仿宋_GBK"/>
                <w:sz w:val="21"/>
                <w:szCs w:val="21"/>
                <w:lang w:eastAsia="zh-CN"/>
              </w:rPr>
              <w:t>；各州(市)落实</w:t>
            </w:r>
          </w:p>
          <w:p w14:paraId="4DBC2EF1">
            <w:pPr>
              <w:widowControl w:val="0"/>
              <w:spacing w:line="220" w:lineRule="atLeast"/>
              <w:jc w:val="both"/>
              <w:rPr>
                <w:rFonts w:hint="eastAsia" w:ascii="方正仿宋_GBK" w:hAnsi="方正仿宋_GBK" w:eastAsia="方正仿宋_GBK" w:cs="方正仿宋_GBK"/>
                <w:sz w:val="21"/>
                <w:szCs w:val="21"/>
                <w:vertAlign w:val="baseline"/>
              </w:rPr>
            </w:pPr>
          </w:p>
        </w:tc>
        <w:tc>
          <w:tcPr>
            <w:tcW w:w="990" w:type="dxa"/>
            <w:vAlign w:val="center"/>
          </w:tcPr>
          <w:p w14:paraId="577C670C">
            <w:pPr>
              <w:widowControl w:val="0"/>
              <w:spacing w:line="220" w:lineRule="atLeast"/>
              <w:jc w:val="center"/>
              <w:rPr>
                <w:rFonts w:hint="eastAsia" w:ascii="方正仿宋_GBK" w:hAnsi="方正仿宋_GBK" w:eastAsia="方正仿宋_GBK" w:cs="方正仿宋_GBK"/>
                <w:sz w:val="21"/>
                <w:szCs w:val="21"/>
                <w:vertAlign w:val="baseline"/>
                <w:lang w:val="en-US" w:eastAsia="zh-CN" w:bidi="ar-SA"/>
              </w:rPr>
            </w:pPr>
          </w:p>
        </w:tc>
        <w:tc>
          <w:tcPr>
            <w:tcW w:w="1005" w:type="dxa"/>
            <w:vAlign w:val="center"/>
          </w:tcPr>
          <w:p w14:paraId="2032DF44">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孙晓明</w:t>
            </w:r>
          </w:p>
        </w:tc>
      </w:tr>
      <w:tr w14:paraId="3136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9F46120">
            <w:pPr>
              <w:widowControl w:val="0"/>
              <w:spacing w:line="220" w:lineRule="atLeast"/>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p>
        </w:tc>
        <w:tc>
          <w:tcPr>
            <w:tcW w:w="1350" w:type="dxa"/>
            <w:vAlign w:val="center"/>
          </w:tcPr>
          <w:p w14:paraId="11281A87">
            <w:pPr>
              <w:widowControl w:val="0"/>
              <w:numPr>
                <w:ilvl w:val="0"/>
                <w:numId w:val="0"/>
              </w:num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营造弘扬文明乡风的实践氛围</w:t>
            </w:r>
          </w:p>
        </w:tc>
        <w:tc>
          <w:tcPr>
            <w:tcW w:w="8250" w:type="dxa"/>
          </w:tcPr>
          <w:p w14:paraId="5B2D8A90">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1.广泛开展“敬老月”、“雷锋日”、“小手拉大手”等相关主题实践活动。重视在中华民族文明乡风传统节日及少数民族传统节庆活动中引导践行现代文明乡风。</w:t>
            </w:r>
          </w:p>
          <w:p w14:paraId="615C6231">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2.培育、选树、宣传婚事新办、丧事简办、孝老爱亲典型，推进新农村敬老爱老和婚丧嫁娶志愿服务</w:t>
            </w:r>
            <w:r>
              <w:rPr>
                <w:rFonts w:hint="eastAsia" w:ascii="方正仿宋_GBK" w:hAnsi="方正仿宋_GBK" w:eastAsia="方正仿宋_GBK" w:cs="方正仿宋_GBK"/>
                <w:sz w:val="21"/>
                <w:szCs w:val="21"/>
                <w:lang w:eastAsia="zh-CN"/>
              </w:rPr>
              <w:t>，开展邻里互助和爱心公益活动。</w:t>
            </w:r>
          </w:p>
          <w:p w14:paraId="463F9C5B">
            <w:pPr>
              <w:widowControl w:val="0"/>
              <w:numPr>
                <w:ilvl w:val="0"/>
                <w:numId w:val="0"/>
              </w:num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eastAsia="zh-CN"/>
              </w:rPr>
              <w:t>3.引导农村居民养成良好卫生习惯，提升卫生健康知识、行为和技能。</w:t>
            </w:r>
          </w:p>
        </w:tc>
        <w:tc>
          <w:tcPr>
            <w:tcW w:w="3405" w:type="dxa"/>
          </w:tcPr>
          <w:p w14:paraId="61E7BAED">
            <w:pPr>
              <w:widowControl w:val="0"/>
              <w:numPr>
                <w:ilvl w:val="0"/>
                <w:numId w:val="0"/>
              </w:numPr>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牵头单位：省文明办；参加单位：省委宣传部、省民族宗教委、省民政厅、省农业农村厅、省卫生健康委、团省委、省妇联；各州（市）落实</w:t>
            </w:r>
          </w:p>
          <w:p w14:paraId="733A30E5">
            <w:pPr>
              <w:widowControl w:val="0"/>
              <w:spacing w:line="220" w:lineRule="atLeast"/>
              <w:jc w:val="both"/>
              <w:rPr>
                <w:rFonts w:hint="eastAsia" w:ascii="方正仿宋_GBK" w:hAnsi="方正仿宋_GBK" w:eastAsia="方正仿宋_GBK" w:cs="方正仿宋_GBK"/>
                <w:sz w:val="21"/>
                <w:szCs w:val="21"/>
                <w:vertAlign w:val="baseline"/>
              </w:rPr>
            </w:pPr>
          </w:p>
        </w:tc>
        <w:tc>
          <w:tcPr>
            <w:tcW w:w="990" w:type="dxa"/>
            <w:vAlign w:val="center"/>
          </w:tcPr>
          <w:p w14:paraId="4E94D44E">
            <w:pPr>
              <w:widowControl w:val="0"/>
              <w:spacing w:line="220" w:lineRule="atLeast"/>
              <w:jc w:val="center"/>
              <w:rPr>
                <w:rFonts w:hint="eastAsia" w:ascii="方正仿宋_GBK" w:hAnsi="方正仿宋_GBK" w:eastAsia="方正仿宋_GBK" w:cs="方正仿宋_GBK"/>
                <w:sz w:val="21"/>
                <w:szCs w:val="21"/>
                <w:vertAlign w:val="baseline"/>
                <w:lang w:val="en-US" w:eastAsia="zh-CN" w:bidi="ar-SA"/>
              </w:rPr>
            </w:pPr>
          </w:p>
        </w:tc>
        <w:tc>
          <w:tcPr>
            <w:tcW w:w="1005" w:type="dxa"/>
            <w:vAlign w:val="center"/>
          </w:tcPr>
          <w:p w14:paraId="3802A1A6">
            <w:pPr>
              <w:widowControl w:val="0"/>
              <w:spacing w:line="220" w:lineRule="atLeast"/>
              <w:jc w:val="center"/>
              <w:rPr>
                <w:rFonts w:hint="eastAsia" w:ascii="方正仿宋_GBK" w:hAnsi="方正仿宋_GBK" w:eastAsia="方正仿宋_GBK" w:cs="方正仿宋_GBK"/>
                <w:sz w:val="21"/>
                <w:szCs w:val="21"/>
                <w:vertAlign w:val="baseline"/>
                <w:lang w:val="en-US" w:eastAsia="zh-CN" w:bidi="ar-SA"/>
              </w:rPr>
            </w:pPr>
            <w:r>
              <w:rPr>
                <w:rFonts w:hint="eastAsia" w:ascii="方正仿宋_GBK" w:hAnsi="方正仿宋_GBK" w:eastAsia="方正仿宋_GBK" w:cs="方正仿宋_GBK"/>
                <w:sz w:val="21"/>
                <w:szCs w:val="21"/>
                <w:vertAlign w:val="baseline"/>
                <w:lang w:eastAsia="zh-CN"/>
              </w:rPr>
              <w:t>金果双</w:t>
            </w:r>
          </w:p>
        </w:tc>
      </w:tr>
      <w:tr w14:paraId="5A4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855" w:type="dxa"/>
            <w:vAlign w:val="center"/>
          </w:tcPr>
          <w:p w14:paraId="2EF4BA16">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w:t>
            </w:r>
          </w:p>
        </w:tc>
        <w:tc>
          <w:tcPr>
            <w:tcW w:w="1350" w:type="dxa"/>
            <w:vAlign w:val="center"/>
          </w:tcPr>
          <w:p w14:paraId="087A7B5C">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强化法律约束</w:t>
            </w:r>
          </w:p>
        </w:tc>
        <w:tc>
          <w:tcPr>
            <w:tcW w:w="8250" w:type="dxa"/>
          </w:tcPr>
          <w:p w14:paraId="5E3B81D6">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1.在地方性法规、政府规章修订中增加文明乡风相关内容。</w:t>
            </w:r>
          </w:p>
          <w:p w14:paraId="5E6C7F1E">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2.教育引导农民自觉承担责任、树立良好家风和素养，巩固家庭养老基础地位，对孝道式微等现象要加强批评教育，对不赡养、虐待父母等行为要加大惩处力度。</w:t>
            </w:r>
          </w:p>
          <w:p w14:paraId="4A12DF5C">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3.基层司法执法部门要对利用婚丧嫁娶敛财等违法犯罪行为进行重点整治。</w:t>
            </w:r>
          </w:p>
        </w:tc>
        <w:tc>
          <w:tcPr>
            <w:tcW w:w="3405" w:type="dxa"/>
          </w:tcPr>
          <w:p w14:paraId="209EE8A3">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责任单位：省委政法委、省文明办、省人大常委会法工委、省公安厅、省民政厅、省司法厅、省农业农村厅、省卫生健康委、省高院等按职责分工负责；各州（市）负责落实</w:t>
            </w:r>
          </w:p>
        </w:tc>
        <w:tc>
          <w:tcPr>
            <w:tcW w:w="990" w:type="dxa"/>
            <w:vAlign w:val="center"/>
          </w:tcPr>
          <w:p w14:paraId="35C66BFD">
            <w:pPr>
              <w:widowControl w:val="0"/>
              <w:numPr>
                <w:ilvl w:val="0"/>
                <w:numId w:val="0"/>
              </w:numPr>
              <w:jc w:val="center"/>
              <w:rPr>
                <w:rFonts w:hint="eastAsia" w:ascii="方正仿宋_GBK" w:hAnsi="方正仿宋_GBK" w:eastAsia="方正仿宋_GBK" w:cs="方正仿宋_GBK"/>
                <w:sz w:val="21"/>
                <w:szCs w:val="21"/>
                <w:lang w:val="en-US" w:eastAsia="zh-CN"/>
              </w:rPr>
            </w:pPr>
          </w:p>
        </w:tc>
        <w:tc>
          <w:tcPr>
            <w:tcW w:w="1005" w:type="dxa"/>
            <w:vAlign w:val="center"/>
          </w:tcPr>
          <w:p w14:paraId="26E8DA0A">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李  凌</w:t>
            </w:r>
          </w:p>
        </w:tc>
      </w:tr>
      <w:tr w14:paraId="1EAE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3B45C1D6">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w:t>
            </w:r>
          </w:p>
        </w:tc>
        <w:tc>
          <w:tcPr>
            <w:tcW w:w="1350" w:type="dxa"/>
            <w:vAlign w:val="center"/>
          </w:tcPr>
          <w:p w14:paraId="4FB63B48">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防止早婚早育</w:t>
            </w:r>
          </w:p>
        </w:tc>
        <w:tc>
          <w:tcPr>
            <w:tcW w:w="8250" w:type="dxa"/>
          </w:tcPr>
          <w:p w14:paraId="64469B9C">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1.深入推进婚育新风进万家活动，严格控制早婚早育、非婚生育、违法多孩生育等行为</w:t>
            </w:r>
          </w:p>
          <w:p w14:paraId="598E6283">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2.加强对农村婚介机构和农村“媒婆”的管理。</w:t>
            </w:r>
          </w:p>
          <w:p w14:paraId="239CCAA8">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3.依法严厉打击包办婚姻、胁迫婚姻、强迫婚姻等行为。</w:t>
            </w:r>
          </w:p>
        </w:tc>
        <w:tc>
          <w:tcPr>
            <w:tcW w:w="3405" w:type="dxa"/>
          </w:tcPr>
          <w:p w14:paraId="30BC918D">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责任单位：省公安厅、省民政厅、省卫生健康委、省市场监管局等按职责分工负责；各州（市）落实</w:t>
            </w:r>
          </w:p>
          <w:p w14:paraId="1D34EEA6">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990" w:type="dxa"/>
            <w:vAlign w:val="center"/>
          </w:tcPr>
          <w:p w14:paraId="0BEA8EFF">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p>
        </w:tc>
        <w:tc>
          <w:tcPr>
            <w:tcW w:w="1005" w:type="dxa"/>
            <w:vAlign w:val="center"/>
          </w:tcPr>
          <w:p w14:paraId="42391E6F">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r>
              <w:rPr>
                <w:rFonts w:hint="eastAsia" w:ascii="方正仿宋_GBK" w:hAnsi="方正仿宋_GBK" w:eastAsia="方正仿宋_GBK" w:cs="方正仿宋_GBK"/>
                <w:sz w:val="21"/>
                <w:szCs w:val="21"/>
                <w:lang w:val="en-US" w:eastAsia="zh-CN"/>
              </w:rPr>
              <w:t>金果双</w:t>
            </w:r>
          </w:p>
        </w:tc>
      </w:tr>
      <w:tr w14:paraId="5CB5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4D0119E4">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1350" w:type="dxa"/>
            <w:vAlign w:val="center"/>
          </w:tcPr>
          <w:p w14:paraId="14C2B2D7">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规范安葬行为</w:t>
            </w:r>
          </w:p>
        </w:tc>
        <w:tc>
          <w:tcPr>
            <w:tcW w:w="8250" w:type="dxa"/>
          </w:tcPr>
          <w:p w14:paraId="48E8BCA1">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1在火葬区，依法推行遗体火化、骨灰进公墓安葬，不得将遗体土葬或将遗体火化后骨灰装棺再葬，倡导选择节地型墓位、立体安葬和植树、植花、植草、撒散等不保留骨灰的安葬方式。</w:t>
            </w:r>
          </w:p>
          <w:p w14:paraId="5FEB543D">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2.在土葬改革区，遗体应在公墓或规定区域集中安葬，不得散埋乱葬，严禁建大墓、豪华墓、活人墓，引导群众逐步减少水泥、石材等硬质材料建坟，提倡遗体深埋、不留坟头或以树代碑等葬式葬法。</w:t>
            </w:r>
          </w:p>
          <w:p w14:paraId="1193FB6D">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3.鼓励和支持少数民族群众选择既有民族地域特色，又符合节地生态要求的葬式葬法。</w:t>
            </w:r>
          </w:p>
        </w:tc>
        <w:tc>
          <w:tcPr>
            <w:tcW w:w="3405" w:type="dxa"/>
          </w:tcPr>
          <w:p w14:paraId="5FD1C208">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责任单位：省民政厅、省文明办、省民族宗教委、省委农办、省农业农村厅、省林草局，各州（市）落实</w:t>
            </w:r>
          </w:p>
          <w:p w14:paraId="301D112E">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990" w:type="dxa"/>
            <w:vAlign w:val="center"/>
          </w:tcPr>
          <w:p w14:paraId="4287B218">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p>
        </w:tc>
        <w:tc>
          <w:tcPr>
            <w:tcW w:w="1005" w:type="dxa"/>
            <w:vAlign w:val="center"/>
          </w:tcPr>
          <w:p w14:paraId="7030D96B">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r>
              <w:rPr>
                <w:rFonts w:hint="eastAsia" w:ascii="方正仿宋_GBK" w:hAnsi="方正仿宋_GBK" w:eastAsia="方正仿宋_GBK" w:cs="方正仿宋_GBK"/>
                <w:sz w:val="21"/>
                <w:szCs w:val="21"/>
                <w:lang w:val="en-US" w:eastAsia="zh-CN"/>
              </w:rPr>
              <w:t>蔺应宽</w:t>
            </w:r>
          </w:p>
        </w:tc>
      </w:tr>
      <w:tr w14:paraId="7F0F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4FCF6D5">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w:t>
            </w:r>
          </w:p>
        </w:tc>
        <w:tc>
          <w:tcPr>
            <w:tcW w:w="1350" w:type="dxa"/>
            <w:vAlign w:val="center"/>
          </w:tcPr>
          <w:p w14:paraId="7A69CD1B">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建立正面激励机制</w:t>
            </w:r>
          </w:p>
        </w:tc>
        <w:tc>
          <w:tcPr>
            <w:tcW w:w="8250" w:type="dxa"/>
          </w:tcPr>
          <w:p w14:paraId="07D53E0E">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对于在推进文明乡风建设方面做出表率的模范家庭和先进个人，予以公开通报表扬。2.支持村级组织推广“乡村道德银行”、“文明积分”、“健康素养促进行动”等奖励模式，对先进典型进行奖励，让德者有得、健康素养促进受益。</w:t>
            </w:r>
          </w:p>
          <w:p w14:paraId="22A4CC0C">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6F145196">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牵头单位：省文明办；参加单位：省委宣传部、省发展改革委、省教育厅、省民政厅、省财政厅、省农业农村厅、省卫生健康委、团省委、省妇联；各州（市）落实</w:t>
            </w:r>
          </w:p>
        </w:tc>
        <w:tc>
          <w:tcPr>
            <w:tcW w:w="990" w:type="dxa"/>
            <w:vAlign w:val="center"/>
          </w:tcPr>
          <w:p w14:paraId="2824B940">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1005" w:type="dxa"/>
            <w:vAlign w:val="center"/>
          </w:tcPr>
          <w:p w14:paraId="3B59DB7B">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金果双</w:t>
            </w:r>
          </w:p>
        </w:tc>
      </w:tr>
      <w:tr w14:paraId="0A9D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DBBEE01">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12</w:t>
            </w:r>
          </w:p>
        </w:tc>
        <w:tc>
          <w:tcPr>
            <w:tcW w:w="1350" w:type="dxa"/>
            <w:vAlign w:val="center"/>
          </w:tcPr>
          <w:p w14:paraId="53BA7998">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创新青年婚介服务方式</w:t>
            </w:r>
          </w:p>
        </w:tc>
        <w:tc>
          <w:tcPr>
            <w:tcW w:w="8250" w:type="dxa"/>
          </w:tcPr>
          <w:p w14:paraId="1C8261FB">
            <w:pPr>
              <w:widowControl w:val="0"/>
              <w:numPr>
                <w:ilvl w:val="0"/>
                <w:numId w:val="0"/>
              </w:numPr>
              <w:jc w:val="both"/>
              <w:rPr>
                <w:rFonts w:hint="eastAsia" w:ascii="方正仿宋_GBK" w:hAnsi="方正仿宋_GBK" w:eastAsia="方正仿宋_GBK" w:cs="方正仿宋_GBK"/>
                <w:b w:val="0"/>
                <w:bCs w:val="0"/>
                <w:color w:val="0000FF"/>
                <w:sz w:val="21"/>
                <w:szCs w:val="21"/>
                <w:lang w:val="en-US" w:eastAsia="zh-CN"/>
              </w:rPr>
            </w:pPr>
            <w:r>
              <w:rPr>
                <w:rFonts w:hint="eastAsia" w:ascii="方正仿宋_GBK" w:hAnsi="方正仿宋_GBK" w:eastAsia="方正仿宋_GBK" w:cs="方正仿宋_GBK"/>
                <w:b w:val="0"/>
                <w:bCs w:val="0"/>
                <w:color w:val="0000FF"/>
                <w:sz w:val="21"/>
                <w:szCs w:val="21"/>
                <w:lang w:val="en-US" w:eastAsia="zh-CN"/>
              </w:rPr>
              <w:t>1.充分发挥共青团、妇联等群团组织作用，搭建农村青年婚恋教育、婚恋交友、婚姻服务平台。</w:t>
            </w:r>
          </w:p>
          <w:p w14:paraId="43E2EF36">
            <w:pPr>
              <w:widowControl w:val="0"/>
              <w:numPr>
                <w:ilvl w:val="0"/>
                <w:numId w:val="0"/>
              </w:numPr>
              <w:jc w:val="both"/>
              <w:rPr>
                <w:rFonts w:hint="eastAsia" w:ascii="方正仿宋_GBK" w:hAnsi="方正仿宋_GBK" w:eastAsia="方正仿宋_GBK" w:cs="方正仿宋_GBK"/>
                <w:b w:val="0"/>
                <w:bCs w:val="0"/>
                <w:color w:val="0000FF"/>
                <w:sz w:val="21"/>
                <w:szCs w:val="21"/>
                <w:lang w:val="en-US" w:eastAsia="zh-CN"/>
              </w:rPr>
            </w:pPr>
            <w:r>
              <w:rPr>
                <w:rFonts w:hint="eastAsia" w:ascii="方正仿宋_GBK" w:hAnsi="方正仿宋_GBK" w:eastAsia="方正仿宋_GBK" w:cs="方正仿宋_GBK"/>
                <w:b w:val="0"/>
                <w:bCs w:val="0"/>
                <w:color w:val="0000FF"/>
                <w:sz w:val="21"/>
                <w:szCs w:val="21"/>
                <w:lang w:val="en-US" w:eastAsia="zh-CN"/>
              </w:rPr>
              <w:t>2.鼓励民政、共青团、妇联等基层组织为农村青年提供婚恋服务，宣传引导抵制高额彩礼、奢华婚礼。</w:t>
            </w:r>
          </w:p>
          <w:p w14:paraId="1F96C6CC">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FF"/>
                <w:sz w:val="21"/>
                <w:szCs w:val="21"/>
                <w:lang w:val="en-US" w:eastAsia="zh-CN"/>
              </w:rPr>
              <w:t>3.充分利用农民春节返乡等时间节点，倡导举办农村集体婚礼、家庭婚礼、旅行婚礼等有纪念意义的婚礼，引导婚事新办。</w:t>
            </w:r>
          </w:p>
        </w:tc>
        <w:tc>
          <w:tcPr>
            <w:tcW w:w="3405" w:type="dxa"/>
          </w:tcPr>
          <w:p w14:paraId="564926CB">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牵头单位：省民政厅、团省委、省妇联；参加单位：省委宣传部、省文明办、省教育厅、省农业农村厅；各州（市）落实</w:t>
            </w:r>
          </w:p>
          <w:p w14:paraId="6A9B8299">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990" w:type="dxa"/>
            <w:vAlign w:val="center"/>
          </w:tcPr>
          <w:p w14:paraId="5D5E7006">
            <w:pPr>
              <w:widowControl w:val="0"/>
              <w:numPr>
                <w:ilvl w:val="0"/>
                <w:numId w:val="0"/>
              </w:numPr>
              <w:jc w:val="center"/>
              <w:rPr>
                <w:rFonts w:hint="eastAsia" w:ascii="方正仿宋_GBK" w:hAnsi="方正仿宋_GBK" w:eastAsia="方正仿宋_GBK" w:cs="方正仿宋_GBK"/>
                <w:sz w:val="21"/>
                <w:szCs w:val="21"/>
                <w:lang w:val="en-US" w:eastAsia="zh-CN"/>
              </w:rPr>
            </w:pPr>
          </w:p>
        </w:tc>
        <w:tc>
          <w:tcPr>
            <w:tcW w:w="1005" w:type="dxa"/>
            <w:vAlign w:val="center"/>
          </w:tcPr>
          <w:p w14:paraId="478017C9">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何  佳</w:t>
            </w:r>
          </w:p>
        </w:tc>
      </w:tr>
      <w:tr w14:paraId="23BC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00852A6">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13</w:t>
            </w:r>
          </w:p>
        </w:tc>
        <w:tc>
          <w:tcPr>
            <w:tcW w:w="1350" w:type="dxa"/>
            <w:vAlign w:val="center"/>
          </w:tcPr>
          <w:p w14:paraId="23866124">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创新农村养老服务方式</w:t>
            </w:r>
          </w:p>
        </w:tc>
        <w:tc>
          <w:tcPr>
            <w:tcW w:w="8250" w:type="dxa"/>
          </w:tcPr>
          <w:p w14:paraId="5F618CC7">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推广农村互助型养老，在有条件的地区依托村级综合服务设施，逐步建立日间照料中心、农村互助养老服务站、老年幸福餐桌等互助性养老设施，改造提升特困人员供养服务设施（敬老院），对条件适宜的整合提升为区域性养老服务中心，为农村留守、失能、孤寡老年人解决实际生活困难。</w:t>
            </w:r>
          </w:p>
          <w:p w14:paraId="78B3753B">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2鼓励村级组织通过与赡养人子女签订家庭赡养协议书等方式，督促子女从经济供养、生活照料、权益维护等方面自觉承担家庭责任。</w:t>
            </w:r>
          </w:p>
          <w:p w14:paraId="49C13002">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3高度重视老年人感情需求和人文关怀，建立对农村留守、孤寡老年人的定期巡访联系制度，及时发现、防范和化解老年人独自生活风险。</w:t>
            </w:r>
          </w:p>
          <w:p w14:paraId="28A5C860">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708AD223">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牵头单位：省民政厅；参加单位：省委组织部、省文明办、省发展改革委、省财政厅、省人力资源社会保障厅、省农业农村厅、省文化和旅游厅、省卫生健康委、团省委、省妇联；各州（市）落实</w:t>
            </w:r>
          </w:p>
          <w:p w14:paraId="1AA2DF24">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990" w:type="dxa"/>
            <w:vAlign w:val="center"/>
          </w:tcPr>
          <w:p w14:paraId="520B8559">
            <w:pPr>
              <w:widowControl w:val="0"/>
              <w:numPr>
                <w:ilvl w:val="0"/>
                <w:numId w:val="0"/>
              </w:numPr>
              <w:jc w:val="center"/>
              <w:rPr>
                <w:rFonts w:hint="eastAsia" w:ascii="方正仿宋_GBK" w:hAnsi="方正仿宋_GBK" w:eastAsia="方正仿宋_GBK" w:cs="方正仿宋_GBK"/>
                <w:sz w:val="21"/>
                <w:szCs w:val="21"/>
                <w:lang w:val="en-US" w:eastAsia="zh-CN"/>
              </w:rPr>
            </w:pPr>
          </w:p>
          <w:p w14:paraId="44FC679C">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p>
        </w:tc>
        <w:tc>
          <w:tcPr>
            <w:tcW w:w="1005" w:type="dxa"/>
            <w:vAlign w:val="center"/>
          </w:tcPr>
          <w:p w14:paraId="3D8D2426">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蔺应宽</w:t>
            </w:r>
          </w:p>
          <w:p w14:paraId="449015C9">
            <w:pPr>
              <w:widowControl w:val="0"/>
              <w:numPr>
                <w:ilvl w:val="0"/>
                <w:numId w:val="0"/>
              </w:numPr>
              <w:ind w:left="0" w:leftChars="0" w:firstLine="0" w:firstLineChars="0"/>
              <w:jc w:val="center"/>
              <w:rPr>
                <w:rFonts w:hint="eastAsia" w:ascii="方正仿宋_GBK" w:hAnsi="方正仿宋_GBK" w:eastAsia="方正仿宋_GBK" w:cs="方正仿宋_GBK"/>
                <w:sz w:val="21"/>
                <w:szCs w:val="21"/>
                <w:lang w:val="en-US" w:eastAsia="zh-CN" w:bidi="ar-SA"/>
              </w:rPr>
            </w:pPr>
          </w:p>
        </w:tc>
      </w:tr>
      <w:tr w14:paraId="2FD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44F08EE">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14</w:t>
            </w:r>
          </w:p>
        </w:tc>
        <w:tc>
          <w:tcPr>
            <w:tcW w:w="1350" w:type="dxa"/>
            <w:vAlign w:val="center"/>
          </w:tcPr>
          <w:p w14:paraId="2A5ABB37">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创新农村婚丧宴席举办方式</w:t>
            </w:r>
          </w:p>
        </w:tc>
        <w:tc>
          <w:tcPr>
            <w:tcW w:w="8250" w:type="dxa"/>
          </w:tcPr>
          <w:p w14:paraId="0F425AF4">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1.依托村级综合服务设施等场所，为村民举办婚丧宴席提供便利。</w:t>
            </w:r>
          </w:p>
          <w:p w14:paraId="68F7BCE8">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2.充分发挥红白理事会作用，为群众提供农村宴席服务，防止大操大办、浪费攀比。</w:t>
            </w:r>
          </w:p>
          <w:p w14:paraId="1ECC43DE">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597ECBBF">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牵头单位：省文明办、省民政厅；参加单位：省委宣传部、省财政厅、省住房城乡建设厅、省农业农村厅、省文化和旅游厅；各州（市）落实</w:t>
            </w:r>
          </w:p>
        </w:tc>
        <w:tc>
          <w:tcPr>
            <w:tcW w:w="990" w:type="dxa"/>
            <w:vAlign w:val="center"/>
          </w:tcPr>
          <w:p w14:paraId="165649CA">
            <w:pPr>
              <w:widowControl w:val="0"/>
              <w:numPr>
                <w:ilvl w:val="0"/>
                <w:numId w:val="0"/>
              </w:numPr>
              <w:jc w:val="both"/>
              <w:rPr>
                <w:rFonts w:hint="eastAsia" w:ascii="方正仿宋_GBK" w:hAnsi="方正仿宋_GBK" w:eastAsia="方正仿宋_GBK" w:cs="方正仿宋_GBK"/>
                <w:sz w:val="21"/>
                <w:szCs w:val="21"/>
                <w:lang w:val="en-US" w:eastAsia="zh-CN" w:bidi="ar-SA"/>
              </w:rPr>
            </w:pPr>
          </w:p>
        </w:tc>
        <w:tc>
          <w:tcPr>
            <w:tcW w:w="1005" w:type="dxa"/>
            <w:vAlign w:val="center"/>
          </w:tcPr>
          <w:p w14:paraId="1D3AF475">
            <w:pPr>
              <w:widowControl w:val="0"/>
              <w:numPr>
                <w:ilvl w:val="0"/>
                <w:numId w:val="0"/>
              </w:numPr>
              <w:jc w:val="center"/>
              <w:rPr>
                <w:rFonts w:hint="eastAsia" w:ascii="方正仿宋_GBK" w:hAnsi="方正仿宋_GBK" w:eastAsia="方正仿宋_GBK" w:cs="方正仿宋_GBK"/>
                <w:sz w:val="21"/>
                <w:szCs w:val="21"/>
                <w:lang w:val="en-US" w:eastAsia="zh-CN" w:bidi="ar-SA"/>
              </w:rPr>
            </w:pPr>
            <w:r>
              <w:rPr>
                <w:rFonts w:hint="eastAsia" w:ascii="方正仿宋_GBK" w:hAnsi="方正仿宋_GBK" w:eastAsia="方正仿宋_GBK" w:cs="方正仿宋_GBK"/>
                <w:sz w:val="21"/>
                <w:szCs w:val="21"/>
                <w:lang w:val="en-US" w:eastAsia="zh-CN"/>
              </w:rPr>
              <w:t>蔺应宽</w:t>
            </w:r>
          </w:p>
        </w:tc>
      </w:tr>
      <w:tr w14:paraId="5F7C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1AEB4F97">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w:t>
            </w:r>
          </w:p>
        </w:tc>
        <w:tc>
          <w:tcPr>
            <w:tcW w:w="1350" w:type="dxa"/>
            <w:vAlign w:val="center"/>
          </w:tcPr>
          <w:p w14:paraId="79B553E6">
            <w:pPr>
              <w:widowControl w:val="0"/>
              <w:numPr>
                <w:ilvl w:val="0"/>
                <w:numId w:val="0"/>
              </w:numPr>
              <w:jc w:val="center"/>
              <w:rPr>
                <w:rFonts w:hint="eastAsia" w:ascii="方正仿宋_GBK" w:hAnsi="方正仿宋_GBK" w:eastAsia="方正仿宋_GBK" w:cs="方正仿宋_GBK"/>
                <w:sz w:val="21"/>
                <w:szCs w:val="21"/>
                <w:lang w:val="en-US" w:eastAsia="zh-CN"/>
              </w:rPr>
            </w:pPr>
          </w:p>
          <w:p w14:paraId="67397F36">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强化党委领导责任</w:t>
            </w:r>
          </w:p>
        </w:tc>
        <w:tc>
          <w:tcPr>
            <w:tcW w:w="8250" w:type="dxa"/>
          </w:tcPr>
          <w:p w14:paraId="47BCD24A">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地方县级以上各级党委、政府要把农村移风易俗摆上重要位置，在全面从严治党、乡村振兴、脱贫攻坚中大力推进移风易俗，建立管用有效工作机制，推动农村婚丧、孝道风气实现好转。</w:t>
            </w:r>
          </w:p>
          <w:p w14:paraId="067E7C3A">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521B4CB7">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牵头单位：省委组织部、省委农办、省农业农村厅；参加单位：省纪委监委、省委宣传部、省文明办、省民政厅；各州（市)落实</w:t>
            </w:r>
          </w:p>
        </w:tc>
        <w:tc>
          <w:tcPr>
            <w:tcW w:w="990" w:type="dxa"/>
            <w:vAlign w:val="center"/>
          </w:tcPr>
          <w:p w14:paraId="5F9F3F08">
            <w:pPr>
              <w:widowControl w:val="0"/>
              <w:numPr>
                <w:ilvl w:val="0"/>
                <w:numId w:val="0"/>
              </w:numPr>
              <w:jc w:val="center"/>
              <w:rPr>
                <w:rFonts w:hint="eastAsia" w:ascii="方正仿宋_GBK" w:hAnsi="方正仿宋_GBK" w:eastAsia="方正仿宋_GBK" w:cs="方正仿宋_GBK"/>
                <w:sz w:val="21"/>
                <w:szCs w:val="21"/>
                <w:lang w:val="en-US" w:eastAsia="zh-CN"/>
              </w:rPr>
            </w:pPr>
          </w:p>
        </w:tc>
        <w:tc>
          <w:tcPr>
            <w:tcW w:w="1005" w:type="dxa"/>
            <w:vAlign w:val="center"/>
          </w:tcPr>
          <w:p w14:paraId="22823BF6">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蔺应宽</w:t>
            </w:r>
          </w:p>
        </w:tc>
      </w:tr>
      <w:tr w14:paraId="7075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74818689">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16</w:t>
            </w:r>
          </w:p>
        </w:tc>
        <w:tc>
          <w:tcPr>
            <w:tcW w:w="1350" w:type="dxa"/>
            <w:vAlign w:val="center"/>
          </w:tcPr>
          <w:p w14:paraId="46176607">
            <w:pPr>
              <w:widowControl w:val="0"/>
              <w:numPr>
                <w:ilvl w:val="0"/>
                <w:numId w:val="0"/>
              </w:numPr>
              <w:jc w:val="center"/>
              <w:rPr>
                <w:rFonts w:hint="eastAsia" w:ascii="方正仿宋_GBK" w:hAnsi="方正仿宋_GBK" w:eastAsia="方正仿宋_GBK" w:cs="方正仿宋_GBK"/>
                <w:sz w:val="21"/>
                <w:szCs w:val="21"/>
                <w:lang w:val="en-US" w:eastAsia="zh-CN"/>
              </w:rPr>
            </w:pPr>
          </w:p>
          <w:p w14:paraId="33A8B1F8">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落实农村基层党组织责任</w:t>
            </w:r>
          </w:p>
        </w:tc>
        <w:tc>
          <w:tcPr>
            <w:tcW w:w="8250" w:type="dxa"/>
          </w:tcPr>
          <w:p w14:paraId="449D562B">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乡镇党委和村党组织要充分发挥政治功能和组织优势，把推动革除婚丧陋习、抵制天价彩礼、解央孝道式微等问题列为重要工作内容，扎实做好移风易俗工作。</w:t>
            </w:r>
          </w:p>
          <w:p w14:paraId="21CC7382">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018014D7">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牵头单位：省委组织部；参加单位：文明办、省民政厅、省农业农村厅、团省委、省妇联；各州（市）落实</w:t>
            </w:r>
          </w:p>
        </w:tc>
        <w:tc>
          <w:tcPr>
            <w:tcW w:w="990" w:type="dxa"/>
            <w:vAlign w:val="center"/>
          </w:tcPr>
          <w:p w14:paraId="5BDB0A79">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1005" w:type="dxa"/>
            <w:vAlign w:val="center"/>
          </w:tcPr>
          <w:p w14:paraId="36AF570A">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蔺应宽</w:t>
            </w:r>
          </w:p>
        </w:tc>
      </w:tr>
      <w:tr w14:paraId="6AAD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3D32374E">
            <w:pPr>
              <w:widowControl w:val="0"/>
              <w:numPr>
                <w:ilvl w:val="0"/>
                <w:numId w:val="0"/>
              </w:numPr>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17</w:t>
            </w:r>
          </w:p>
        </w:tc>
        <w:tc>
          <w:tcPr>
            <w:tcW w:w="1350" w:type="dxa"/>
            <w:vAlign w:val="center"/>
          </w:tcPr>
          <w:p w14:paraId="1A098F14">
            <w:pPr>
              <w:widowControl w:val="0"/>
              <w:numPr>
                <w:ilvl w:val="0"/>
                <w:numId w:val="0"/>
              </w:numPr>
              <w:jc w:val="center"/>
              <w:rPr>
                <w:rFonts w:hint="eastAsia" w:ascii="方正仿宋_GBK" w:hAnsi="方正仿宋_GBK" w:eastAsia="方正仿宋_GBK" w:cs="方正仿宋_GBK"/>
                <w:sz w:val="21"/>
                <w:szCs w:val="21"/>
                <w:lang w:val="en-US" w:eastAsia="zh-CN"/>
              </w:rPr>
            </w:pPr>
          </w:p>
          <w:p w14:paraId="67A670BC">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健全监督机制</w:t>
            </w:r>
          </w:p>
          <w:p w14:paraId="085F76E1">
            <w:pPr>
              <w:widowControl w:val="0"/>
              <w:numPr>
                <w:ilvl w:val="0"/>
                <w:numId w:val="0"/>
              </w:numPr>
              <w:jc w:val="center"/>
              <w:rPr>
                <w:rFonts w:hint="eastAsia" w:ascii="方正仿宋_GBK" w:hAnsi="方正仿宋_GBK" w:eastAsia="方正仿宋_GBK" w:cs="方正仿宋_GBK"/>
                <w:sz w:val="21"/>
                <w:szCs w:val="21"/>
                <w:lang w:val="en-US" w:eastAsia="zh-CN"/>
              </w:rPr>
            </w:pPr>
          </w:p>
        </w:tc>
        <w:tc>
          <w:tcPr>
            <w:tcW w:w="8250" w:type="dxa"/>
          </w:tcPr>
          <w:p w14:paraId="14D771C7">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1.落实地方党政一把手责任，在对地方党政领导班子和有关领导干部进行综合考核评价、开展评先树优时，注意了解推进农村移风易俗工作相关情况。</w:t>
            </w:r>
          </w:p>
          <w:p w14:paraId="04A5A46A">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2.对文明乡风建设工作成效显著的予以奖励，对工作不力的严肃问责。</w:t>
            </w:r>
          </w:p>
          <w:p w14:paraId="0DE10E37">
            <w:pPr>
              <w:widowControl w:val="0"/>
              <w:numPr>
                <w:ilvl w:val="0"/>
                <w:numId w:val="0"/>
              </w:numPr>
              <w:jc w:val="both"/>
              <w:rPr>
                <w:rFonts w:hint="eastAsia" w:ascii="方正仿宋_GBK" w:hAnsi="方正仿宋_GBK" w:eastAsia="方正仿宋_GBK" w:cs="方正仿宋_GBK"/>
                <w:sz w:val="21"/>
                <w:szCs w:val="21"/>
                <w:lang w:val="en-US" w:eastAsia="zh-CN"/>
              </w:rPr>
            </w:pPr>
          </w:p>
        </w:tc>
        <w:tc>
          <w:tcPr>
            <w:tcW w:w="3405" w:type="dxa"/>
          </w:tcPr>
          <w:p w14:paraId="37F8E1E8">
            <w:pPr>
              <w:widowControl w:val="0"/>
              <w:numPr>
                <w:ilvl w:val="0"/>
                <w:numId w:val="0"/>
              </w:numPr>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牵头单位：省委组织部、省委农办、省农业农村厅；参加单位：各有关单位；各州（市）落实</w:t>
            </w:r>
          </w:p>
        </w:tc>
        <w:tc>
          <w:tcPr>
            <w:tcW w:w="990" w:type="dxa"/>
            <w:vAlign w:val="center"/>
          </w:tcPr>
          <w:p w14:paraId="680D1D40">
            <w:pPr>
              <w:widowControl w:val="0"/>
              <w:numPr>
                <w:ilvl w:val="0"/>
                <w:numId w:val="0"/>
              </w:numPr>
              <w:jc w:val="center"/>
              <w:rPr>
                <w:rFonts w:hint="eastAsia" w:ascii="方正仿宋_GBK" w:hAnsi="方正仿宋_GBK" w:eastAsia="方正仿宋_GBK" w:cs="方正仿宋_GBK"/>
                <w:sz w:val="21"/>
                <w:szCs w:val="21"/>
                <w:lang w:val="en-US" w:eastAsia="zh-CN"/>
              </w:rPr>
            </w:pPr>
          </w:p>
        </w:tc>
        <w:tc>
          <w:tcPr>
            <w:tcW w:w="1005" w:type="dxa"/>
            <w:vAlign w:val="center"/>
          </w:tcPr>
          <w:p w14:paraId="405E5314">
            <w:pPr>
              <w:widowControl w:val="0"/>
              <w:numPr>
                <w:ilvl w:val="0"/>
                <w:numId w:val="0"/>
              </w:num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杜增宝</w:t>
            </w:r>
          </w:p>
        </w:tc>
      </w:tr>
    </w:tbl>
    <w:p w14:paraId="1322D20E">
      <w:pPr>
        <w:spacing w:line="220" w:lineRule="atLeast"/>
        <w:rPr>
          <w:rFonts w:hint="eastAsia" w:ascii="方正小标宋_GBK" w:hAnsi="方正小标宋_GBK" w:eastAsia="方正小标宋_GBK" w:cs="方正小标宋_GBK"/>
          <w:sz w:val="32"/>
          <w:szCs w:val="32"/>
        </w:rPr>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1" w:fontKey="{565B6EEA-9A15-4923-9C62-E2A9DD753D69}"/>
  </w:font>
  <w:font w:name="方正仿宋_GBK">
    <w:panose1 w:val="02000000000000000000"/>
    <w:charset w:val="86"/>
    <w:family w:val="auto"/>
    <w:pitch w:val="default"/>
    <w:sig w:usb0="A00002BF" w:usb1="38CF7CFA" w:usb2="00082016" w:usb3="00000000" w:csb0="00040001" w:csb1="00000000"/>
    <w:embedRegular r:id="rId2" w:fontKey="{B4B7F6C6-12B7-45BA-A85E-E7D8C376BBB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2D7D4"/>
    <w:multiLevelType w:val="singleLevel"/>
    <w:tmpl w:val="DEE2D7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ThiNzk5MjQ3MjBiZjA2MjRlYjMxNzNmOGU4ODRmMTEifQ=="/>
  </w:docVars>
  <w:rsids>
    <w:rsidRoot w:val="00D31D50"/>
    <w:rsid w:val="00323B43"/>
    <w:rsid w:val="003D37D8"/>
    <w:rsid w:val="00426133"/>
    <w:rsid w:val="004358AB"/>
    <w:rsid w:val="008B7726"/>
    <w:rsid w:val="00D31D50"/>
    <w:rsid w:val="1FC609F0"/>
    <w:rsid w:val="3DA31104"/>
    <w:rsid w:val="3FEF7514"/>
    <w:rsid w:val="47CE69F6"/>
    <w:rsid w:val="50FC5261"/>
    <w:rsid w:val="7769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3572</Words>
  <Characters>3612</Characters>
  <Lines>1</Lines>
  <Paragraphs>1</Paragraphs>
  <TotalTime>17</TotalTime>
  <ScaleCrop>false</ScaleCrop>
  <LinksUpToDate>false</LinksUpToDate>
  <CharactersWithSpaces>3616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李维爱</cp:lastModifiedBy>
  <dcterms:modified xsi:type="dcterms:W3CDTF">2025-09-25T03:27:11Z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E1CB24BBB12E4B30A24985BB8973CCE6_12</vt:lpwstr>
  </property>
</Properties>
</file>