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方正小标宋_GBK" w:hAnsi="方正小标宋_GBK" w:eastAsia="方正小标宋_GBK" w:cs="方正小标宋_GBK"/>
          <w:sz w:val="44"/>
          <w:szCs w:val="32"/>
          <w:lang w:val="en-US" w:eastAsia="zh-CN"/>
        </w:rPr>
      </w:pPr>
      <w:r>
        <w:rPr>
          <w:rFonts w:hint="eastAsia" w:ascii="方正小标宋_GBK" w:hAnsi="方正小标宋_GBK" w:eastAsia="方正小标宋_GBK" w:cs="方正小标宋_GBK"/>
          <w:sz w:val="44"/>
          <w:szCs w:val="32"/>
          <w:lang w:val="en-US" w:eastAsia="zh-CN"/>
        </w:rPr>
        <w:t>盈江县农业农村领域涉企行政检查清单</w:t>
      </w:r>
    </w:p>
    <w:tbl>
      <w:tblPr>
        <w:tblStyle w:val="10"/>
        <w:tblW w:w="156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816"/>
        <w:gridCol w:w="991"/>
        <w:gridCol w:w="9983"/>
        <w:gridCol w:w="1050"/>
        <w:gridCol w:w="817"/>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eastAsia" w:ascii="方正黑体_GBK" w:hAnsi="方正黑体_GBK" w:eastAsia="方正黑体_GBK" w:cs="方正黑体_GBK"/>
                <w:sz w:val="28"/>
                <w:szCs w:val="21"/>
                <w:lang w:val="en-US" w:eastAsia="zh-CN"/>
              </w:rPr>
            </w:pPr>
            <w:r>
              <w:rPr>
                <w:rFonts w:hint="eastAsia" w:ascii="方正黑体_GBK" w:hAnsi="方正黑体_GBK" w:eastAsia="方正黑体_GBK" w:cs="方正黑体_GBK"/>
                <w:sz w:val="28"/>
                <w:szCs w:val="21"/>
                <w:lang w:val="en-US" w:eastAsia="zh-CN"/>
              </w:rPr>
              <w:t>序号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eastAsia" w:ascii="方正黑体_GBK" w:hAnsi="方正黑体_GBK" w:eastAsia="方正黑体_GBK" w:cs="方正黑体_GBK"/>
                <w:sz w:val="28"/>
                <w:szCs w:val="21"/>
                <w:lang w:val="en-US" w:eastAsia="zh-CN"/>
              </w:rPr>
            </w:pPr>
            <w:r>
              <w:rPr>
                <w:rFonts w:hint="eastAsia" w:ascii="方正黑体_GBK" w:hAnsi="方正黑体_GBK" w:eastAsia="方正黑体_GBK" w:cs="方正黑体_GBK"/>
                <w:sz w:val="28"/>
                <w:szCs w:val="21"/>
                <w:lang w:val="en-US" w:eastAsia="zh-CN"/>
              </w:rPr>
              <w:t>检查事项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eastAsia" w:ascii="方正黑体_GBK" w:hAnsi="方正黑体_GBK" w:eastAsia="方正黑体_GBK" w:cs="方正黑体_GBK"/>
                <w:sz w:val="28"/>
                <w:szCs w:val="21"/>
                <w:lang w:val="en-US" w:eastAsia="zh-CN"/>
              </w:rPr>
            </w:pPr>
            <w:r>
              <w:rPr>
                <w:rFonts w:hint="eastAsia" w:ascii="方正黑体_GBK" w:hAnsi="方正黑体_GBK" w:eastAsia="方正黑体_GBK" w:cs="方正黑体_GBK"/>
                <w:sz w:val="28"/>
                <w:szCs w:val="21"/>
                <w:lang w:val="en-US" w:eastAsia="zh-CN"/>
              </w:rPr>
              <w:t>检查对象</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eastAsia" w:ascii="方正黑体_GBK" w:hAnsi="方正黑体_GBK" w:eastAsia="方正黑体_GBK" w:cs="方正黑体_GBK"/>
                <w:sz w:val="28"/>
                <w:szCs w:val="21"/>
                <w:lang w:val="en-US" w:eastAsia="zh-CN"/>
              </w:rPr>
            </w:pPr>
            <w:r>
              <w:rPr>
                <w:rFonts w:hint="eastAsia" w:ascii="方正黑体_GBK" w:hAnsi="方正黑体_GBK" w:eastAsia="方正黑体_GBK" w:cs="方正黑体_GBK"/>
                <w:sz w:val="28"/>
                <w:szCs w:val="21"/>
                <w:lang w:val="en-US" w:eastAsia="zh-CN"/>
              </w:rPr>
              <w:t>检查依据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eastAsia" w:ascii="方正黑体_GBK" w:hAnsi="方正黑体_GBK" w:eastAsia="方正黑体_GBK" w:cs="方正黑体_GBK"/>
                <w:sz w:val="28"/>
                <w:szCs w:val="21"/>
                <w:lang w:val="en-US" w:eastAsia="zh-CN"/>
              </w:rPr>
            </w:pPr>
            <w:r>
              <w:rPr>
                <w:rFonts w:hint="eastAsia" w:ascii="方正黑体_GBK" w:hAnsi="方正黑体_GBK" w:eastAsia="方正黑体_GBK" w:cs="方正黑体_GBK"/>
                <w:sz w:val="28"/>
                <w:szCs w:val="21"/>
                <w:lang w:val="en-US" w:eastAsia="zh-CN"/>
              </w:rPr>
              <w:t>法定实施主体</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eastAsia" w:ascii="方正黑体_GBK" w:hAnsi="方正黑体_GBK" w:eastAsia="方正黑体_GBK" w:cs="方正黑体_GBK"/>
                <w:sz w:val="28"/>
                <w:szCs w:val="21"/>
                <w:lang w:val="en-US" w:eastAsia="zh-CN"/>
              </w:rPr>
            </w:pPr>
            <w:r>
              <w:rPr>
                <w:rFonts w:hint="eastAsia" w:ascii="方正黑体_GBK" w:hAnsi="方正黑体_GBK" w:eastAsia="方正黑体_GBK" w:cs="方正黑体_GBK"/>
                <w:sz w:val="28"/>
                <w:szCs w:val="21"/>
                <w:lang w:val="en-US" w:eastAsia="zh-CN"/>
              </w:rPr>
              <w:t>法定行使层级</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eastAsia" w:ascii="方正黑体_GBK" w:hAnsi="方正黑体_GBK" w:eastAsia="方正黑体_GBK" w:cs="方正黑体_GBK"/>
                <w:sz w:val="28"/>
                <w:szCs w:val="21"/>
                <w:lang w:val="en-US" w:eastAsia="zh-CN"/>
              </w:rPr>
            </w:pPr>
            <w:r>
              <w:rPr>
                <w:rFonts w:hint="eastAsia" w:ascii="方正黑体_GBK" w:hAnsi="方正黑体_GBK" w:eastAsia="方正黑体_GBK" w:cs="方正黑体_GBK"/>
                <w:sz w:val="28"/>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5"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兽药监督检查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本行政区域内兽药生产、经营主体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《兽药管理条例》第三条 国务院兽医行政管理部门负责全国的兽药监督管理工作。县级以上地方人民政府兽医行政管理部门负责本行政区域内的兽药监督管理工作。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《兽药管理条例》第四十四条第一款 县级以上人民政府兽医行政管理部门行使兽药监督管理权。</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《兽药管理条例》第四十六条 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未经行政强制措施决定机关或者其上级机关批准，不得擅自转移、使用、销毁、销售被查封或者扣押的兽药及有关材料。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生猪定点屠宰厂（场）监督检查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本行政区域生猪定点</w:t>
            </w:r>
            <w:r>
              <w:rPr>
                <w:rFonts w:hint="eastAsia" w:ascii="Times New Roman" w:hAnsi="Times New Roman" w:cs="Times New Roman"/>
                <w:sz w:val="24"/>
                <w:szCs w:val="20"/>
                <w:lang w:val="en-US" w:eastAsia="zh-CN"/>
              </w:rPr>
              <w:t>屠宰场</w:t>
            </w:r>
            <w:r>
              <w:rPr>
                <w:rFonts w:hint="default" w:ascii="Times New Roman" w:hAnsi="Times New Roman" w:cs="Times New Roman"/>
                <w:sz w:val="24"/>
                <w:szCs w:val="20"/>
                <w:lang w:val="en-US" w:eastAsia="zh-CN"/>
              </w:rPr>
              <w:t>（场）</w:t>
            </w:r>
          </w:p>
        </w:tc>
        <w:tc>
          <w:tcPr>
            <w:tcW w:w="9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《生猪屠宰管理条例》第三条 国务院农业农村主管部门负责全国生猪屠宰的行业管理工作。县级以上地方人民政府农业农村主管部门负责本行政区域内生猪屠宰活动的监督管理。</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县级以上人民政府有关部门在各自职责范围内负责生猪屠宰活动的相关管理工作。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《生猪屠宰质量管理规范》第九条  生猪定点屠宰厂（场）的质量安全负责人直接对本厂（场）主要负责人负责，承担下列主要职责：（七）接受和配合农业农村主管部门开展的监督检查等工作。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《生猪屠宰管理条例》第七条　县级以上人民政府农业农村主管部门应当建立生猪定点屠宰厂（场）信用档案，记录日常监督检查结果、违法行为查处等情况，并依法向社会公示。</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《生猪屠宰管理条例》第二十六条　县级以上地方人民政府农业农村主管部门应当根据生猪屠宰质量安全风险监测结果和国务院农业农村主管部门的规定，加强对生猪定点屠宰厂（场）质量安全管理状况的监督检查。</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《生猪屠宰管理条例》第二十七条　农业农村主管部门应当依照本条例的规定严格履行职责，加强对生猪屠宰活动的日常监督检查，建立健全随机抽查机制。农业农村主管部门依法进行监督检查，可以采取下列措施：（一）进入生猪屠宰等有关场所实施现场检查；（二）向有关单位和个人了解情况；（三）查阅、复制有关记录、票据以及其他资料；（四）查封与违法生猪屠宰活动有关的场所、设施，扣押与违法生猪屠宰活动有关的生猪、生猪产品以及屠宰工具和设备。农业农村主管部门进行监督检查时，监督检查人员不得少于2人，并应当出示执法证件。对农业农村主管部门依法进行的监督检查，有关单位和个人应当予以配合，不得拒绝、阻挠。</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省级清单修改检查事项、检查对象名称，增加了检查依据（《生猪屠宰管理条例第七条、《生猪屠宰质量管理规范》第九条第七款）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病原微生物实验室监督检查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本行政区域内病原微生物实验室</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《病原微生物实验室生物安全管理条例》</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第三条 第四款 </w:t>
            </w:r>
            <w:r>
              <w:rPr>
                <w:rFonts w:hint="eastAsia" w:ascii="Times New Roman" w:hAnsi="Times New Roman" w:cs="Times New Roman"/>
                <w:sz w:val="24"/>
                <w:szCs w:val="20"/>
                <w:lang w:val="en-US" w:eastAsia="zh-CN"/>
              </w:rPr>
              <w:t xml:space="preserve"> </w:t>
            </w:r>
            <w:r>
              <w:rPr>
                <w:rFonts w:hint="default" w:ascii="Times New Roman" w:hAnsi="Times New Roman" w:cs="Times New Roman"/>
                <w:sz w:val="24"/>
                <w:szCs w:val="20"/>
                <w:lang w:val="en-US" w:eastAsia="zh-CN"/>
              </w:rPr>
              <w:t>县级以上地方人民政府及其有关部门在各自职责范围内负责实验室及其实验活动的生物安全管理工作。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《病原微生物实验室生物安全管理条例》第四十九条 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县级以上地方人民政府卫生主管部门、兽医主管部门，应当主要通过检查</w:t>
            </w:r>
            <w:r>
              <w:rPr>
                <w:rFonts w:hint="eastAsia" w:ascii="Times New Roman" w:hAnsi="Times New Roman" w:cs="Times New Roman"/>
                <w:sz w:val="24"/>
                <w:szCs w:val="20"/>
                <w:lang w:val="en-US" w:eastAsia="zh-CN"/>
              </w:rPr>
              <w:t>反应</w:t>
            </w:r>
            <w:r>
              <w:rPr>
                <w:rFonts w:hint="default" w:ascii="Times New Roman" w:hAnsi="Times New Roman" w:cs="Times New Roman"/>
                <w:sz w:val="24"/>
                <w:szCs w:val="20"/>
                <w:lang w:val="en-US" w:eastAsia="zh-CN"/>
              </w:rPr>
              <w:t>实验室执行国家有关法律、行政法规以及国家标准和要求的记录、档案、报告，切实履行监督管理职责。</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《病原微生物实验室生物安全管理条例》第五十条  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《动物病原微生物菌（毒）种保藏管理办法》第四条第二款：县级以上地方人民政府兽医主管部门负责本行政区域内的菌（毒）种和样本保藏监督管理工作。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饲料和饲料添加剂监督检查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本行政区域内饲料和饲料添加剂生产、经营主体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《中华人民共和国畜牧法》第七十一条 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饲料和饲料添加剂管理条例》第三十二条：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国务院农业行政主管部门和省、自治区、直辖市人民政府饲料管理部门应当按照职责权限公布监督抽查结果，并可以公布具有不良记录的饲料、饲料添加剂生产企业、经营者名单。</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《饲料和饲料添加剂管理条例》第三十四条  国务院农业行政主管部门和县级以上地方人民政府饲料管理部门在监督检查中可以采取下列措施：</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一</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对饲料、饲料添加剂生产、经营、使用场所实施现场检查；</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二</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查阅、复制有关合同、票据、账簿和其他相关资料；</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三</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四</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查封违法生产、经营饲料、饲料添加剂的场所。</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《饲料质量安全管理规范》第五条 县级以上人民政府饲料管理部门应当制定年度监督检查计划，对企业实施本规范的情况进行监督检查。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乳品质量安全监督检查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本行政区域内乳品生产、加工经营主体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《乳品质量安全监督管理条例》第四条第二款 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w:t>
            </w:r>
            <w:r>
              <w:rPr>
                <w:rFonts w:hint="eastAsia" w:ascii="Times New Roman" w:hAnsi="Times New Roman" w:cs="Times New Roman"/>
                <w:sz w:val="24"/>
                <w:szCs w:val="20"/>
                <w:lang w:val="en-US" w:eastAsia="zh-CN"/>
              </w:rPr>
              <w:t>食品质量</w:t>
            </w:r>
            <w:r>
              <w:rPr>
                <w:rFonts w:hint="default" w:ascii="Times New Roman" w:hAnsi="Times New Roman" w:cs="Times New Roman"/>
                <w:sz w:val="24"/>
                <w:szCs w:val="20"/>
                <w:lang w:val="en-US" w:eastAsia="zh-CN"/>
              </w:rPr>
              <w:t>安全监督管理的综合协调、组织查处食品安全重大事故。县级以上人民政府其他有关部门在各自职责范围内负责乳品质量安全监督管理的其他工作。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《乳品质量安全监督管理条例》第四十六条 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畜牧兽医、质量监督、工商行政管理等部门应当定期开展监督抽查，并记录监督抽查的情况和处理结果。需要对乳品进行抽样检查的，不得收取任何费用，所需费用由同级财政列支。</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第四十七条 畜牧兽医、质量监督、工商行政管理等部门在依据各自职责进行监督检查时，行使下列职权：（一）实施现场检查；（二）向有关人员调查、了解有关情况；（三）查阅、复制有关合同、票据、账簿、检验报告等资料；（四）查封、扣押有证据证明不符合乳品质量安全国家标准的乳品以及违法使用的生鲜乳、辅料、添加剂；（五）查封涉嫌违法从事乳品生产经营活动的场所，扣押用于违法生产经营的工具、设备；（六）法律、行政法规规定的其他职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农作物种子监督检查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本行政区域内农作物种子生产、经营主体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《中华人民共和国种子法》第三条  国务院农业、林业主管部门分别主管全国农作物种子和林木种子工作；县级以上地方人民政府农业、林业主管部门分别主管本行政区域内农作物种子和林木种子工作。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各级人民政府及其有关部门应当采取措施，加强种子执法和监督，依法惩处侵害农民权益的种子违法行为。</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《中华人民共和国种子法》第四十六条 农业农村、林业草原主管部门应当加强对种子质量的监督检查。种子质量管理办法、行业标准和检验方法，由国务院农业农村、林业草原主管部门制定。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《中华人民共和国种子法》第四十九条 农业农村、林业草原主管部门是种子行政执法机关。种子执法人员依法执行公务时应当出示行政执法证件。农业农村、林业草原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农村、林业草原主管部门依照本法规定行使职权，当事人应当协助、配合，不得拒绝、阻挠。农业农村、林业草原主管部门所属的综合执法机构或者受其委托的种子管理机构，可以开展种子执法相关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bookmarkStart w:id="0" w:name="_GoBack"/>
            <w:r>
              <w:rPr>
                <w:rFonts w:hint="eastAsia" w:ascii="Times New Roman" w:hAnsi="Times New Roman" w:cs="Times New Roman"/>
                <w:sz w:val="24"/>
                <w:szCs w:val="20"/>
                <w:lang w:val="en-US" w:eastAsia="zh-CN"/>
              </w:rPr>
              <w:t>盈</w:t>
            </w:r>
            <w:bookmarkEnd w:id="0"/>
            <w:r>
              <w:rPr>
                <w:rFonts w:hint="eastAsia" w:ascii="Times New Roman" w:hAnsi="Times New Roman" w:cs="Times New Roman"/>
                <w:sz w:val="24"/>
                <w:szCs w:val="20"/>
                <w:lang w:val="en-US" w:eastAsia="zh-CN"/>
              </w:rPr>
              <w:t>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农药监管检查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本行政区域内农药生产、经营主体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《农药管理条例》第三条第二款 县级以上地方人民政府农业主管部门负责本行政区域的农药监督管理工作。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农业机械安全监督检查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本行政区域内农机生产、经营主体、使用主体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《农业机械安全监督管理条例》第九条第二款 县级以上地方人民政府农业机械化主管部门、工业主管部门和县级以上地方质量监督部门、工商行政管理部门等有关部门按照各自职责，负责本行政区域的农业机械安全监督管理工作。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《农业机械安全监督管理条例》第四十条  农业机械安全监督管理执法人员在农田、场院等场所进行农业机械安全监督检查时，可以采取下列措施：</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一</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向有关单位和个人了解情况，查阅、复制有关资料；</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二</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查验拖拉机、联合收割机证书、牌照及有关操作证件；</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三</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检查危及人身财产安全的农业机械的安全状况，对存在重大事故隐患的农业机械，责令当事人立即停止作业或者停止农业机械的转移，并进行维修；</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四</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责令农业机械操作人员改正违规操作行为。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德宏州农业农村局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8"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植物检疫监督检查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本行政区域内植物检疫活动</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《植物检疫条例》第三条  县级以上地方各级农业主管部门、林业主管部门所属的植物检疫机构，负责执行国家的植物检疫任务。植物检疫人员进入车站、机场、港口、仓库以及其他有关场所执行植物检疫任务，应穿着检疫制服和</w:t>
            </w:r>
            <w:r>
              <w:rPr>
                <w:rFonts w:hint="eastAsia" w:ascii="Times New Roman" w:hAnsi="Times New Roman" w:cs="Times New Roman"/>
                <w:sz w:val="24"/>
                <w:szCs w:val="20"/>
                <w:lang w:val="en-US" w:eastAsia="zh-CN"/>
              </w:rPr>
              <w:t>佩戴</w:t>
            </w:r>
            <w:r>
              <w:rPr>
                <w:rFonts w:hint="default" w:ascii="Times New Roman" w:hAnsi="Times New Roman" w:cs="Times New Roman"/>
                <w:sz w:val="24"/>
                <w:szCs w:val="20"/>
                <w:lang w:val="en-US" w:eastAsia="zh-CN"/>
              </w:rPr>
              <w:t>检疫标志。</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《植物检疫条例》第五条第三款  在发生疫情的地区，植物检疫机构可以派人参加当地的道路联合检查站或者木材检查站；发生特大疫情时，经省、自治区、直辖市人民政府批准，可以设立植物检疫检查站，开展植物检疫工作。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《植物检疫条例》第十四条  植物检疫机构对于新发现的检疫对象和其他危险性病、虫、杂草，必须及时查清情况，立即报告省、自治区、直辖市农业主管部门、林业主管部门，采取措施，彻底消灭，并报告国务院农业主管部门、林业主管部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4"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肥料监督检查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本行政区域内肥料生产、加工、经营、使用主体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《肥料登记管理办法》第六条第三款  县级以上地方人民政府农业农村主管部门负责本行政区域内的肥料监督管理工作。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《肥料登记管理办法》第二十四条 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种畜禽监督检查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本行政区域内从事种畜禽生产、经营活动主体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《中华人民共和国畜牧法》第五条　国务院农业农村主管部门负责全国畜牧业的监督管理工作。县级以上地方人民政府农业农村主管部门负责本行政区域内的畜牧业监督管理工作。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《中华人民共和国畜牧法》第三十四条 县级以上人民政府农业农村主管部门负责种畜禽质量安全的监督管理工作。种畜禽质量安全的监督检验应当委托具有法定资质的种畜禽质量检验机构进行；所需检验费用由同级预算列支，不得向被检验人收取。</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《中华人民共和国畜牧法》第七十一条 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《中华人民共和国畜牧法》第七十三条　县级以上人民政府农业农村主管部门应当制定畜禽质量安全监督抽查计划，并按照计划开展监督抽查工作。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动物防疫监督检查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本行政区域从事动物饲养、屠宰、经营、隔离、运输以及动物产品生产、经营、加工、贮藏等活动的单位和个人</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《中华人民共和国动物防疫法》第九条第二款 县级以上地方人民政府农业农村主管部门主管本行政区域的动物防疫工作。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《中华人民共和国动物防疫法》第二十五条 国家实行动物防疫条件审查制度。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动物防疫条件合格证应当载明申请人的名称（姓名）、场（厂）址、动物（动物产品）种类等事项。</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《中华人民共和国动物防疫法》第二十六条 经营动物、动物产品的集贸市场应当具备国务院农业农村主管部门规定的动物防疫条件，并接受农业农村主管部门的监督检查。具体办法由国务院农业农村主管部门制定。</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县级以上地方人民政府应当根据本地情况，决定在城市特定区域禁止家畜家禽活体交易。</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动物防疫法》第七十四条县级以上地方人民政府农业农村主管部门依照本法规定，对动物饲养、屠宰、经营、隔离、运输以及动物产品生产、经营、加工、贮藏、运输等活动中的动物防疫实施监督管理。</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《中华人民共和国动物防疫法》第七十六条　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（五）进入有关场所调查取证，查阅、复制与动物防疫有关的资料。 县级以上地方人民政府农业农村主管部门根据动物疫病预防、控制需要，经所在地县级以上地方人民政府批准，可以在车站、港口、机场等相关场所派驻官方兽医或者工作人员。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渔业渔政检查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w:t>
            </w:r>
            <w:r>
              <w:rPr>
                <w:rFonts w:hint="eastAsia" w:ascii="Times New Roman" w:hAnsi="Times New Roman" w:cs="Times New Roman"/>
                <w:sz w:val="24"/>
                <w:szCs w:val="20"/>
                <w:lang w:val="en-US" w:eastAsia="zh-CN"/>
              </w:rPr>
              <w:t>从事</w:t>
            </w:r>
            <w:r>
              <w:rPr>
                <w:rFonts w:hint="default" w:ascii="Times New Roman" w:hAnsi="Times New Roman" w:cs="Times New Roman"/>
                <w:sz w:val="24"/>
                <w:szCs w:val="20"/>
                <w:lang w:val="en-US" w:eastAsia="zh-CN"/>
              </w:rPr>
              <w:t>渔</w:t>
            </w:r>
            <w:r>
              <w:rPr>
                <w:rFonts w:hint="eastAsia" w:ascii="Times New Roman" w:hAnsi="Times New Roman" w:cs="Times New Roman"/>
                <w:sz w:val="24"/>
                <w:szCs w:val="20"/>
                <w:lang w:val="en-US" w:eastAsia="zh-CN"/>
              </w:rPr>
              <w:t>业养</w:t>
            </w:r>
            <w:r>
              <w:rPr>
                <w:rFonts w:hint="default" w:ascii="Times New Roman" w:hAnsi="Times New Roman" w:cs="Times New Roman"/>
                <w:sz w:val="24"/>
                <w:szCs w:val="20"/>
                <w:lang w:val="en-US" w:eastAsia="zh-CN"/>
              </w:rPr>
              <w:t>殖、捕捞、加工等活动的主体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《中华人民共和国渔业法》第六条 国务院渔业行政主管部门主管全国的渔业工作。县级以上地方人民政府渔业行政主管部门主管本行政区域内的渔业工作。县级以上人民政府渔业行政主管部门可以在重要渔业水域、渔港设渔政监督管理机构。县级以上人民政府渔业行政主管部门及其所属的渔政监督管理机构可以设渔政检查人员。渔政检查人员执行渔业行政主管部门及其所属的渔政监督管理机构交付的任务。</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《中华人民共和国野生动物保护法》第七条第二款 县级以上地方人民政府对本行政区域内野生动物保护工作负责，其林业草原、渔业主管部门分别主管本行政区域内陆生、水生野生动物保护工作。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 xml:space="preserve">《中华人民共和国野生动物保护法》第三十六条 县级以上人民政府野生动物保护主管部门和其他负有野生动物保护职责的部门，在履行本法规定的职责时，可以采取下列措施：（一）进入与违反野生动物保护管理行为有关的场所进行现场检查、调查；（二）对野生动物进行检验、检测、抽样取证；（三）查封、复制有关文件、资料，对可能被转移、销毁、隐匿或者篡改的文件、资料予以封存；（四）查封、扣押无合法来源证明的野生动物及其制品，查封、扣押涉嫌非法猎捕野生动物或者非法收购、出售、加工、运输猎捕野生动物及其制品的工具、设备或者财物。                                                                                                                                                    </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《中华人民共和国渔业法实施细则》第七条第一款 渔政检查人员有权对各种渔业及渔业船舶的证件、渔船、渔具、渔获物和捕捞方法，进行检查。</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《中华人民共和国水生野生动物保护实施条例》第三条第二款　县级以上地方人民政府渔业行政主管部门主管本行政区域内水生野生动物管理工作。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《中华人民共和国水生野生动物保护实施条例》第五条　渔业行政主管部门及其所属的渔政监督管理机构，有权对《</w:t>
            </w:r>
            <w:r>
              <w:rPr>
                <w:rFonts w:hint="eastAsia" w:ascii="Times New Roman" w:hAnsi="Times New Roman" w:cs="Times New Roman"/>
                <w:sz w:val="24"/>
                <w:szCs w:val="20"/>
                <w:lang w:val="en-US" w:eastAsia="zh-CN"/>
              </w:rPr>
              <w:t>中华人民共和国野生动物保护法</w:t>
            </w:r>
            <w:r>
              <w:rPr>
                <w:rFonts w:hint="default" w:ascii="Times New Roman" w:hAnsi="Times New Roman" w:cs="Times New Roman"/>
                <w:sz w:val="24"/>
                <w:szCs w:val="20"/>
                <w:lang w:val="en-US" w:eastAsia="zh-CN"/>
              </w:rPr>
              <w:t>》和本条例的实施情况进行监督检查，被检查的单位和个人应当给予配合。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野生植物监督检查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本行政区域内采集国家重点保护野生植物的活动</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 xml:space="preserve">《中华人民共和国野生植物保护条例》第十七条第二款  县级人民政府野生植物行政主管部门对在本行政区域内采集国家重点保护野生植物的活动，应当进行监督检查，并及时报告批准采集的野生植物行政主管部门或者其授权的机构。 </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《农业野生植物保护办法》第三条第三款   县级以上地方人民政府农业农村</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畜牧、渔业</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主管部门</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以下简称农业农村主管部门</w:t>
            </w:r>
            <w:r>
              <w:rPr>
                <w:rFonts w:hint="eastAsia" w:ascii="Times New Roman" w:hAnsi="Times New Roman" w:cs="Times New Roman"/>
                <w:sz w:val="24"/>
                <w:szCs w:val="20"/>
                <w:lang w:val="en-US" w:eastAsia="zh-CN"/>
              </w:rPr>
              <w:t>）</w:t>
            </w:r>
            <w:r>
              <w:rPr>
                <w:rFonts w:hint="default" w:ascii="Times New Roman" w:hAnsi="Times New Roman" w:cs="Times New Roman"/>
                <w:sz w:val="24"/>
                <w:szCs w:val="20"/>
                <w:lang w:val="en-US" w:eastAsia="zh-CN"/>
              </w:rPr>
              <w:t>依据《条例》和本办</w:t>
            </w:r>
            <w:r>
              <w:rPr>
                <w:rFonts w:hint="eastAsia" w:ascii="Times New Roman" w:hAnsi="Times New Roman" w:cs="Times New Roman"/>
                <w:sz w:val="24"/>
                <w:szCs w:val="20"/>
                <w:lang w:val="en-US" w:eastAsia="zh-CN"/>
              </w:rPr>
              <w:t>法的</w:t>
            </w:r>
            <w:r>
              <w:rPr>
                <w:rFonts w:hint="default" w:ascii="Times New Roman" w:hAnsi="Times New Roman" w:cs="Times New Roman"/>
                <w:sz w:val="24"/>
                <w:szCs w:val="20"/>
                <w:lang w:val="en-US" w:eastAsia="zh-CN"/>
              </w:rPr>
              <w:t>规定负责本行政区域内野生植物监督管理工作。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5"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农业转基因生物安全监督检查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本行政区域内农业转基因生物研究、试验、生产、加工、经营或者进口、出口的单位</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《农业转基因生物安全管理条例》第四条第二款 县级以上地方各级人民政府农业行政主管部门负责本行政区域内的农业转基因生物安全的监督管理工作。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《农业转基因生物安全管理条例》第三十九条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农产品质量监督检查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本行政区域内农产品生产主体</w:t>
            </w:r>
          </w:p>
        </w:tc>
        <w:tc>
          <w:tcPr>
            <w:tcW w:w="9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《中华人民共和国农产品质量安全法》第六条第二款 县级以上地方人民政府应当依照本法和有关规定，确定本级农业农村主管部门、市场监督管理部门和其他有关部门的农产品质量安全监督管理工作职责。各有关部门在职责范围内负责本行政区域的农产品质量安全监督管理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《中华人民共和国农产品质量安全法》第四十七条 县级以上人民政府农业农村主管部门应当建立健全随机抽查机制，按照监督抽查计划，组织开展农产品质量安全监督抽查。农产品质量安全监督抽查检测应当委托符合本法规定条件的农产品质量安全检测机构进行。监督抽查不得向被抽查人收取费用，抽取的样品应当按照市场价格支付费用，并不得超过国务院农业农村主管部门规定的数量。上级农业农村主管部门监督抽查的同批次农产品，下级农业农村主管部门不得另行重复抽查。</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《中华人民共和国农产品质量安全法》第五十二条 县级以上地方人民政府农业农村主管部门应当加强对农产品生产的监督管理，开展日常检查，重点检查农产品产地环境、农业投入品购买和使用、农产品生产记录、承诺达标合格证开具等情况等。国家鼓励和支持基层群众性自治组织建立农产品质量安全信息员工作制度，协助开展有关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《中华人民共和国农产品质量安全法》第五十三条  开展农产品质量安全监督检查，有权采取下列措施：（一）进入生产经营场所进行现场检查，调查了解农产品质量安全的有关情况；（二）查阅、复制农产品生产记录、购销台账等与农产品质量安全有关的资料；（三）抽样检测生产经营的农产品和使用的农业投入品以及其他有关产品；（四）查封、扣押有证据证明存在农产品质量安全隐患或者经检测不符合农产品质量安全标准的农产品；（五）查封、扣押有证据证明可能危及农产品质量安全或者经检测不符</w:t>
            </w:r>
            <w:r>
              <w:rPr>
                <w:rFonts w:hint="eastAsia" w:ascii="Times New Roman" w:hAnsi="Times New Roman" w:cs="Times New Roman"/>
                <w:sz w:val="24"/>
                <w:szCs w:val="20"/>
                <w:lang w:val="en-US" w:eastAsia="zh-CN"/>
              </w:rPr>
              <w:t>合农业</w:t>
            </w:r>
            <w:r>
              <w:rPr>
                <w:rFonts w:hint="default" w:ascii="Times New Roman" w:hAnsi="Times New Roman" w:cs="Times New Roman"/>
                <w:sz w:val="24"/>
                <w:szCs w:val="20"/>
                <w:lang w:val="en-US" w:eastAsia="zh-CN"/>
              </w:rPr>
              <w:t>产品质量标准的农业投入品以及其他有毒有害物质；（六）查封、扣押用于违法生产经营农产品的设施、设备、场所以及运输工具；（七）收缴伪造的农产品质量标志。</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农产品生产经营者应当协助、配合农产品质量安全监督检查，不得拒绝、阻挠。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5"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17</w:t>
            </w:r>
          </w:p>
        </w:tc>
        <w:tc>
          <w:tcPr>
            <w:tcW w:w="816"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对农用薄膜回收的行政检查</w:t>
            </w:r>
          </w:p>
        </w:tc>
        <w:tc>
          <w:tcPr>
            <w:tcW w:w="991"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农业薄膜生产、销售使用主体</w:t>
            </w:r>
          </w:p>
        </w:tc>
        <w:tc>
          <w:tcPr>
            <w:tcW w:w="9983"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《中华人民共和国土壤污染防治法》第七条 国务院生态环境主管部门对全国土壤污染防治工作实施统一监督管理；国务院农业农村、自然资源、住</w:t>
            </w:r>
            <w:r>
              <w:rPr>
                <w:rFonts w:hint="eastAsia" w:ascii="Times New Roman" w:hAnsi="Times New Roman" w:cs="Times New Roman"/>
                <w:sz w:val="24"/>
                <w:szCs w:val="20"/>
                <w:lang w:val="en-US" w:eastAsia="zh-CN"/>
              </w:rPr>
              <w:t>房和</w:t>
            </w:r>
            <w:r>
              <w:rPr>
                <w:rFonts w:hint="default" w:ascii="Times New Roman" w:hAnsi="Times New Roman" w:cs="Times New Roman"/>
                <w:sz w:val="24"/>
                <w:szCs w:val="20"/>
                <w:lang w:val="en-US" w:eastAsia="zh-CN"/>
              </w:rPr>
              <w:t>城乡建设、林业草原等主管部门在各自职责范围内对土壤污染防治工作实施监督管理。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《中华人民共和国土壤污染防治法》第七十七条　生态环境主管部门及其环境执法机构和其他负有土壤污染防治监督管理职责的部门，有权对从事可能造成土壤污染活动的企业事业单位和其他生产经营者进行现场检查、取样，要求被检查者提供有关资料</w:t>
            </w:r>
            <w:r>
              <w:rPr>
                <w:rFonts w:hint="eastAsia" w:ascii="Times New Roman" w:hAnsi="Times New Roman" w:cs="Times New Roman"/>
                <w:sz w:val="24"/>
                <w:szCs w:val="20"/>
                <w:lang w:val="en-US" w:eastAsia="zh-CN"/>
              </w:rPr>
              <w:t>，就</w:t>
            </w:r>
            <w:r>
              <w:rPr>
                <w:rFonts w:hint="default" w:ascii="Times New Roman" w:hAnsi="Times New Roman" w:cs="Times New Roman"/>
                <w:sz w:val="24"/>
                <w:szCs w:val="20"/>
                <w:lang w:val="en-US" w:eastAsia="zh-CN"/>
              </w:rPr>
              <w:t>有关问题作出说明。</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　　被检查者应当配合检查工作，如实反映情况，提供必要的资料。</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　　实施现场检查的部门、机构及其工作人员应当为被检查者保守商业秘密。</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 xml:space="preserve">《农用薄膜管理办法》第五条第一款 县级以上人民政府农业农村主管部门负责农用薄膜使用、回收监督管理工作，指导农用薄膜回收利用体系建设。  </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《农用薄膜管理办法》 第二十一条 建立农用薄膜残留监测制度，县级以上地方人民政府农业农村主管部门应当定期开展本行政区域的农用薄膜残留监测。</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6" w:hRule="atLeast"/>
          <w:jc w:val="center"/>
        </w:trPr>
        <w:tc>
          <w:tcPr>
            <w:tcW w:w="711" w:type="dxa"/>
            <w:tcBorders>
              <w:top w:val="single" w:color="000000" w:sz="4" w:space="0"/>
              <w:left w:val="single" w:color="000000" w:sz="4" w:space="0"/>
              <w:bottom w:val="single" w:color="000000"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18</w:t>
            </w: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动物诊疗监督检查</w:t>
            </w:r>
          </w:p>
        </w:tc>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本行政区域动物诊疗机构</w:t>
            </w:r>
          </w:p>
        </w:tc>
        <w:tc>
          <w:tcPr>
            <w:tcW w:w="998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《中华人民共和国动物防疫法》第六十一条 从事动物诊疗活动的机构，应当具备下列条件：（一）有与动物诊疗活动相适应并符合动物防疫条件的场所；（二）有与动物诊疗活动相适应的执业兽医；（三）有与动物诊疗活动相适应的兽医器械和设备；（四）有完善的管理制度。动物诊疗机构包括动物医院、动物诊所以及其他提供动物诊疗服务的机构。</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《中华人民共和国动物防疫法》第六十九条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执业兽医资格考试办法由国务院农业农村主管部门商国务院人力资源主管部门制定。</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《执业兽医管理办法》第四条第二、三款 县级以上地方人民政府兽医主管部门主管本行政区域内的执业兽医管理工作。县级以上地方人民政府设立的动物卫生监督机构负责执业兽医的监督执法工作。</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《动物诊疗机构管理办法》第三条第二款 县级以上地方人民政府农业农村主管部门负责本行政区域内动物诊疗机构的监督管理。</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《动物诊疗机构管理办法》第三十一条 县级以上地方人民政府农业农村主管部门应当建立健全日常监管制度，对辖区内动物诊疗机构和人员执行</w:t>
            </w:r>
            <w:r>
              <w:rPr>
                <w:rFonts w:hint="eastAsia" w:ascii="Times New Roman" w:hAnsi="Times New Roman" w:cs="Times New Roman"/>
                <w:sz w:val="24"/>
                <w:szCs w:val="20"/>
                <w:lang w:val="en-US" w:eastAsia="zh-CN"/>
              </w:rPr>
              <w:t>法律法规</w:t>
            </w:r>
            <w:r>
              <w:rPr>
                <w:rFonts w:hint="default" w:ascii="Times New Roman" w:hAnsi="Times New Roman" w:cs="Times New Roman"/>
                <w:sz w:val="24"/>
                <w:szCs w:val="20"/>
                <w:lang w:val="en-US" w:eastAsia="zh-CN"/>
              </w:rPr>
              <w:t>、规章的情况进行监督检查。</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在省级清单基础上增加内容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3"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19</w:t>
            </w:r>
          </w:p>
        </w:tc>
        <w:tc>
          <w:tcPr>
            <w:tcW w:w="816" w:type="dxa"/>
            <w:tcBorders>
              <w:top w:val="single" w:color="auto"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畜牧业生产经营者监督检查</w:t>
            </w:r>
          </w:p>
        </w:tc>
        <w:tc>
          <w:tcPr>
            <w:tcW w:w="991" w:type="dxa"/>
            <w:tcBorders>
              <w:top w:val="single" w:color="auto"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本行政区域畜牧业生产经营者</w:t>
            </w:r>
          </w:p>
        </w:tc>
        <w:tc>
          <w:tcPr>
            <w:tcW w:w="9983" w:type="dxa"/>
            <w:tcBorders>
              <w:top w:val="single" w:color="auto"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《中华人民共和国畜牧法》第九条　畜牧业生产经营者应当依法履行动物防疫和生态环境保护义务，接受有关主管部门依法实施的监督检查。</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《畜禽规模养殖污染防治条例》第六条　从事畜禽养殖以及畜禽养殖废弃物综合利用和无害化处理活动，应当符合国家有关畜禽养殖污染防治的要求，并依法接受有关主管部门的监督检查。</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《中华人民共和国动物防疫法》第十八条　县级以上地方人民政府农业农村主管部门负责组织实施动物疫病强制免疫计划，并对饲养动物的单位和个人履行强制免疫义务的情况进行监督检查。</w:t>
            </w:r>
          </w:p>
        </w:tc>
        <w:tc>
          <w:tcPr>
            <w:tcW w:w="1050" w:type="dxa"/>
            <w:tcBorders>
              <w:top w:val="single" w:color="auto"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auto"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auto"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在省级清单基础上增加内容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9"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病死畜禽无害化处理场监督管理</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本行政区域病死畜禽无害化处理场</w:t>
            </w:r>
          </w:p>
        </w:tc>
        <w:tc>
          <w:tcPr>
            <w:tcW w:w="9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《病死畜禽和病害畜禽产品无害化处理管理办法》第二十四条  病死畜禽和病害畜禽产品无害化处理应当符合安全生产、环境保护等相关法律法规和标准规范要求，接受有关主管部门监管。</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《病死畜禽和病害畜禽产品无害化处理管理办法》第二十八条  病死畜禽和病害畜禽产品无害化处理场所应当建立并严格执行以下制度：（一）设施设备运行管理制度；（二）清洗消毒制度；（三）人员防护制度；（四）生物安全制度；（五）安全生产和应急处理制度。</w:t>
            </w:r>
          </w:p>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left"/>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病死畜禽和病害畜禽产品无害化处理管理办法》第三十一条  县级以上地方人民政府农业农村主管部门执行监督检查任务时，从事病死畜禽和病害畜禽产品收集、无害化处理的单位和个人应当予以配合，不得拒绝或者阻碍。</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盈江县</w:t>
            </w:r>
            <w:r>
              <w:rPr>
                <w:rFonts w:hint="default" w:ascii="Times New Roman" w:hAnsi="Times New Roman" w:cs="Times New Roman"/>
                <w:sz w:val="24"/>
                <w:szCs w:val="20"/>
                <w:lang w:val="en-US" w:eastAsia="zh-CN"/>
              </w:rPr>
              <w:t>农业农村局</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县级以上</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5"/>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cs="Times New Roman"/>
                <w:sz w:val="24"/>
                <w:szCs w:val="20"/>
                <w:lang w:val="en-US" w:eastAsia="zh-CN"/>
              </w:rPr>
            </w:pPr>
            <w:r>
              <w:rPr>
                <w:rFonts w:hint="default" w:ascii="Times New Roman" w:hAnsi="Times New Roman" w:cs="Times New Roman"/>
                <w:sz w:val="24"/>
                <w:szCs w:val="20"/>
                <w:lang w:val="en-US" w:eastAsia="zh-CN"/>
              </w:rPr>
              <w:t>在省级清单基础上增加内容</w:t>
            </w:r>
          </w:p>
        </w:tc>
      </w:tr>
    </w:tbl>
    <w:p>
      <w:pPr>
        <w:pStyle w:val="5"/>
        <w:keepNext w:val="0"/>
        <w:keepLines w:val="0"/>
        <w:pageBreakBefore w:val="0"/>
        <w:widowControl w:val="0"/>
        <w:kinsoku/>
        <w:wordWrap/>
        <w:overflowPunct/>
        <w:topLinePunct w:val="0"/>
        <w:autoSpaceDE/>
        <w:autoSpaceDN/>
        <w:bidi w:val="0"/>
        <w:adjustRightInd w:val="0"/>
        <w:snapToGrid w:val="0"/>
        <w:ind w:left="0" w:leftChars="0" w:firstLine="640" w:firstLineChars="200"/>
        <w:jc w:val="both"/>
        <w:textAlignment w:val="auto"/>
        <w:rPr>
          <w:rFonts w:hint="default" w:ascii="Times New Roman" w:hAnsi="Times New Roman" w:cs="Times New Roman"/>
          <w:lang w:val="en-US" w:eastAsia="zh-CN"/>
        </w:rPr>
      </w:pPr>
    </w:p>
    <w:sectPr>
      <w:footerReference r:id="rId5" w:type="default"/>
      <w:pgSz w:w="16838" w:h="11906" w:orient="landscape"/>
      <w:pgMar w:top="1587" w:right="2098" w:bottom="1474" w:left="1984" w:header="850" w:footer="1134" w:gutter="0"/>
      <w:pgNumType w:fmt="decimal" w:start="1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N2U1OTI0ZGY3ZWNkMzRkY2NmNDI0NjFhMzQ3NzEifQ=="/>
  </w:docVars>
  <w:rsids>
    <w:rsidRoot w:val="256D4D39"/>
    <w:rsid w:val="00E33398"/>
    <w:rsid w:val="04313889"/>
    <w:rsid w:val="04CF4AD2"/>
    <w:rsid w:val="0CA03C34"/>
    <w:rsid w:val="12464604"/>
    <w:rsid w:val="12AF1003"/>
    <w:rsid w:val="137974DB"/>
    <w:rsid w:val="18905691"/>
    <w:rsid w:val="18D22147"/>
    <w:rsid w:val="1B290DBE"/>
    <w:rsid w:val="1BBD1E9C"/>
    <w:rsid w:val="20BF6C6B"/>
    <w:rsid w:val="21416F29"/>
    <w:rsid w:val="256D4D39"/>
    <w:rsid w:val="26D809DF"/>
    <w:rsid w:val="2D3A5E1E"/>
    <w:rsid w:val="34A53301"/>
    <w:rsid w:val="356375AA"/>
    <w:rsid w:val="3A273AD1"/>
    <w:rsid w:val="3D68097F"/>
    <w:rsid w:val="3D960635"/>
    <w:rsid w:val="3DD44E3B"/>
    <w:rsid w:val="405C08A2"/>
    <w:rsid w:val="41B85B2A"/>
    <w:rsid w:val="45482939"/>
    <w:rsid w:val="49E24F98"/>
    <w:rsid w:val="4C1015D4"/>
    <w:rsid w:val="4E3C0156"/>
    <w:rsid w:val="53B34D52"/>
    <w:rsid w:val="554C6D1F"/>
    <w:rsid w:val="5C784236"/>
    <w:rsid w:val="5E9D64AB"/>
    <w:rsid w:val="644E5B4E"/>
    <w:rsid w:val="65083889"/>
    <w:rsid w:val="66E963AC"/>
    <w:rsid w:val="704B2526"/>
    <w:rsid w:val="73006982"/>
    <w:rsid w:val="770416F9"/>
    <w:rsid w:val="77295362"/>
    <w:rsid w:val="77FE6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720" w:firstLineChars="200"/>
    </w:pPr>
    <w:rPr>
      <w:rFonts w:ascii="Tahoma" w:hAnsi="Tahoma" w:eastAsia="方正仿宋_GBK" w:cstheme="minorBidi"/>
      <w:sz w:val="32"/>
      <w:szCs w:val="22"/>
      <w:lang w:val="en-US" w:eastAsia="zh-CN" w:bidi="ar-SA"/>
    </w:rPr>
  </w:style>
  <w:style w:type="paragraph" w:styleId="3">
    <w:name w:val="heading 1"/>
    <w:basedOn w:val="4"/>
    <w:next w:val="1"/>
    <w:qFormat/>
    <w:uiPriority w:val="0"/>
    <w:pPr>
      <w:keepNext/>
      <w:keepLines/>
      <w:spacing w:beforeLines="0" w:beforeAutospacing="0" w:afterLines="0" w:afterAutospacing="0" w:line="720" w:lineRule="exact"/>
      <w:ind w:firstLine="0" w:firstLineChars="0"/>
      <w:jc w:val="center"/>
      <w:outlineLvl w:val="0"/>
    </w:pPr>
    <w:rPr>
      <w:rFonts w:ascii="Arial" w:hAnsi="Arial" w:eastAsia="方正小标宋_GBK"/>
      <w:b w:val="0"/>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styleId="7">
    <w:name w:val="toc 5"/>
    <w:basedOn w:val="1"/>
    <w:next w:val="1"/>
    <w:unhideWhenUsed/>
    <w:qFormat/>
    <w:uiPriority w:val="39"/>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Hyperlink"/>
    <w:basedOn w:val="11"/>
    <w:qFormat/>
    <w:uiPriority w:val="0"/>
    <w:rPr>
      <w:rFonts w:ascii="Times New Roman" w:hAnsi="Times New Roman" w:eastAsia="宋体" w:cs="Times New Roman"/>
      <w:color w:val="0000FF"/>
      <w:u w:val="single"/>
    </w:rPr>
  </w:style>
  <w:style w:type="paragraph" w:customStyle="1" w:styleId="13">
    <w:name w:val="一级标题"/>
    <w:basedOn w:val="1"/>
    <w:next w:val="1"/>
    <w:link w:val="15"/>
    <w:qFormat/>
    <w:uiPriority w:val="0"/>
    <w:pPr>
      <w:spacing w:line="720" w:lineRule="exact"/>
      <w:jc w:val="center"/>
    </w:pPr>
    <w:rPr>
      <w:rFonts w:hint="eastAsia" w:eastAsia="方正小标宋_GBK"/>
      <w:sz w:val="44"/>
    </w:rPr>
  </w:style>
  <w:style w:type="paragraph" w:customStyle="1" w:styleId="14">
    <w:name w:val="1级标题"/>
    <w:basedOn w:val="1"/>
    <w:qFormat/>
    <w:uiPriority w:val="0"/>
    <w:pPr>
      <w:widowControl w:val="0"/>
      <w:spacing w:line="720" w:lineRule="exact"/>
      <w:jc w:val="center"/>
    </w:pPr>
    <w:rPr>
      <w:rFonts w:eastAsia="方正小标宋_GBK"/>
      <w:sz w:val="44"/>
    </w:rPr>
  </w:style>
  <w:style w:type="character" w:customStyle="1" w:styleId="15">
    <w:name w:val="一级标题 Char"/>
    <w:link w:val="13"/>
    <w:qFormat/>
    <w:uiPriority w:val="0"/>
    <w:rPr>
      <w:rFonts w:hint="eastAsia" w:ascii="Times New Roman" w:hAnsi="Times New Roman" w:eastAsia="方正小标宋_GBK" w:cs="Times New Roman"/>
      <w:sz w:val="44"/>
    </w:rPr>
  </w:style>
  <w:style w:type="character" w:customStyle="1" w:styleId="16">
    <w:name w:val="font61"/>
    <w:basedOn w:val="11"/>
    <w:qFormat/>
    <w:uiPriority w:val="0"/>
    <w:rPr>
      <w:rFonts w:hint="eastAsia" w:ascii="宋体" w:hAnsi="宋体" w:eastAsia="宋体" w:cs="宋体"/>
      <w:color w:val="FF0000"/>
      <w:sz w:val="22"/>
      <w:szCs w:val="22"/>
      <w:u w:val="none"/>
    </w:rPr>
  </w:style>
  <w:style w:type="character" w:customStyle="1" w:styleId="17">
    <w:name w:val="font41"/>
    <w:basedOn w:val="11"/>
    <w:qFormat/>
    <w:uiPriority w:val="0"/>
    <w:rPr>
      <w:rFonts w:hint="eastAsia" w:ascii="宋体" w:hAnsi="宋体" w:eastAsia="宋体" w:cs="宋体"/>
      <w:color w:val="000000"/>
      <w:sz w:val="22"/>
      <w:szCs w:val="22"/>
      <w:u w:val="none"/>
    </w:rPr>
  </w:style>
  <w:style w:type="character" w:customStyle="1" w:styleId="18">
    <w:name w:val="font81"/>
    <w:basedOn w:val="11"/>
    <w:qFormat/>
    <w:uiPriority w:val="0"/>
    <w:rPr>
      <w:rFonts w:hint="default" w:ascii="Times New Roman" w:hAnsi="Times New Roman" w:eastAsia="宋体" w:cs="Times New Roman"/>
      <w:color w:val="000000"/>
      <w:sz w:val="22"/>
      <w:szCs w:val="22"/>
      <w:u w:val="none"/>
    </w:rPr>
  </w:style>
  <w:style w:type="character" w:customStyle="1" w:styleId="19">
    <w:name w:val="font51"/>
    <w:basedOn w:val="1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16</Pages>
  <Words>15996</Words>
  <Characters>16086</Characters>
  <Lines>0</Lines>
  <Paragraphs>0</Paragraphs>
  <TotalTime>9</TotalTime>
  <ScaleCrop>false</ScaleCrop>
  <LinksUpToDate>false</LinksUpToDate>
  <CharactersWithSpaces>16325</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2023-05-05T08:07:00Z</dcterms:created>
  <dc:creator>Lenovo</dc:creator>
  <cp:lastModifiedBy>蒋夏祎</cp:lastModifiedBy>
  <cp:lastPrinted>2025-06-25T09:32:00Z</cp:lastPrinted>
  <dcterms:modified xsi:type="dcterms:W3CDTF">2025-07-09T01:20:39Z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30B6A6B4E04941FDA63FC1FD6CB8545E_13</vt:lpwstr>
  </property>
  <property fmtid="{D5CDD505-2E9C-101B-9397-08002B2CF9AE}" pid="4" name="KSOTemplateDocerSaveRecord">
    <vt:lpwstr>eyJoZGlkIjoiOTE4ZDUyOTM5YjA5ZTU2YmFlOGJmY2I3ZWUxZmMwY2MiLCJ1c2VySWQiOiI2NTIzODU1NTUifQ==</vt:lpwstr>
  </property>
</Properties>
</file>